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4F564">
      <w:pPr>
        <w:spacing w:line="760" w:lineRule="exact"/>
        <w:rPr>
          <w:rFonts w:hint="eastAsia"/>
          <w:color w:val="auto"/>
          <w:sz w:val="44"/>
          <w:szCs w:val="44"/>
          <w:highlight w:val="none"/>
        </w:rPr>
      </w:pPr>
      <w:bookmarkStart w:id="4020" w:name="_GoBack"/>
    </w:p>
    <w:p w14:paraId="7E7F9E9B">
      <w:pPr>
        <w:rPr>
          <w:rFonts w:hint="eastAsia"/>
          <w:color w:val="auto"/>
          <w:highlight w:val="none"/>
        </w:rPr>
      </w:pPr>
    </w:p>
    <w:p w14:paraId="0DDA6F7C">
      <w:pPr>
        <w:rPr>
          <w:rFonts w:hint="eastAsia"/>
          <w:color w:val="auto"/>
          <w:highlight w:val="none"/>
        </w:rPr>
      </w:pPr>
    </w:p>
    <w:p w14:paraId="62A864C6">
      <w:pPr>
        <w:spacing w:before="156" w:beforeLines="50" w:line="360" w:lineRule="auto"/>
        <w:jc w:val="center"/>
        <w:rPr>
          <w:rFonts w:hint="eastAsia" w:ascii="黑体" w:hAnsi="黑体" w:eastAsia="黑体"/>
          <w:b/>
          <w:color w:val="auto"/>
          <w:sz w:val="52"/>
          <w:szCs w:val="52"/>
          <w:highlight w:val="none"/>
        </w:rPr>
      </w:pPr>
      <w:r>
        <w:rPr>
          <w:rFonts w:hint="eastAsia" w:ascii="黑体" w:hAnsi="黑体" w:eastAsia="黑体"/>
          <w:b/>
          <w:color w:val="auto"/>
          <w:sz w:val="52"/>
          <w:szCs w:val="52"/>
          <w:highlight w:val="none"/>
        </w:rPr>
        <w:t>武汉市建设工程</w:t>
      </w:r>
    </w:p>
    <w:p w14:paraId="17C29498">
      <w:pPr>
        <w:spacing w:before="156" w:beforeLines="50" w:line="240" w:lineRule="auto"/>
        <w:jc w:val="center"/>
        <w:rPr>
          <w:rFonts w:ascii="黑体" w:hAnsi="Calibri" w:eastAsia="黑体"/>
          <w:color w:val="auto"/>
          <w:sz w:val="60"/>
          <w:szCs w:val="60"/>
          <w:highlight w:val="none"/>
        </w:rPr>
      </w:pPr>
      <w:r>
        <w:rPr>
          <w:rFonts w:hint="eastAsia" w:ascii="黑体" w:hAnsi="Calibri" w:eastAsia="黑体"/>
          <w:color w:val="auto"/>
          <w:sz w:val="60"/>
          <w:szCs w:val="60"/>
          <w:highlight w:val="none"/>
        </w:rPr>
        <w:t>工程总承包招标文件示范文本</w:t>
      </w:r>
    </w:p>
    <w:p w14:paraId="2FC48AD1">
      <w:pPr>
        <w:spacing w:line="240" w:lineRule="auto"/>
        <w:jc w:val="center"/>
        <w:rPr>
          <w:rFonts w:hint="eastAsia" w:ascii="楷体" w:hAnsi="楷体" w:eastAsia="楷体"/>
          <w:color w:val="auto"/>
          <w:sz w:val="24"/>
          <w:highlight w:val="none"/>
        </w:rPr>
      </w:pPr>
      <w:bookmarkStart w:id="0" w:name="_Toc29575"/>
      <w:bookmarkStart w:id="1" w:name="_Toc519085250"/>
      <w:bookmarkStart w:id="2" w:name="_Toc9955"/>
    </w:p>
    <w:bookmarkEnd w:id="0"/>
    <w:bookmarkEnd w:id="1"/>
    <w:bookmarkEnd w:id="2"/>
    <w:p w14:paraId="599B043C">
      <w:pPr>
        <w:spacing w:line="240" w:lineRule="auto"/>
        <w:jc w:val="center"/>
        <w:rPr>
          <w:rFonts w:hint="default" w:ascii="楷体" w:hAnsi="楷体" w:eastAsia="楷体"/>
          <w:color w:val="auto"/>
          <w:sz w:val="32"/>
          <w:szCs w:val="32"/>
          <w:highlight w:val="none"/>
          <w:lang w:val="en-US" w:eastAsia="zh-CN"/>
        </w:rPr>
      </w:pPr>
      <w:r>
        <w:rPr>
          <w:rFonts w:hint="eastAsia" w:ascii="楷体" w:hAnsi="楷体" w:eastAsia="楷体"/>
          <w:color w:val="auto"/>
          <w:sz w:val="32"/>
          <w:szCs w:val="32"/>
          <w:highlight w:val="none"/>
          <w:lang w:eastAsia="zh-CN"/>
        </w:rPr>
        <w:t>（</w:t>
      </w:r>
      <w:r>
        <w:rPr>
          <w:rFonts w:hint="eastAsia" w:ascii="楷体" w:hAnsi="楷体" w:eastAsia="楷体"/>
          <w:color w:val="auto"/>
          <w:sz w:val="32"/>
          <w:szCs w:val="32"/>
          <w:highlight w:val="none"/>
          <w:lang w:val="en-US" w:eastAsia="zh-CN"/>
        </w:rPr>
        <w:t>适用于评定分离）</w:t>
      </w:r>
    </w:p>
    <w:p w14:paraId="213CE17B">
      <w:pPr>
        <w:keepNext w:val="0"/>
        <w:keepLines w:val="0"/>
        <w:widowControl w:val="0"/>
        <w:suppressLineNumbers w:val="0"/>
        <w:spacing w:before="0" w:beforeAutospacing="0" w:after="0" w:afterAutospacing="0" w:line="360" w:lineRule="auto"/>
        <w:ind w:left="0" w:right="0"/>
        <w:jc w:val="center"/>
        <w:rPr>
          <w:rFonts w:hint="eastAsia" w:ascii="楷体" w:hAnsi="楷体" w:eastAsia="楷体" w:cs="楷体"/>
          <w:sz w:val="32"/>
          <w:szCs w:val="32"/>
          <w:highlight w:val="none"/>
          <w:lang w:val="en-US"/>
        </w:rPr>
      </w:pPr>
      <w:r>
        <w:rPr>
          <w:rFonts w:hint="eastAsia" w:ascii="楷体" w:hAnsi="楷体" w:eastAsia="楷体" w:cs="楷体"/>
          <w:kern w:val="2"/>
          <w:sz w:val="32"/>
          <w:szCs w:val="32"/>
          <w:highlight w:val="none"/>
          <w:lang w:val="en-US" w:eastAsia="zh-CN" w:bidi="ar"/>
        </w:rPr>
        <w:t>（2026年修订）</w:t>
      </w:r>
    </w:p>
    <w:p w14:paraId="0A5A7936">
      <w:pPr>
        <w:jc w:val="center"/>
        <w:rPr>
          <w:rFonts w:ascii="楷体_GB2312" w:eastAsia="楷体_GB2312"/>
          <w:color w:val="auto"/>
          <w:sz w:val="32"/>
          <w:szCs w:val="32"/>
          <w:highlight w:val="none"/>
        </w:rPr>
      </w:pPr>
    </w:p>
    <w:p w14:paraId="0962841C">
      <w:pPr>
        <w:spacing w:line="400" w:lineRule="exact"/>
        <w:jc w:val="center"/>
        <w:rPr>
          <w:color w:val="auto"/>
          <w:highlight w:val="none"/>
        </w:rPr>
      </w:pPr>
    </w:p>
    <w:p w14:paraId="6CAAA764">
      <w:pPr>
        <w:spacing w:line="400" w:lineRule="exact"/>
        <w:jc w:val="center"/>
        <w:rPr>
          <w:color w:val="auto"/>
          <w:highlight w:val="none"/>
        </w:rPr>
      </w:pPr>
    </w:p>
    <w:p w14:paraId="403B17FC">
      <w:pPr>
        <w:spacing w:line="400" w:lineRule="exact"/>
        <w:jc w:val="center"/>
        <w:rPr>
          <w:color w:val="auto"/>
          <w:highlight w:val="none"/>
        </w:rPr>
      </w:pPr>
    </w:p>
    <w:p w14:paraId="70785E22">
      <w:pPr>
        <w:spacing w:line="400" w:lineRule="exact"/>
        <w:rPr>
          <w:rFonts w:hint="eastAsia"/>
          <w:color w:val="auto"/>
          <w:highlight w:val="none"/>
        </w:rPr>
      </w:pPr>
    </w:p>
    <w:p w14:paraId="2751EFC7">
      <w:pPr>
        <w:spacing w:line="400" w:lineRule="exact"/>
        <w:jc w:val="center"/>
        <w:rPr>
          <w:color w:val="auto"/>
          <w:highlight w:val="none"/>
        </w:rPr>
      </w:pPr>
    </w:p>
    <w:p w14:paraId="7F6F7966">
      <w:pPr>
        <w:spacing w:line="400" w:lineRule="exact"/>
        <w:jc w:val="center"/>
        <w:rPr>
          <w:rFonts w:hint="eastAsia"/>
          <w:color w:val="auto"/>
          <w:highlight w:val="none"/>
        </w:rPr>
      </w:pPr>
    </w:p>
    <w:p w14:paraId="0E60750C">
      <w:pPr>
        <w:spacing w:line="400" w:lineRule="exact"/>
        <w:jc w:val="center"/>
        <w:rPr>
          <w:rFonts w:hint="eastAsia"/>
          <w:color w:val="auto"/>
          <w:highlight w:val="none"/>
        </w:rPr>
      </w:pPr>
    </w:p>
    <w:p w14:paraId="3A058031">
      <w:pPr>
        <w:spacing w:line="400" w:lineRule="exact"/>
        <w:jc w:val="center"/>
        <w:rPr>
          <w:rFonts w:hint="eastAsia"/>
          <w:color w:val="auto"/>
          <w:highlight w:val="none"/>
        </w:rPr>
      </w:pPr>
    </w:p>
    <w:p w14:paraId="2CB64533">
      <w:pPr>
        <w:spacing w:line="400" w:lineRule="exact"/>
        <w:jc w:val="center"/>
        <w:rPr>
          <w:rFonts w:hint="eastAsia"/>
          <w:color w:val="auto"/>
          <w:highlight w:val="none"/>
        </w:rPr>
      </w:pPr>
    </w:p>
    <w:p w14:paraId="19B9509D">
      <w:pPr>
        <w:spacing w:line="400" w:lineRule="exact"/>
        <w:jc w:val="center"/>
        <w:rPr>
          <w:rFonts w:hint="eastAsia"/>
          <w:color w:val="auto"/>
          <w:highlight w:val="none"/>
        </w:rPr>
      </w:pPr>
    </w:p>
    <w:p w14:paraId="147579F0">
      <w:pPr>
        <w:spacing w:line="400" w:lineRule="exact"/>
        <w:jc w:val="center"/>
        <w:rPr>
          <w:rFonts w:hint="eastAsia"/>
          <w:color w:val="auto"/>
          <w:highlight w:val="none"/>
        </w:rPr>
      </w:pPr>
    </w:p>
    <w:p w14:paraId="41C26715">
      <w:pPr>
        <w:spacing w:line="400" w:lineRule="exact"/>
        <w:jc w:val="center"/>
        <w:rPr>
          <w:rFonts w:hint="eastAsia"/>
          <w:color w:val="auto"/>
          <w:highlight w:val="none"/>
        </w:rPr>
      </w:pPr>
    </w:p>
    <w:p w14:paraId="42B1C9E6">
      <w:pPr>
        <w:spacing w:line="400" w:lineRule="exact"/>
        <w:jc w:val="center"/>
        <w:rPr>
          <w:rFonts w:hint="eastAsia"/>
          <w:color w:val="auto"/>
          <w:highlight w:val="none"/>
        </w:rPr>
      </w:pPr>
    </w:p>
    <w:p w14:paraId="5C97AAF5">
      <w:pPr>
        <w:spacing w:line="400" w:lineRule="exact"/>
        <w:jc w:val="center"/>
        <w:rPr>
          <w:rFonts w:hint="eastAsia"/>
          <w:color w:val="auto"/>
          <w:highlight w:val="none"/>
        </w:rPr>
      </w:pPr>
    </w:p>
    <w:p w14:paraId="4FB6CAAF">
      <w:pPr>
        <w:spacing w:line="400" w:lineRule="exact"/>
        <w:rPr>
          <w:rFonts w:hint="eastAsia"/>
          <w:color w:val="auto"/>
          <w:highlight w:val="none"/>
        </w:rPr>
      </w:pPr>
      <w:r>
        <w:rPr>
          <w:rFonts w:hint="eastAsia"/>
          <w:color w:val="auto"/>
          <w:highlight w:val="none"/>
        </w:rPr>
        <w:t xml:space="preserve">                          </w:t>
      </w:r>
      <w:r>
        <w:rPr>
          <w:rFonts w:hint="eastAsia"/>
          <w:color w:val="auto"/>
          <w:highlight w:val="none"/>
        </w:rPr>
        <w:t xml:space="preserve">              </w:t>
      </w:r>
    </w:p>
    <w:p w14:paraId="4326EB57">
      <w:pPr>
        <w:spacing w:line="400" w:lineRule="exact"/>
        <w:jc w:val="center"/>
        <w:rPr>
          <w:rFonts w:ascii="宋体" w:hAnsi="宋体"/>
          <w:b/>
          <w:color w:val="auto"/>
          <w:sz w:val="36"/>
          <w:szCs w:val="36"/>
          <w:highlight w:val="none"/>
        </w:rPr>
      </w:pPr>
      <w:r>
        <w:rPr>
          <w:rFonts w:hint="eastAsia" w:ascii="宋体" w:hAnsi="宋体"/>
          <w:b/>
          <w:color w:val="auto"/>
          <w:sz w:val="36"/>
          <w:szCs w:val="36"/>
          <w:highlight w:val="none"/>
        </w:rPr>
        <w:t>二〇二</w:t>
      </w:r>
      <w:r>
        <w:rPr>
          <w:rFonts w:hint="eastAsia" w:ascii="宋体" w:hAnsi="宋体"/>
          <w:b/>
          <w:color w:val="auto"/>
          <w:sz w:val="36"/>
          <w:szCs w:val="36"/>
          <w:highlight w:val="none"/>
          <w:lang w:val="en-US" w:eastAsia="zh-CN"/>
        </w:rPr>
        <w:t>六</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九</w:t>
      </w:r>
      <w:r>
        <w:rPr>
          <w:rFonts w:hint="eastAsia" w:ascii="宋体" w:hAnsi="宋体"/>
          <w:b/>
          <w:color w:val="auto"/>
          <w:sz w:val="36"/>
          <w:szCs w:val="36"/>
          <w:highlight w:val="none"/>
        </w:rPr>
        <w:t>月</w:t>
      </w:r>
    </w:p>
    <w:p w14:paraId="0499EBDE">
      <w:pPr>
        <w:spacing w:line="400" w:lineRule="exact"/>
        <w:jc w:val="center"/>
        <w:rPr>
          <w:rFonts w:hint="eastAsia"/>
          <w:color w:val="auto"/>
          <w:highlight w:val="none"/>
        </w:rPr>
      </w:pPr>
      <w:r>
        <w:rPr>
          <w:rFonts w:ascii="宋体" w:hAnsi="宋体"/>
          <w:b/>
          <w:color w:val="auto"/>
          <w:sz w:val="36"/>
          <w:szCs w:val="36"/>
          <w:highlight w:val="none"/>
        </w:rPr>
        <w:br w:type="page"/>
      </w:r>
    </w:p>
    <w:p w14:paraId="4172CCC9">
      <w:pPr>
        <w:spacing w:after="120" w:afterLines="50" w:line="500" w:lineRule="exact"/>
        <w:jc w:val="center"/>
        <w:rPr>
          <w:rFonts w:hint="eastAsia" w:ascii="黑体" w:eastAsia="黑体"/>
          <w:color w:val="auto"/>
          <w:sz w:val="32"/>
          <w:szCs w:val="32"/>
          <w:highlight w:val="none"/>
        </w:rPr>
      </w:pPr>
      <w:bookmarkStart w:id="3" w:name="_Toc31955"/>
      <w:r>
        <w:rPr>
          <w:rFonts w:hint="eastAsia" w:ascii="黑体" w:eastAsia="黑体"/>
          <w:color w:val="auto"/>
          <w:sz w:val="32"/>
          <w:szCs w:val="32"/>
          <w:highlight w:val="none"/>
        </w:rPr>
        <w:t>使用说明</w:t>
      </w:r>
      <w:bookmarkEnd w:id="3"/>
    </w:p>
    <w:p w14:paraId="1795C992">
      <w:pPr>
        <w:ind w:firstLine="420" w:firstLineChars="200"/>
        <w:rPr>
          <w:rFonts w:hint="eastAsia" w:ascii="仿宋" w:hAnsi="仿宋" w:eastAsia="仿宋"/>
          <w:color w:val="auto"/>
          <w:szCs w:val="21"/>
          <w:highlight w:val="none"/>
        </w:rPr>
      </w:pPr>
    </w:p>
    <w:p w14:paraId="7CEF1A74">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一、《武汉市建设工程工程总承包招标文件示范文本</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适用于评定分离）</w:t>
      </w:r>
      <w:r>
        <w:rPr>
          <w:rFonts w:hint="eastAsia" w:ascii="仿宋" w:hAnsi="仿宋" w:eastAsia="仿宋"/>
          <w:color w:val="auto"/>
          <w:sz w:val="28"/>
          <w:szCs w:val="28"/>
          <w:highlight w:val="none"/>
        </w:rPr>
        <w:t>》（以下简称《示范文本》）是</w:t>
      </w:r>
      <w:r>
        <w:rPr>
          <w:rFonts w:hint="eastAsia" w:ascii="仿宋" w:hAnsi="仿宋" w:eastAsia="仿宋"/>
          <w:color w:val="auto"/>
          <w:sz w:val="28"/>
          <w:szCs w:val="28"/>
          <w:highlight w:val="none"/>
          <w:lang w:eastAsia="zh-CN"/>
        </w:rPr>
        <w:t>根据</w:t>
      </w:r>
      <w:r>
        <w:rPr>
          <w:rFonts w:hint="eastAsia" w:ascii="仿宋" w:hAnsi="仿宋" w:eastAsia="仿宋"/>
          <w:color w:val="auto"/>
          <w:sz w:val="28"/>
          <w:szCs w:val="28"/>
          <w:highlight w:val="none"/>
        </w:rPr>
        <w:t>《湖北省建设工程工程总承包招标文件示范文本》，结合《电子招标投标办法》和武汉市招标工作实际编制而成，适用于房屋建筑和市政</w:t>
      </w:r>
      <w:r>
        <w:rPr>
          <w:rFonts w:hint="eastAsia" w:ascii="仿宋" w:hAnsi="仿宋" w:eastAsia="仿宋"/>
          <w:color w:val="auto"/>
          <w:sz w:val="28"/>
          <w:szCs w:val="28"/>
          <w:highlight w:val="none"/>
          <w:lang w:eastAsia="zh-CN"/>
        </w:rPr>
        <w:t>基础设施项目工程总承包采用评定分离方式</w:t>
      </w:r>
      <w:r>
        <w:rPr>
          <w:rFonts w:hint="eastAsia" w:ascii="仿宋" w:hAnsi="仿宋" w:eastAsia="仿宋"/>
          <w:color w:val="auto"/>
          <w:sz w:val="28"/>
          <w:szCs w:val="28"/>
          <w:highlight w:val="none"/>
        </w:rPr>
        <w:t>招标。《示范文本》对于政府采购促进中小企业发展的相关政策也</w:t>
      </w:r>
      <w:r>
        <w:rPr>
          <w:rFonts w:hint="eastAsia" w:ascii="仿宋" w:hAnsi="仿宋" w:eastAsia="仿宋"/>
          <w:color w:val="auto"/>
          <w:sz w:val="28"/>
          <w:szCs w:val="28"/>
          <w:highlight w:val="none"/>
          <w:lang w:eastAsia="zh-CN"/>
        </w:rPr>
        <w:t>作了落实</w:t>
      </w:r>
      <w:r>
        <w:rPr>
          <w:rFonts w:hint="eastAsia" w:ascii="仿宋" w:hAnsi="仿宋" w:eastAsia="仿宋"/>
          <w:color w:val="auto"/>
          <w:sz w:val="28"/>
          <w:szCs w:val="28"/>
          <w:highlight w:val="none"/>
        </w:rPr>
        <w:t>。</w:t>
      </w:r>
    </w:p>
    <w:p w14:paraId="3C84F592">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二、《示范文本》用相同序号标示的章、节、条、款、项、目，供招标人和投标人选择使用；以空格标示的由招标人填写的内容，招标人应根据招标项目具体特点和实际需要具体化，确实没有需要填写的，在空格中用“/”标示。</w:t>
      </w:r>
    </w:p>
    <w:p w14:paraId="27318CBE">
      <w:pPr>
        <w:spacing w:line="54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除选择性内容和以空格标示的由招标人填写和补充的内容外，《示范文本》第二章“投标人须知”正文部分及第三章“评标办法”正文部分应不加修改地直接引用。选择、填空和补充内容由招标人根据国家和地方有关法律法规规章规范性文件及招标项目具体情况确定。</w:t>
      </w:r>
    </w:p>
    <w:p w14:paraId="5CDFE2E7">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三、招标人按照《示范文本》第一章的格式发布招标公告或发出投标邀请书后，将实际发布的招标公告或实际发出的投标邀请书编入出售的招标文件中，作为投标邀请。其中，招标公告应同时注明发布该公告的所有媒介名称。</w:t>
      </w:r>
    </w:p>
    <w:p w14:paraId="493355DB">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四、《示范文本》第二章投标人须知正文应全文引用。“投标人须知前附表”用于进一步明确“投标人须知正文”中未尽事宜，招标人应结合招标项目具体特点和实际需要编制和填写，如果填写内容与正文对应内容有不一致的地方，以“投标人须知前附表”的内容为准。</w:t>
      </w:r>
    </w:p>
    <w:p w14:paraId="4AFA7AF4">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五、《示范文本》第三章“评标办法”分别规定综合评估法和经评审的最低投标价法两种评标方法，供招标人根据招标项目具体特点和实际需要选择适用。</w:t>
      </w:r>
      <w:r>
        <w:rPr>
          <w:rFonts w:hint="eastAsia" w:ascii="仿宋" w:hAnsi="仿宋" w:eastAsia="仿宋"/>
          <w:color w:val="auto"/>
          <w:sz w:val="28"/>
          <w:szCs w:val="28"/>
          <w:highlight w:val="none"/>
          <w:lang w:val="en-US" w:eastAsia="zh-CN"/>
        </w:rPr>
        <w:t>招标人选择适用综合评估法的，各评审因素的评审标准、分值和权重等由招标人自主确定，其中详细评审分值构成中投标报价不少于50分，承包人建议书一般不多于20分，资信业绩部分一般不多于20分，承包人实施方案不多于15分，其他评分因素不多于5分。国务院有关部门对各评审因素的评审标准、分值和权重等有规定的，从其规定。</w:t>
      </w:r>
    </w:p>
    <w:p w14:paraId="3A6A20C8">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第三章“评标办法”前附表应列明全部评审因素和评审标准，并在本章前附表标明投标人不满足要求即否决其投标的全部条款。</w:t>
      </w:r>
    </w:p>
    <w:p w14:paraId="1E36D37F">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六、《示范文本》第四章第一节“通用合同条款”应不加修改地直接引用。第二节“专用合同条款”由招标人根据国家和地方有关法律法规的规定以及招标项目具体情况确定。</w:t>
      </w:r>
    </w:p>
    <w:p w14:paraId="1D12D18C">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七、《示范文本》第五章“发包人要求”由招标人根据行业标准、招标项目具体特点和实际需要编制，并与“投标人须知”、“通用合同条款”、“专用合同条款”相衔接。</w:t>
      </w:r>
    </w:p>
    <w:p w14:paraId="0424E46E">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八、《示范文本》第七章“投标文件格式”</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第八章“定标办法”</w:t>
      </w:r>
      <w:r>
        <w:rPr>
          <w:rFonts w:hint="eastAsia" w:ascii="仿宋" w:hAnsi="仿宋" w:eastAsia="仿宋"/>
          <w:color w:val="auto"/>
          <w:sz w:val="28"/>
          <w:szCs w:val="28"/>
          <w:highlight w:val="none"/>
        </w:rPr>
        <w:t>供招标人参考使用。</w:t>
      </w:r>
    </w:p>
    <w:p w14:paraId="502EC8B7">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九、《示范文本》针对不同的情况，有关章节列出了可供选择的内容。招标人在编制《招标文件》时应将未选择部分删除，以保证文件整体的连贯性和避免歧义。</w:t>
      </w:r>
    </w:p>
    <w:p w14:paraId="133DE6EA">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十、《示范文本》为</w:t>
      </w:r>
      <w:r>
        <w:rPr>
          <w:rFonts w:eastAsia="仿宋"/>
          <w:color w:val="auto"/>
          <w:sz w:val="28"/>
          <w:szCs w:val="28"/>
          <w:highlight w:val="none"/>
        </w:rPr>
        <w:t>20</w:t>
      </w:r>
      <w:r>
        <w:rPr>
          <w:rFonts w:hint="eastAsia" w:eastAsia="仿宋"/>
          <w:color w:val="auto"/>
          <w:sz w:val="28"/>
          <w:szCs w:val="28"/>
          <w:highlight w:val="none"/>
        </w:rPr>
        <w:t>2</w:t>
      </w:r>
      <w:r>
        <w:rPr>
          <w:rFonts w:hint="eastAsia" w:eastAsia="仿宋"/>
          <w:color w:val="auto"/>
          <w:sz w:val="28"/>
          <w:szCs w:val="28"/>
          <w:highlight w:val="none"/>
          <w:lang w:val="en-US" w:eastAsia="zh-CN"/>
        </w:rPr>
        <w:t>6</w:t>
      </w:r>
      <w:r>
        <w:rPr>
          <w:rFonts w:hint="eastAsia" w:ascii="仿宋" w:hAnsi="仿宋" w:eastAsia="仿宋"/>
          <w:color w:val="auto"/>
          <w:sz w:val="28"/>
          <w:szCs w:val="28"/>
          <w:highlight w:val="none"/>
        </w:rPr>
        <w:t>年版，</w:t>
      </w:r>
      <w:r>
        <w:rPr>
          <w:rFonts w:hint="eastAsia" w:ascii="仿宋" w:hAnsi="仿宋" w:eastAsia="仿宋"/>
          <w:color w:val="auto"/>
          <w:sz w:val="28"/>
          <w:szCs w:val="28"/>
          <w:highlight w:val="none"/>
        </w:rPr>
        <w:t>将根据实际执行过程中出现的问题及时进行修改。各使用单位或个人对《示范文本》的修改意见和建议，可向相关综合监督管理部门及相关行业监管部门反映。</w:t>
      </w:r>
    </w:p>
    <w:p w14:paraId="69052768">
      <w:pPr>
        <w:spacing w:line="54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联系电话：</w:t>
      </w:r>
    </w:p>
    <w:p w14:paraId="7409C15D">
      <w:pPr>
        <w:ind w:firstLine="560" w:firstLineChars="200"/>
        <w:rPr>
          <w:rFonts w:hint="eastAsia" w:ascii="仿宋" w:hAnsi="仿宋" w:eastAsia="仿宋"/>
          <w:color w:val="auto"/>
          <w:sz w:val="28"/>
          <w:szCs w:val="28"/>
          <w:highlight w:val="none"/>
        </w:rPr>
      </w:pPr>
    </w:p>
    <w:p w14:paraId="258F0A8C">
      <w:pPr>
        <w:spacing w:line="540" w:lineRule="exact"/>
        <w:ind w:firstLine="437"/>
        <w:rPr>
          <w:rFonts w:hint="eastAsia" w:ascii="仿宋" w:hAnsi="仿宋" w:eastAsia="仿宋"/>
          <w:color w:val="auto"/>
          <w:sz w:val="28"/>
          <w:szCs w:val="28"/>
          <w:highlight w:val="none"/>
        </w:rPr>
      </w:pPr>
    </w:p>
    <w:p w14:paraId="0D75DD23">
      <w:pPr>
        <w:spacing w:line="540" w:lineRule="exact"/>
        <w:ind w:firstLine="437"/>
        <w:rPr>
          <w:rFonts w:hint="eastAsia" w:ascii="仿宋" w:hAnsi="仿宋" w:eastAsia="仿宋"/>
          <w:color w:val="auto"/>
          <w:sz w:val="28"/>
          <w:szCs w:val="28"/>
          <w:highlight w:val="none"/>
        </w:rPr>
      </w:pPr>
    </w:p>
    <w:p w14:paraId="0C9F8E8C">
      <w:pPr>
        <w:spacing w:line="540" w:lineRule="exact"/>
        <w:ind w:firstLine="437"/>
        <w:rPr>
          <w:rFonts w:hint="eastAsia" w:ascii="仿宋" w:hAnsi="仿宋" w:eastAsia="仿宋"/>
          <w:color w:val="auto"/>
          <w:sz w:val="28"/>
          <w:szCs w:val="28"/>
          <w:highlight w:val="none"/>
        </w:rPr>
      </w:pPr>
    </w:p>
    <w:p w14:paraId="6F81076C">
      <w:pPr>
        <w:spacing w:line="540" w:lineRule="exact"/>
        <w:ind w:firstLine="437"/>
        <w:rPr>
          <w:rFonts w:hint="eastAsia" w:ascii="仿宋" w:hAnsi="仿宋" w:eastAsia="仿宋"/>
          <w:color w:val="auto"/>
          <w:sz w:val="28"/>
          <w:szCs w:val="28"/>
          <w:highlight w:val="none"/>
        </w:rPr>
      </w:pPr>
    </w:p>
    <w:p w14:paraId="25A7AB71">
      <w:pPr>
        <w:spacing w:line="540" w:lineRule="exact"/>
        <w:ind w:firstLine="437"/>
        <w:rPr>
          <w:rFonts w:hint="eastAsia" w:ascii="仿宋" w:hAnsi="仿宋" w:eastAsia="仿宋"/>
          <w:color w:val="auto"/>
          <w:sz w:val="28"/>
          <w:szCs w:val="28"/>
          <w:highlight w:val="none"/>
        </w:rPr>
      </w:pPr>
    </w:p>
    <w:p w14:paraId="79A82D6B">
      <w:pPr>
        <w:spacing w:line="540" w:lineRule="exact"/>
        <w:ind w:firstLine="437"/>
        <w:rPr>
          <w:rFonts w:hint="eastAsia" w:ascii="仿宋" w:hAnsi="仿宋" w:eastAsia="仿宋"/>
          <w:color w:val="auto"/>
          <w:sz w:val="28"/>
          <w:szCs w:val="28"/>
          <w:highlight w:val="none"/>
        </w:rPr>
      </w:pPr>
    </w:p>
    <w:p w14:paraId="25192615">
      <w:pPr>
        <w:spacing w:line="540" w:lineRule="exact"/>
        <w:ind w:firstLine="437"/>
        <w:rPr>
          <w:rFonts w:hint="eastAsia" w:ascii="仿宋" w:hAnsi="仿宋" w:eastAsia="仿宋"/>
          <w:color w:val="auto"/>
          <w:sz w:val="28"/>
          <w:szCs w:val="28"/>
          <w:highlight w:val="none"/>
        </w:rPr>
      </w:pPr>
    </w:p>
    <w:p w14:paraId="7E2F6B80">
      <w:pPr>
        <w:spacing w:line="540" w:lineRule="exact"/>
        <w:ind w:firstLine="437"/>
        <w:rPr>
          <w:rFonts w:hint="eastAsia" w:ascii="仿宋" w:hAnsi="仿宋" w:eastAsia="仿宋"/>
          <w:color w:val="auto"/>
          <w:sz w:val="28"/>
          <w:szCs w:val="28"/>
          <w:highlight w:val="none"/>
        </w:rPr>
      </w:pPr>
    </w:p>
    <w:p w14:paraId="448B31A7">
      <w:pPr>
        <w:spacing w:line="540" w:lineRule="exact"/>
        <w:ind w:firstLine="437"/>
        <w:rPr>
          <w:rFonts w:hint="eastAsia" w:ascii="仿宋" w:hAnsi="仿宋" w:eastAsia="仿宋"/>
          <w:color w:val="auto"/>
          <w:sz w:val="28"/>
          <w:szCs w:val="28"/>
          <w:highlight w:val="none"/>
        </w:rPr>
      </w:pPr>
    </w:p>
    <w:p w14:paraId="7FE86517">
      <w:pPr>
        <w:spacing w:line="540" w:lineRule="exact"/>
        <w:ind w:firstLine="437"/>
        <w:rPr>
          <w:rFonts w:hint="eastAsia" w:ascii="仿宋" w:hAnsi="仿宋" w:eastAsia="仿宋"/>
          <w:color w:val="auto"/>
          <w:sz w:val="28"/>
          <w:szCs w:val="28"/>
          <w:highlight w:val="none"/>
        </w:rPr>
      </w:pPr>
    </w:p>
    <w:p w14:paraId="1634CE4C">
      <w:pPr>
        <w:spacing w:line="540" w:lineRule="exact"/>
        <w:ind w:firstLine="437"/>
        <w:rPr>
          <w:rFonts w:hint="eastAsia" w:ascii="仿宋" w:hAnsi="仿宋" w:eastAsia="仿宋"/>
          <w:color w:val="auto"/>
          <w:sz w:val="28"/>
          <w:szCs w:val="28"/>
          <w:highlight w:val="none"/>
        </w:rPr>
      </w:pPr>
    </w:p>
    <w:p w14:paraId="330A7973">
      <w:pPr>
        <w:spacing w:line="540" w:lineRule="exact"/>
        <w:ind w:firstLine="437"/>
        <w:rPr>
          <w:rFonts w:hint="eastAsia" w:ascii="宋体" w:hAnsi="宋体"/>
          <w:color w:val="auto"/>
          <w:sz w:val="32"/>
          <w:szCs w:val="32"/>
          <w:highlight w:val="none"/>
        </w:rPr>
      </w:pP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（项目名称）</w:t>
      </w:r>
      <w:r>
        <w:rPr>
          <w:rFonts w:hint="eastAsia" w:ascii="宋体" w:hAnsi="宋体"/>
          <w:color w:val="auto"/>
          <w:sz w:val="32"/>
          <w:szCs w:val="32"/>
          <w:highlight w:val="none"/>
          <w:u w:val="single"/>
        </w:rPr>
        <w:t xml:space="preserve">     </w:t>
      </w:r>
      <w:r>
        <w:rPr>
          <w:rFonts w:hint="eastAsia" w:ascii="黑体" w:hAnsi="宋体" w:eastAsia="黑体"/>
          <w:color w:val="auto"/>
          <w:sz w:val="32"/>
          <w:szCs w:val="32"/>
          <w:highlight w:val="none"/>
        </w:rPr>
        <w:t>标段工程总承包招标</w:t>
      </w:r>
    </w:p>
    <w:p w14:paraId="0613F770">
      <w:pPr>
        <w:spacing w:line="460" w:lineRule="exact"/>
        <w:ind w:firstLine="437"/>
        <w:rPr>
          <w:rFonts w:hint="eastAsia" w:ascii="宋体" w:hAnsi="宋体"/>
          <w:color w:val="auto"/>
          <w:szCs w:val="21"/>
          <w:highlight w:val="none"/>
        </w:rPr>
      </w:pPr>
    </w:p>
    <w:p w14:paraId="7D928BC1">
      <w:pPr>
        <w:spacing w:line="540" w:lineRule="exact"/>
        <w:rPr>
          <w:rFonts w:hint="eastAsia" w:ascii="宋体" w:hAnsi="宋体"/>
          <w:color w:val="auto"/>
          <w:szCs w:val="21"/>
          <w:highlight w:val="none"/>
        </w:rPr>
      </w:pPr>
    </w:p>
    <w:p w14:paraId="1DAC0D0D">
      <w:pPr>
        <w:spacing w:line="540" w:lineRule="exact"/>
        <w:rPr>
          <w:rFonts w:hint="eastAsia" w:ascii="宋体" w:hAnsi="宋体"/>
          <w:color w:val="auto"/>
          <w:szCs w:val="21"/>
          <w:highlight w:val="none"/>
        </w:rPr>
      </w:pPr>
    </w:p>
    <w:p w14:paraId="60987A6F">
      <w:pPr>
        <w:jc w:val="center"/>
        <w:rPr>
          <w:rFonts w:ascii="黑体" w:eastAsia="黑体"/>
          <w:color w:val="auto"/>
          <w:sz w:val="72"/>
          <w:szCs w:val="72"/>
          <w:highlight w:val="none"/>
        </w:rPr>
      </w:pPr>
      <w:bookmarkStart w:id="4" w:name="_Toc221949913"/>
      <w:r>
        <w:rPr>
          <w:rFonts w:hint="eastAsia" w:ascii="黑体" w:eastAsia="黑体"/>
          <w:color w:val="auto"/>
          <w:sz w:val="72"/>
          <w:szCs w:val="72"/>
          <w:highlight w:val="none"/>
        </w:rPr>
        <w:t>招   标  文  件</w:t>
      </w:r>
      <w:bookmarkEnd w:id="4"/>
    </w:p>
    <w:p w14:paraId="33D687C2">
      <w:pPr>
        <w:spacing w:line="400" w:lineRule="exact"/>
        <w:jc w:val="center"/>
        <w:rPr>
          <w:rFonts w:hint="eastAsia"/>
          <w:color w:val="auto"/>
          <w:highlight w:val="none"/>
        </w:rPr>
      </w:pPr>
    </w:p>
    <w:p w14:paraId="1B09590F">
      <w:pPr>
        <w:spacing w:line="540" w:lineRule="exact"/>
        <w:ind w:firstLine="437"/>
        <w:rPr>
          <w:rFonts w:hint="eastAsia" w:ascii="宋体" w:hAnsi="宋体"/>
          <w:color w:val="auto"/>
          <w:szCs w:val="21"/>
          <w:highlight w:val="none"/>
        </w:rPr>
      </w:pPr>
    </w:p>
    <w:p w14:paraId="03F715AD">
      <w:pPr>
        <w:spacing w:line="540" w:lineRule="exact"/>
        <w:ind w:firstLine="437"/>
        <w:rPr>
          <w:rFonts w:hint="eastAsia" w:ascii="宋体" w:hAnsi="宋体"/>
          <w:color w:val="auto"/>
          <w:szCs w:val="21"/>
          <w:highlight w:val="none"/>
        </w:rPr>
      </w:pPr>
    </w:p>
    <w:p w14:paraId="061A4C38">
      <w:pPr>
        <w:spacing w:line="540" w:lineRule="exact"/>
        <w:ind w:firstLine="437"/>
        <w:rPr>
          <w:rFonts w:hint="eastAsia" w:ascii="宋体" w:hAnsi="宋体"/>
          <w:color w:val="auto"/>
          <w:szCs w:val="21"/>
          <w:highlight w:val="none"/>
        </w:rPr>
      </w:pPr>
    </w:p>
    <w:p w14:paraId="61058B82">
      <w:pPr>
        <w:spacing w:line="760" w:lineRule="exact"/>
        <w:ind w:firstLine="630" w:firstLineChars="196"/>
        <w:rPr>
          <w:rFonts w:hint="eastAsia"/>
          <w:b/>
          <w:color w:val="auto"/>
          <w:sz w:val="32"/>
          <w:szCs w:val="32"/>
          <w:highlight w:val="none"/>
          <w:u w:val="single"/>
        </w:rPr>
      </w:pPr>
      <w:r>
        <w:rPr>
          <w:rFonts w:hint="eastAsia"/>
          <w:b/>
          <w:color w:val="auto"/>
          <w:sz w:val="32"/>
          <w:szCs w:val="32"/>
          <w:highlight w:val="none"/>
        </w:rPr>
        <w:t>交易登记号：</w:t>
      </w:r>
      <w:r>
        <w:rPr>
          <w:rFonts w:hint="eastAsia"/>
          <w:b/>
          <w:color w:val="auto"/>
          <w:sz w:val="32"/>
          <w:szCs w:val="32"/>
          <w:highlight w:val="none"/>
          <w:u w:val="single"/>
        </w:rPr>
        <w:t xml:space="preserve">                                    </w:t>
      </w:r>
    </w:p>
    <w:p w14:paraId="11F2F72E">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招标人（盖章）：</w:t>
      </w:r>
      <w:r>
        <w:rPr>
          <w:rFonts w:hint="eastAsia"/>
          <w:b/>
          <w:color w:val="auto"/>
          <w:sz w:val="32"/>
          <w:szCs w:val="32"/>
          <w:highlight w:val="none"/>
          <w:u w:val="single"/>
        </w:rPr>
        <w:t xml:space="preserve">                               </w:t>
      </w:r>
    </w:p>
    <w:p w14:paraId="3AA5E4B5">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招标人法定代表人（签字）</w:t>
      </w:r>
      <w:r>
        <w:rPr>
          <w:rFonts w:hint="eastAsia" w:ascii="宋体" w:hAnsi="宋体"/>
          <w:color w:val="auto"/>
          <w:sz w:val="32"/>
          <w:szCs w:val="32"/>
          <w:highlight w:val="none"/>
        </w:rPr>
        <w:t>：</w:t>
      </w:r>
      <w:r>
        <w:rPr>
          <w:rFonts w:hint="eastAsia"/>
          <w:b/>
          <w:color w:val="auto"/>
          <w:sz w:val="32"/>
          <w:szCs w:val="32"/>
          <w:highlight w:val="none"/>
          <w:u w:val="single"/>
        </w:rPr>
        <w:t xml:space="preserve">                     </w:t>
      </w:r>
    </w:p>
    <w:p w14:paraId="71696F06">
      <w:pPr>
        <w:spacing w:line="760" w:lineRule="exact"/>
        <w:ind w:firstLine="630" w:firstLineChars="196"/>
        <w:rPr>
          <w:rFonts w:hint="eastAsia"/>
          <w:b/>
          <w:color w:val="auto"/>
          <w:sz w:val="32"/>
          <w:szCs w:val="32"/>
          <w:highlight w:val="none"/>
        </w:rPr>
      </w:pPr>
      <w:r>
        <w:rPr>
          <w:rFonts w:hint="eastAsia"/>
          <w:b/>
          <w:color w:val="auto"/>
          <w:sz w:val="32"/>
          <w:szCs w:val="32"/>
          <w:highlight w:val="none"/>
        </w:rPr>
        <w:t>联系人及电话：</w:t>
      </w:r>
      <w:r>
        <w:rPr>
          <w:rFonts w:hint="eastAsia"/>
          <w:b/>
          <w:color w:val="auto"/>
          <w:sz w:val="32"/>
          <w:szCs w:val="32"/>
          <w:highlight w:val="none"/>
          <w:u w:val="single"/>
        </w:rPr>
        <w:t xml:space="preserve">                                </w:t>
      </w:r>
    </w:p>
    <w:p w14:paraId="756A7CA1">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招标代理机构（盖章）：</w:t>
      </w:r>
      <w:r>
        <w:rPr>
          <w:rFonts w:hint="eastAsia"/>
          <w:b/>
          <w:color w:val="auto"/>
          <w:sz w:val="32"/>
          <w:szCs w:val="32"/>
          <w:highlight w:val="none"/>
          <w:u w:val="single"/>
        </w:rPr>
        <w:t xml:space="preserve">                         </w:t>
      </w:r>
    </w:p>
    <w:p w14:paraId="700592E9">
      <w:pPr>
        <w:spacing w:line="760" w:lineRule="exact"/>
        <w:ind w:firstLine="630" w:firstLineChars="196"/>
        <w:rPr>
          <w:rFonts w:hint="eastAsia"/>
          <w:b/>
          <w:color w:val="auto"/>
          <w:sz w:val="32"/>
          <w:szCs w:val="32"/>
          <w:highlight w:val="none"/>
        </w:rPr>
      </w:pPr>
      <w:r>
        <w:rPr>
          <w:rFonts w:hint="eastAsia"/>
          <w:b/>
          <w:color w:val="auto"/>
          <w:sz w:val="32"/>
          <w:szCs w:val="32"/>
          <w:highlight w:val="none"/>
        </w:rPr>
        <w:t>经办人及电话：</w:t>
      </w:r>
      <w:r>
        <w:rPr>
          <w:rFonts w:hint="eastAsia"/>
          <w:b/>
          <w:color w:val="auto"/>
          <w:sz w:val="32"/>
          <w:szCs w:val="32"/>
          <w:highlight w:val="none"/>
          <w:u w:val="single"/>
        </w:rPr>
        <w:t xml:space="preserve">                                </w:t>
      </w:r>
    </w:p>
    <w:p w14:paraId="6B93AEF1">
      <w:pPr>
        <w:spacing w:line="540" w:lineRule="exact"/>
        <w:ind w:firstLine="2522" w:firstLineChars="785"/>
        <w:rPr>
          <w:rFonts w:hint="eastAsia"/>
          <w:b/>
          <w:color w:val="auto"/>
          <w:sz w:val="32"/>
          <w:szCs w:val="32"/>
          <w:highlight w:val="none"/>
        </w:rPr>
      </w:pPr>
    </w:p>
    <w:p w14:paraId="54C38F73">
      <w:pPr>
        <w:spacing w:line="540" w:lineRule="exact"/>
        <w:ind w:firstLine="2522" w:firstLineChars="785"/>
        <w:rPr>
          <w:rFonts w:hint="eastAsia"/>
          <w:b/>
          <w:color w:val="auto"/>
          <w:sz w:val="32"/>
          <w:szCs w:val="32"/>
          <w:highlight w:val="none"/>
        </w:rPr>
      </w:pPr>
    </w:p>
    <w:p w14:paraId="2F49E5B5">
      <w:pPr>
        <w:spacing w:line="540" w:lineRule="exact"/>
        <w:ind w:firstLine="2522" w:firstLineChars="785"/>
        <w:rPr>
          <w:rFonts w:hint="eastAsia" w:ascii="宋体" w:hAnsi="宋体"/>
          <w:color w:val="auto"/>
          <w:sz w:val="32"/>
          <w:szCs w:val="32"/>
          <w:highlight w:val="none"/>
        </w:rPr>
      </w:pPr>
      <w:r>
        <w:rPr>
          <w:rFonts w:hint="eastAsia"/>
          <w:b/>
          <w:color w:val="auto"/>
          <w:sz w:val="32"/>
          <w:szCs w:val="32"/>
          <w:highlight w:val="none"/>
        </w:rPr>
        <w:t xml:space="preserve"> </w:t>
      </w:r>
      <w:r>
        <w:rPr>
          <w:rFonts w:hint="eastAsia"/>
          <w:b/>
          <w:color w:val="auto"/>
          <w:sz w:val="32"/>
          <w:szCs w:val="32"/>
          <w:highlight w:val="none"/>
          <w:u w:val="single"/>
        </w:rPr>
        <w:t xml:space="preserve">      </w:t>
      </w:r>
      <w:r>
        <w:rPr>
          <w:rFonts w:hint="eastAsia"/>
          <w:b/>
          <w:color w:val="auto"/>
          <w:sz w:val="32"/>
          <w:szCs w:val="32"/>
          <w:highlight w:val="none"/>
        </w:rPr>
        <w:t>年</w:t>
      </w:r>
      <w:r>
        <w:rPr>
          <w:rFonts w:hint="eastAsia"/>
          <w:b/>
          <w:color w:val="auto"/>
          <w:sz w:val="32"/>
          <w:szCs w:val="32"/>
          <w:highlight w:val="none"/>
          <w:u w:val="single"/>
        </w:rPr>
        <w:t xml:space="preserve">      </w:t>
      </w:r>
      <w:r>
        <w:rPr>
          <w:rFonts w:hint="eastAsia"/>
          <w:b/>
          <w:color w:val="auto"/>
          <w:sz w:val="32"/>
          <w:szCs w:val="32"/>
          <w:highlight w:val="none"/>
        </w:rPr>
        <w:t>月</w:t>
      </w:r>
      <w:r>
        <w:rPr>
          <w:rFonts w:hint="eastAsia"/>
          <w:b/>
          <w:color w:val="auto"/>
          <w:sz w:val="32"/>
          <w:szCs w:val="32"/>
          <w:highlight w:val="none"/>
          <w:u w:val="single"/>
        </w:rPr>
        <w:t xml:space="preserve">      </w:t>
      </w:r>
      <w:r>
        <w:rPr>
          <w:rFonts w:hint="eastAsia"/>
          <w:b/>
          <w:color w:val="auto"/>
          <w:sz w:val="32"/>
          <w:szCs w:val="32"/>
          <w:highlight w:val="none"/>
        </w:rPr>
        <w:t>日</w:t>
      </w:r>
    </w:p>
    <w:p w14:paraId="77209703">
      <w:pPr>
        <w:spacing w:line="540" w:lineRule="exact"/>
        <w:ind w:firstLine="2192" w:firstLineChars="685"/>
        <w:rPr>
          <w:rFonts w:ascii="宋体" w:hAnsi="宋体"/>
          <w:color w:val="auto"/>
          <w:sz w:val="32"/>
          <w:szCs w:val="32"/>
          <w:highlight w:val="none"/>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linePitch="312" w:charSpace="0"/>
        </w:sectPr>
      </w:pPr>
    </w:p>
    <w:p w14:paraId="74046E76">
      <w:pPr>
        <w:snapToGrid w:val="0"/>
        <w:spacing w:line="360" w:lineRule="auto"/>
        <w:jc w:val="center"/>
        <w:rPr>
          <w:rFonts w:hint="eastAsia" w:ascii="黑体" w:hAnsi="黑体" w:eastAsia="黑体"/>
          <w:b/>
          <w:color w:val="auto"/>
          <w:szCs w:val="21"/>
          <w:highlight w:val="none"/>
        </w:rPr>
      </w:pPr>
      <w:bookmarkStart w:id="5" w:name="_Toc144974478"/>
      <w:bookmarkStart w:id="6" w:name="_Toc247527532"/>
      <w:bookmarkStart w:id="7" w:name="_Toc300834926"/>
      <w:bookmarkStart w:id="8" w:name="_Toc152042286"/>
    </w:p>
    <w:p w14:paraId="27F123D8">
      <w:pPr>
        <w:jc w:val="cente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目   录</w:t>
      </w:r>
      <w:bookmarkEnd w:id="5"/>
      <w:bookmarkEnd w:id="6"/>
      <w:bookmarkEnd w:id="7"/>
      <w:bookmarkEnd w:id="8"/>
    </w:p>
    <w:sdt>
      <w:sdtPr>
        <w:rPr>
          <w:rFonts w:ascii="宋体" w:hAnsi="宋体" w:eastAsia="宋体" w:cs="Times New Roman"/>
          <w:kern w:val="2"/>
          <w:sz w:val="21"/>
          <w:szCs w:val="24"/>
          <w:highlight w:val="none"/>
          <w:lang w:val="en-US" w:eastAsia="zh-CN" w:bidi="ar-SA"/>
        </w:rPr>
        <w:id w:val="147455084"/>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55475281">
          <w:pPr>
            <w:spacing w:before="0" w:beforeLines="0" w:after="0" w:afterLines="0" w:line="240" w:lineRule="auto"/>
            <w:ind w:left="0" w:leftChars="0" w:right="0" w:rightChars="0" w:firstLine="0" w:firstLineChars="0"/>
            <w:jc w:val="center"/>
            <w:rPr>
              <w:highlight w:val="none"/>
            </w:rPr>
          </w:pPr>
          <w:r>
            <w:rPr>
              <w:rFonts w:ascii="宋体" w:hAnsi="宋体" w:eastAsia="宋体"/>
              <w:sz w:val="21"/>
              <w:highlight w:val="none"/>
            </w:rPr>
            <w:t>目录</w:t>
          </w:r>
        </w:p>
        <w:p w14:paraId="017757C2">
          <w:pPr>
            <w:pStyle w:val="27"/>
            <w:tabs>
              <w:tab w:val="right" w:leader="dot" w:pos="8306"/>
            </w:tabs>
            <w:rPr>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_Toc23969 </w:instrText>
          </w:r>
          <w:r>
            <w:rPr>
              <w:highlight w:val="none"/>
            </w:rPr>
            <w:fldChar w:fldCharType="separate"/>
          </w:r>
          <w:r>
            <w:rPr>
              <w:rFonts w:hint="eastAsia"/>
              <w:highlight w:val="none"/>
            </w:rPr>
            <w:t>第一章 招标公告</w:t>
          </w:r>
          <w:r>
            <w:rPr>
              <w:highlight w:val="none"/>
            </w:rPr>
            <w:tab/>
          </w:r>
          <w:r>
            <w:rPr>
              <w:highlight w:val="none"/>
            </w:rPr>
            <w:fldChar w:fldCharType="begin"/>
          </w:r>
          <w:r>
            <w:rPr>
              <w:highlight w:val="none"/>
            </w:rPr>
            <w:instrText xml:space="preserve"> PAGEREF _Toc23969 \h </w:instrText>
          </w:r>
          <w:r>
            <w:rPr>
              <w:highlight w:val="none"/>
            </w:rPr>
            <w:fldChar w:fldCharType="separate"/>
          </w:r>
          <w:r>
            <w:rPr>
              <w:highlight w:val="none"/>
            </w:rPr>
            <w:t>1</w:t>
          </w:r>
          <w:r>
            <w:rPr>
              <w:highlight w:val="none"/>
            </w:rPr>
            <w:fldChar w:fldCharType="end"/>
          </w:r>
          <w:r>
            <w:rPr>
              <w:color w:val="auto"/>
              <w:highlight w:val="none"/>
            </w:rPr>
            <w:fldChar w:fldCharType="end"/>
          </w:r>
        </w:p>
        <w:p w14:paraId="7408D5D5">
          <w:pPr>
            <w:pStyle w:val="31"/>
            <w:tabs>
              <w:tab w:val="right" w:leader="dot" w:pos="8306"/>
            </w:tabs>
            <w:rPr>
              <w:highlight w:val="none"/>
            </w:rPr>
          </w:pPr>
          <w:r>
            <w:rPr>
              <w:color w:val="auto"/>
              <w:highlight w:val="none"/>
            </w:rPr>
            <w:fldChar w:fldCharType="begin"/>
          </w:r>
          <w:r>
            <w:rPr>
              <w:highlight w:val="none"/>
            </w:rPr>
            <w:instrText xml:space="preserve"> HYPERLINK \l _Toc16597 </w:instrText>
          </w:r>
          <w:r>
            <w:rPr>
              <w:highlight w:val="none"/>
            </w:rPr>
            <w:fldChar w:fldCharType="separate"/>
          </w:r>
          <w:r>
            <w:rPr>
              <w:rFonts w:ascii="Times New Roman" w:hAnsi="Times New Roman"/>
              <w:szCs w:val="28"/>
              <w:highlight w:val="none"/>
            </w:rPr>
            <w:t>1</w:t>
          </w:r>
          <w:r>
            <w:rPr>
              <w:szCs w:val="28"/>
              <w:highlight w:val="none"/>
            </w:rPr>
            <w:t>. 招标条件</w:t>
          </w:r>
          <w:r>
            <w:rPr>
              <w:highlight w:val="none"/>
            </w:rPr>
            <w:tab/>
          </w:r>
          <w:r>
            <w:rPr>
              <w:highlight w:val="none"/>
            </w:rPr>
            <w:fldChar w:fldCharType="begin"/>
          </w:r>
          <w:r>
            <w:rPr>
              <w:highlight w:val="none"/>
            </w:rPr>
            <w:instrText xml:space="preserve"> PAGEREF _Toc16597 \h </w:instrText>
          </w:r>
          <w:r>
            <w:rPr>
              <w:highlight w:val="none"/>
            </w:rPr>
            <w:fldChar w:fldCharType="separate"/>
          </w:r>
          <w:r>
            <w:rPr>
              <w:highlight w:val="none"/>
            </w:rPr>
            <w:t>1</w:t>
          </w:r>
          <w:r>
            <w:rPr>
              <w:highlight w:val="none"/>
            </w:rPr>
            <w:fldChar w:fldCharType="end"/>
          </w:r>
          <w:r>
            <w:rPr>
              <w:color w:val="auto"/>
              <w:highlight w:val="none"/>
            </w:rPr>
            <w:fldChar w:fldCharType="end"/>
          </w:r>
        </w:p>
        <w:p w14:paraId="28D2E493">
          <w:pPr>
            <w:pStyle w:val="31"/>
            <w:tabs>
              <w:tab w:val="right" w:leader="dot" w:pos="8306"/>
            </w:tabs>
            <w:rPr>
              <w:highlight w:val="none"/>
            </w:rPr>
          </w:pPr>
          <w:r>
            <w:rPr>
              <w:color w:val="auto"/>
              <w:highlight w:val="none"/>
            </w:rPr>
            <w:fldChar w:fldCharType="begin"/>
          </w:r>
          <w:r>
            <w:rPr>
              <w:highlight w:val="none"/>
            </w:rPr>
            <w:instrText xml:space="preserve"> HYPERLINK \l _Toc18049 </w:instrText>
          </w:r>
          <w:r>
            <w:rPr>
              <w:highlight w:val="none"/>
            </w:rPr>
            <w:fldChar w:fldCharType="separate"/>
          </w:r>
          <w:r>
            <w:rPr>
              <w:rFonts w:ascii="Times New Roman" w:hAnsi="Times New Roman"/>
              <w:szCs w:val="28"/>
              <w:highlight w:val="none"/>
            </w:rPr>
            <w:t>2. 项目概况与招标范围</w:t>
          </w:r>
          <w:r>
            <w:rPr>
              <w:highlight w:val="none"/>
            </w:rPr>
            <w:tab/>
          </w:r>
          <w:r>
            <w:rPr>
              <w:highlight w:val="none"/>
            </w:rPr>
            <w:fldChar w:fldCharType="begin"/>
          </w:r>
          <w:r>
            <w:rPr>
              <w:highlight w:val="none"/>
            </w:rPr>
            <w:instrText xml:space="preserve"> PAGEREF _Toc18049 \h </w:instrText>
          </w:r>
          <w:r>
            <w:rPr>
              <w:highlight w:val="none"/>
            </w:rPr>
            <w:fldChar w:fldCharType="separate"/>
          </w:r>
          <w:r>
            <w:rPr>
              <w:highlight w:val="none"/>
            </w:rPr>
            <w:t>1</w:t>
          </w:r>
          <w:r>
            <w:rPr>
              <w:highlight w:val="none"/>
            </w:rPr>
            <w:fldChar w:fldCharType="end"/>
          </w:r>
          <w:r>
            <w:rPr>
              <w:color w:val="auto"/>
              <w:highlight w:val="none"/>
            </w:rPr>
            <w:fldChar w:fldCharType="end"/>
          </w:r>
        </w:p>
        <w:p w14:paraId="2F63BF65">
          <w:pPr>
            <w:pStyle w:val="31"/>
            <w:tabs>
              <w:tab w:val="right" w:leader="dot" w:pos="8306"/>
            </w:tabs>
            <w:rPr>
              <w:highlight w:val="none"/>
            </w:rPr>
          </w:pPr>
          <w:r>
            <w:rPr>
              <w:color w:val="auto"/>
              <w:highlight w:val="none"/>
            </w:rPr>
            <w:fldChar w:fldCharType="begin"/>
          </w:r>
          <w:r>
            <w:rPr>
              <w:highlight w:val="none"/>
            </w:rPr>
            <w:instrText xml:space="preserve"> HYPERLINK \l _Toc13654 </w:instrText>
          </w:r>
          <w:r>
            <w:rPr>
              <w:highlight w:val="none"/>
            </w:rPr>
            <w:fldChar w:fldCharType="separate"/>
          </w:r>
          <w:r>
            <w:rPr>
              <w:rFonts w:ascii="Times New Roman" w:hAnsi="Times New Roman"/>
              <w:szCs w:val="28"/>
              <w:highlight w:val="none"/>
            </w:rPr>
            <w:t>3. 投标人资格要求</w:t>
          </w:r>
          <w:r>
            <w:rPr>
              <w:rFonts w:hint="eastAsia" w:ascii="Times New Roman" w:hAnsi="Times New Roman"/>
              <w:szCs w:val="28"/>
              <w:highlight w:val="none"/>
            </w:rPr>
            <w:t>（应与网上发布的公告一致）</w:t>
          </w:r>
          <w:r>
            <w:rPr>
              <w:highlight w:val="none"/>
            </w:rPr>
            <w:tab/>
          </w:r>
          <w:r>
            <w:rPr>
              <w:highlight w:val="none"/>
            </w:rPr>
            <w:fldChar w:fldCharType="begin"/>
          </w:r>
          <w:r>
            <w:rPr>
              <w:highlight w:val="none"/>
            </w:rPr>
            <w:instrText xml:space="preserve"> PAGEREF _Toc13654 \h </w:instrText>
          </w:r>
          <w:r>
            <w:rPr>
              <w:highlight w:val="none"/>
            </w:rPr>
            <w:fldChar w:fldCharType="separate"/>
          </w:r>
          <w:r>
            <w:rPr>
              <w:highlight w:val="none"/>
            </w:rPr>
            <w:t>1</w:t>
          </w:r>
          <w:r>
            <w:rPr>
              <w:highlight w:val="none"/>
            </w:rPr>
            <w:fldChar w:fldCharType="end"/>
          </w:r>
          <w:r>
            <w:rPr>
              <w:color w:val="auto"/>
              <w:highlight w:val="none"/>
            </w:rPr>
            <w:fldChar w:fldCharType="end"/>
          </w:r>
        </w:p>
        <w:p w14:paraId="27587F7C">
          <w:pPr>
            <w:pStyle w:val="31"/>
            <w:tabs>
              <w:tab w:val="right" w:leader="dot" w:pos="8306"/>
            </w:tabs>
            <w:rPr>
              <w:highlight w:val="none"/>
            </w:rPr>
          </w:pPr>
          <w:r>
            <w:rPr>
              <w:color w:val="auto"/>
              <w:highlight w:val="none"/>
            </w:rPr>
            <w:fldChar w:fldCharType="begin"/>
          </w:r>
          <w:r>
            <w:rPr>
              <w:highlight w:val="none"/>
            </w:rPr>
            <w:instrText xml:space="preserve"> HYPERLINK \l _Toc59 </w:instrText>
          </w:r>
          <w:r>
            <w:rPr>
              <w:highlight w:val="none"/>
            </w:rPr>
            <w:fldChar w:fldCharType="separate"/>
          </w:r>
          <w:r>
            <w:rPr>
              <w:rFonts w:ascii="Times New Roman" w:hAnsi="Times New Roman"/>
              <w:szCs w:val="28"/>
              <w:highlight w:val="none"/>
            </w:rPr>
            <w:t>4. 招标文件的获取</w:t>
          </w:r>
          <w:r>
            <w:rPr>
              <w:highlight w:val="none"/>
            </w:rPr>
            <w:tab/>
          </w:r>
          <w:r>
            <w:rPr>
              <w:highlight w:val="none"/>
            </w:rPr>
            <w:fldChar w:fldCharType="begin"/>
          </w:r>
          <w:r>
            <w:rPr>
              <w:highlight w:val="none"/>
            </w:rPr>
            <w:instrText xml:space="preserve"> PAGEREF _Toc59 \h </w:instrText>
          </w:r>
          <w:r>
            <w:rPr>
              <w:highlight w:val="none"/>
            </w:rPr>
            <w:fldChar w:fldCharType="separate"/>
          </w:r>
          <w:r>
            <w:rPr>
              <w:highlight w:val="none"/>
            </w:rPr>
            <w:t>2</w:t>
          </w:r>
          <w:r>
            <w:rPr>
              <w:highlight w:val="none"/>
            </w:rPr>
            <w:fldChar w:fldCharType="end"/>
          </w:r>
          <w:r>
            <w:rPr>
              <w:color w:val="auto"/>
              <w:highlight w:val="none"/>
            </w:rPr>
            <w:fldChar w:fldCharType="end"/>
          </w:r>
        </w:p>
        <w:p w14:paraId="0DEBE625">
          <w:pPr>
            <w:pStyle w:val="31"/>
            <w:tabs>
              <w:tab w:val="right" w:leader="dot" w:pos="8306"/>
            </w:tabs>
            <w:rPr>
              <w:highlight w:val="none"/>
            </w:rPr>
          </w:pPr>
          <w:r>
            <w:rPr>
              <w:color w:val="auto"/>
              <w:highlight w:val="none"/>
            </w:rPr>
            <w:fldChar w:fldCharType="begin"/>
          </w:r>
          <w:r>
            <w:rPr>
              <w:highlight w:val="none"/>
            </w:rPr>
            <w:instrText xml:space="preserve"> HYPERLINK \l _Toc21647 </w:instrText>
          </w:r>
          <w:r>
            <w:rPr>
              <w:highlight w:val="none"/>
            </w:rPr>
            <w:fldChar w:fldCharType="separate"/>
          </w:r>
          <w:r>
            <w:rPr>
              <w:rFonts w:ascii="Times New Roman" w:hAnsi="Times New Roman"/>
              <w:szCs w:val="28"/>
              <w:highlight w:val="none"/>
            </w:rPr>
            <w:t>5. 投标文件的递交</w:t>
          </w:r>
          <w:r>
            <w:rPr>
              <w:highlight w:val="none"/>
            </w:rPr>
            <w:tab/>
          </w:r>
          <w:r>
            <w:rPr>
              <w:highlight w:val="none"/>
            </w:rPr>
            <w:fldChar w:fldCharType="begin"/>
          </w:r>
          <w:r>
            <w:rPr>
              <w:highlight w:val="none"/>
            </w:rPr>
            <w:instrText xml:space="preserve"> PAGEREF _Toc21647 \h </w:instrText>
          </w:r>
          <w:r>
            <w:rPr>
              <w:highlight w:val="none"/>
            </w:rPr>
            <w:fldChar w:fldCharType="separate"/>
          </w:r>
          <w:r>
            <w:rPr>
              <w:highlight w:val="none"/>
            </w:rPr>
            <w:t>2</w:t>
          </w:r>
          <w:r>
            <w:rPr>
              <w:highlight w:val="none"/>
            </w:rPr>
            <w:fldChar w:fldCharType="end"/>
          </w:r>
          <w:r>
            <w:rPr>
              <w:color w:val="auto"/>
              <w:highlight w:val="none"/>
            </w:rPr>
            <w:fldChar w:fldCharType="end"/>
          </w:r>
        </w:p>
        <w:p w14:paraId="7B0AB1E1">
          <w:pPr>
            <w:pStyle w:val="31"/>
            <w:tabs>
              <w:tab w:val="right" w:leader="dot" w:pos="8306"/>
            </w:tabs>
            <w:rPr>
              <w:highlight w:val="none"/>
            </w:rPr>
          </w:pPr>
          <w:r>
            <w:rPr>
              <w:color w:val="auto"/>
              <w:highlight w:val="none"/>
            </w:rPr>
            <w:fldChar w:fldCharType="begin"/>
          </w:r>
          <w:r>
            <w:rPr>
              <w:highlight w:val="none"/>
            </w:rPr>
            <w:instrText xml:space="preserve"> HYPERLINK \l _Toc1791 </w:instrText>
          </w:r>
          <w:r>
            <w:rPr>
              <w:highlight w:val="none"/>
            </w:rPr>
            <w:fldChar w:fldCharType="separate"/>
          </w:r>
          <w:r>
            <w:rPr>
              <w:rFonts w:hint="eastAsia" w:ascii="Times New Roman" w:hAnsi="Times New Roman"/>
              <w:szCs w:val="28"/>
              <w:highlight w:val="none"/>
            </w:rPr>
            <w:t>6. 投标相关事宜</w:t>
          </w:r>
          <w:r>
            <w:rPr>
              <w:highlight w:val="none"/>
            </w:rPr>
            <w:tab/>
          </w:r>
          <w:r>
            <w:rPr>
              <w:highlight w:val="none"/>
            </w:rPr>
            <w:fldChar w:fldCharType="begin"/>
          </w:r>
          <w:r>
            <w:rPr>
              <w:highlight w:val="none"/>
            </w:rPr>
            <w:instrText xml:space="preserve"> PAGEREF _Toc1791 \h </w:instrText>
          </w:r>
          <w:r>
            <w:rPr>
              <w:highlight w:val="none"/>
            </w:rPr>
            <w:fldChar w:fldCharType="separate"/>
          </w:r>
          <w:r>
            <w:rPr>
              <w:highlight w:val="none"/>
            </w:rPr>
            <w:t>3</w:t>
          </w:r>
          <w:r>
            <w:rPr>
              <w:highlight w:val="none"/>
            </w:rPr>
            <w:fldChar w:fldCharType="end"/>
          </w:r>
          <w:r>
            <w:rPr>
              <w:color w:val="auto"/>
              <w:highlight w:val="none"/>
            </w:rPr>
            <w:fldChar w:fldCharType="end"/>
          </w:r>
        </w:p>
        <w:p w14:paraId="08C6BBB3">
          <w:pPr>
            <w:pStyle w:val="31"/>
            <w:tabs>
              <w:tab w:val="right" w:leader="dot" w:pos="8306"/>
            </w:tabs>
            <w:rPr>
              <w:highlight w:val="none"/>
            </w:rPr>
          </w:pPr>
          <w:r>
            <w:rPr>
              <w:color w:val="auto"/>
              <w:highlight w:val="none"/>
            </w:rPr>
            <w:fldChar w:fldCharType="begin"/>
          </w:r>
          <w:r>
            <w:rPr>
              <w:highlight w:val="none"/>
            </w:rPr>
            <w:instrText xml:space="preserve"> HYPERLINK \l _Toc13845 </w:instrText>
          </w:r>
          <w:r>
            <w:rPr>
              <w:highlight w:val="none"/>
            </w:rPr>
            <w:fldChar w:fldCharType="separate"/>
          </w:r>
          <w:r>
            <w:rPr>
              <w:rFonts w:hint="eastAsia" w:ascii="Times New Roman" w:hAnsi="Times New Roman"/>
              <w:szCs w:val="28"/>
              <w:highlight w:val="none"/>
            </w:rPr>
            <w:t>7. 评标办法</w:t>
          </w:r>
          <w:r>
            <w:rPr>
              <w:highlight w:val="none"/>
            </w:rPr>
            <w:tab/>
          </w:r>
          <w:r>
            <w:rPr>
              <w:highlight w:val="none"/>
            </w:rPr>
            <w:fldChar w:fldCharType="begin"/>
          </w:r>
          <w:r>
            <w:rPr>
              <w:highlight w:val="none"/>
            </w:rPr>
            <w:instrText xml:space="preserve"> PAGEREF _Toc13845 \h </w:instrText>
          </w:r>
          <w:r>
            <w:rPr>
              <w:highlight w:val="none"/>
            </w:rPr>
            <w:fldChar w:fldCharType="separate"/>
          </w:r>
          <w:r>
            <w:rPr>
              <w:highlight w:val="none"/>
            </w:rPr>
            <w:t>3</w:t>
          </w:r>
          <w:r>
            <w:rPr>
              <w:highlight w:val="none"/>
            </w:rPr>
            <w:fldChar w:fldCharType="end"/>
          </w:r>
          <w:r>
            <w:rPr>
              <w:color w:val="auto"/>
              <w:highlight w:val="none"/>
            </w:rPr>
            <w:fldChar w:fldCharType="end"/>
          </w:r>
        </w:p>
        <w:p w14:paraId="52FBB41F">
          <w:pPr>
            <w:pStyle w:val="31"/>
            <w:tabs>
              <w:tab w:val="right" w:leader="dot" w:pos="8306"/>
            </w:tabs>
            <w:rPr>
              <w:highlight w:val="none"/>
            </w:rPr>
          </w:pPr>
          <w:r>
            <w:rPr>
              <w:color w:val="auto"/>
              <w:highlight w:val="none"/>
            </w:rPr>
            <w:fldChar w:fldCharType="begin"/>
          </w:r>
          <w:r>
            <w:rPr>
              <w:highlight w:val="none"/>
            </w:rPr>
            <w:instrText xml:space="preserve"> HYPERLINK \l _Toc6028 </w:instrText>
          </w:r>
          <w:r>
            <w:rPr>
              <w:highlight w:val="none"/>
            </w:rPr>
            <w:fldChar w:fldCharType="separate"/>
          </w:r>
          <w:r>
            <w:rPr>
              <w:rFonts w:hint="eastAsia" w:ascii="Times New Roman" w:hAnsi="Times New Roman"/>
              <w:szCs w:val="28"/>
              <w:highlight w:val="none"/>
            </w:rPr>
            <w:t>8. 发布公告的媒介</w:t>
          </w:r>
          <w:r>
            <w:rPr>
              <w:highlight w:val="none"/>
            </w:rPr>
            <w:tab/>
          </w:r>
          <w:r>
            <w:rPr>
              <w:highlight w:val="none"/>
            </w:rPr>
            <w:fldChar w:fldCharType="begin"/>
          </w:r>
          <w:r>
            <w:rPr>
              <w:highlight w:val="none"/>
            </w:rPr>
            <w:instrText xml:space="preserve"> PAGEREF _Toc6028 \h </w:instrText>
          </w:r>
          <w:r>
            <w:rPr>
              <w:highlight w:val="none"/>
            </w:rPr>
            <w:fldChar w:fldCharType="separate"/>
          </w:r>
          <w:r>
            <w:rPr>
              <w:highlight w:val="none"/>
            </w:rPr>
            <w:t>3</w:t>
          </w:r>
          <w:r>
            <w:rPr>
              <w:highlight w:val="none"/>
            </w:rPr>
            <w:fldChar w:fldCharType="end"/>
          </w:r>
          <w:r>
            <w:rPr>
              <w:color w:val="auto"/>
              <w:highlight w:val="none"/>
            </w:rPr>
            <w:fldChar w:fldCharType="end"/>
          </w:r>
        </w:p>
        <w:p w14:paraId="391BE2B1">
          <w:pPr>
            <w:pStyle w:val="31"/>
            <w:tabs>
              <w:tab w:val="right" w:leader="dot" w:pos="8306"/>
            </w:tabs>
            <w:rPr>
              <w:highlight w:val="none"/>
            </w:rPr>
          </w:pPr>
          <w:r>
            <w:rPr>
              <w:color w:val="auto"/>
              <w:highlight w:val="none"/>
            </w:rPr>
            <w:fldChar w:fldCharType="begin"/>
          </w:r>
          <w:r>
            <w:rPr>
              <w:highlight w:val="none"/>
            </w:rPr>
            <w:instrText xml:space="preserve"> HYPERLINK \l _Toc8493 </w:instrText>
          </w:r>
          <w:r>
            <w:rPr>
              <w:highlight w:val="none"/>
            </w:rPr>
            <w:fldChar w:fldCharType="separate"/>
          </w:r>
          <w:r>
            <w:rPr>
              <w:rFonts w:hint="eastAsia" w:ascii="Times New Roman" w:hAnsi="Times New Roman"/>
              <w:szCs w:val="28"/>
              <w:highlight w:val="none"/>
            </w:rPr>
            <w:t>9</w:t>
          </w:r>
          <w:r>
            <w:rPr>
              <w:rFonts w:ascii="Times New Roman" w:hAnsi="Times New Roman"/>
              <w:szCs w:val="28"/>
              <w:highlight w:val="none"/>
            </w:rPr>
            <w:t>. 联系方式</w:t>
          </w:r>
          <w:r>
            <w:rPr>
              <w:highlight w:val="none"/>
            </w:rPr>
            <w:tab/>
          </w:r>
          <w:r>
            <w:rPr>
              <w:highlight w:val="none"/>
            </w:rPr>
            <w:fldChar w:fldCharType="begin"/>
          </w:r>
          <w:r>
            <w:rPr>
              <w:highlight w:val="none"/>
            </w:rPr>
            <w:instrText xml:space="preserve"> PAGEREF _Toc8493 \h </w:instrText>
          </w:r>
          <w:r>
            <w:rPr>
              <w:highlight w:val="none"/>
            </w:rPr>
            <w:fldChar w:fldCharType="separate"/>
          </w:r>
          <w:r>
            <w:rPr>
              <w:highlight w:val="none"/>
            </w:rPr>
            <w:t>3</w:t>
          </w:r>
          <w:r>
            <w:rPr>
              <w:highlight w:val="none"/>
            </w:rPr>
            <w:fldChar w:fldCharType="end"/>
          </w:r>
          <w:r>
            <w:rPr>
              <w:color w:val="auto"/>
              <w:highlight w:val="none"/>
            </w:rPr>
            <w:fldChar w:fldCharType="end"/>
          </w:r>
        </w:p>
        <w:p w14:paraId="509395D3">
          <w:pPr>
            <w:pStyle w:val="27"/>
            <w:tabs>
              <w:tab w:val="right" w:leader="dot" w:pos="8306"/>
            </w:tabs>
            <w:rPr>
              <w:highlight w:val="none"/>
            </w:rPr>
          </w:pPr>
          <w:r>
            <w:rPr>
              <w:color w:val="auto"/>
              <w:highlight w:val="none"/>
            </w:rPr>
            <w:fldChar w:fldCharType="begin"/>
          </w:r>
          <w:r>
            <w:rPr>
              <w:highlight w:val="none"/>
            </w:rPr>
            <w:instrText xml:space="preserve"> HYPERLINK \l _Toc19371 </w:instrText>
          </w:r>
          <w:r>
            <w:rPr>
              <w:highlight w:val="none"/>
            </w:rPr>
            <w:fldChar w:fldCharType="separate"/>
          </w:r>
          <w:r>
            <w:rPr>
              <w:rFonts w:cs="Times New Roman"/>
              <w:highlight w:val="none"/>
            </w:rPr>
            <w:t>第一章 投标邀请书（适用于邀请招标）</w:t>
          </w:r>
          <w:r>
            <w:rPr>
              <w:highlight w:val="none"/>
            </w:rPr>
            <w:tab/>
          </w:r>
          <w:r>
            <w:rPr>
              <w:highlight w:val="none"/>
            </w:rPr>
            <w:fldChar w:fldCharType="begin"/>
          </w:r>
          <w:r>
            <w:rPr>
              <w:highlight w:val="none"/>
            </w:rPr>
            <w:instrText xml:space="preserve"> PAGEREF _Toc19371 \h </w:instrText>
          </w:r>
          <w:r>
            <w:rPr>
              <w:highlight w:val="none"/>
            </w:rPr>
            <w:fldChar w:fldCharType="separate"/>
          </w:r>
          <w:r>
            <w:rPr>
              <w:highlight w:val="none"/>
            </w:rPr>
            <w:t>5</w:t>
          </w:r>
          <w:r>
            <w:rPr>
              <w:highlight w:val="none"/>
            </w:rPr>
            <w:fldChar w:fldCharType="end"/>
          </w:r>
          <w:r>
            <w:rPr>
              <w:color w:val="auto"/>
              <w:highlight w:val="none"/>
            </w:rPr>
            <w:fldChar w:fldCharType="end"/>
          </w:r>
        </w:p>
        <w:p w14:paraId="07F50DC8">
          <w:pPr>
            <w:pStyle w:val="31"/>
            <w:tabs>
              <w:tab w:val="right" w:leader="dot" w:pos="8306"/>
            </w:tabs>
            <w:rPr>
              <w:highlight w:val="none"/>
            </w:rPr>
          </w:pPr>
          <w:r>
            <w:rPr>
              <w:color w:val="auto"/>
              <w:highlight w:val="none"/>
            </w:rPr>
            <w:fldChar w:fldCharType="begin"/>
          </w:r>
          <w:r>
            <w:rPr>
              <w:highlight w:val="none"/>
            </w:rPr>
            <w:instrText xml:space="preserve"> HYPERLINK \l _Toc16833 </w:instrText>
          </w:r>
          <w:r>
            <w:rPr>
              <w:highlight w:val="none"/>
            </w:rPr>
            <w:fldChar w:fldCharType="separate"/>
          </w:r>
          <w:r>
            <w:rPr>
              <w:rFonts w:ascii="Times New Roman" w:hAnsi="Times New Roman"/>
              <w:szCs w:val="28"/>
              <w:highlight w:val="none"/>
            </w:rPr>
            <w:t>1. 招标条件</w:t>
          </w:r>
          <w:r>
            <w:rPr>
              <w:highlight w:val="none"/>
            </w:rPr>
            <w:tab/>
          </w:r>
          <w:r>
            <w:rPr>
              <w:highlight w:val="none"/>
            </w:rPr>
            <w:fldChar w:fldCharType="begin"/>
          </w:r>
          <w:r>
            <w:rPr>
              <w:highlight w:val="none"/>
            </w:rPr>
            <w:instrText xml:space="preserve"> PAGEREF _Toc16833 \h </w:instrText>
          </w:r>
          <w:r>
            <w:rPr>
              <w:highlight w:val="none"/>
            </w:rPr>
            <w:fldChar w:fldCharType="separate"/>
          </w:r>
          <w:r>
            <w:rPr>
              <w:highlight w:val="none"/>
            </w:rPr>
            <w:t>5</w:t>
          </w:r>
          <w:r>
            <w:rPr>
              <w:highlight w:val="none"/>
            </w:rPr>
            <w:fldChar w:fldCharType="end"/>
          </w:r>
          <w:r>
            <w:rPr>
              <w:color w:val="auto"/>
              <w:highlight w:val="none"/>
            </w:rPr>
            <w:fldChar w:fldCharType="end"/>
          </w:r>
        </w:p>
        <w:p w14:paraId="599DCEE5">
          <w:pPr>
            <w:pStyle w:val="31"/>
            <w:tabs>
              <w:tab w:val="right" w:leader="dot" w:pos="8306"/>
            </w:tabs>
            <w:rPr>
              <w:highlight w:val="none"/>
            </w:rPr>
          </w:pPr>
          <w:r>
            <w:rPr>
              <w:color w:val="auto"/>
              <w:highlight w:val="none"/>
            </w:rPr>
            <w:fldChar w:fldCharType="begin"/>
          </w:r>
          <w:r>
            <w:rPr>
              <w:highlight w:val="none"/>
            </w:rPr>
            <w:instrText xml:space="preserve"> HYPERLINK \l _Toc23481 </w:instrText>
          </w:r>
          <w:r>
            <w:rPr>
              <w:highlight w:val="none"/>
            </w:rPr>
            <w:fldChar w:fldCharType="separate"/>
          </w:r>
          <w:r>
            <w:rPr>
              <w:rFonts w:ascii="Times New Roman" w:hAnsi="Times New Roman"/>
              <w:szCs w:val="28"/>
              <w:highlight w:val="none"/>
            </w:rPr>
            <w:t>2. 项目概况与招标范围</w:t>
          </w:r>
          <w:r>
            <w:rPr>
              <w:highlight w:val="none"/>
            </w:rPr>
            <w:tab/>
          </w:r>
          <w:r>
            <w:rPr>
              <w:highlight w:val="none"/>
            </w:rPr>
            <w:fldChar w:fldCharType="begin"/>
          </w:r>
          <w:r>
            <w:rPr>
              <w:highlight w:val="none"/>
            </w:rPr>
            <w:instrText xml:space="preserve"> PAGEREF _Toc23481 \h </w:instrText>
          </w:r>
          <w:r>
            <w:rPr>
              <w:highlight w:val="none"/>
            </w:rPr>
            <w:fldChar w:fldCharType="separate"/>
          </w:r>
          <w:r>
            <w:rPr>
              <w:highlight w:val="none"/>
            </w:rPr>
            <w:t>5</w:t>
          </w:r>
          <w:r>
            <w:rPr>
              <w:highlight w:val="none"/>
            </w:rPr>
            <w:fldChar w:fldCharType="end"/>
          </w:r>
          <w:r>
            <w:rPr>
              <w:color w:val="auto"/>
              <w:highlight w:val="none"/>
            </w:rPr>
            <w:fldChar w:fldCharType="end"/>
          </w:r>
        </w:p>
        <w:p w14:paraId="3FA52026">
          <w:pPr>
            <w:pStyle w:val="31"/>
            <w:tabs>
              <w:tab w:val="right" w:leader="dot" w:pos="8306"/>
            </w:tabs>
            <w:rPr>
              <w:highlight w:val="none"/>
            </w:rPr>
          </w:pPr>
          <w:r>
            <w:rPr>
              <w:color w:val="auto"/>
              <w:highlight w:val="none"/>
            </w:rPr>
            <w:fldChar w:fldCharType="begin"/>
          </w:r>
          <w:r>
            <w:rPr>
              <w:highlight w:val="none"/>
            </w:rPr>
            <w:instrText xml:space="preserve"> HYPERLINK \l _Toc16985 </w:instrText>
          </w:r>
          <w:r>
            <w:rPr>
              <w:highlight w:val="none"/>
            </w:rPr>
            <w:fldChar w:fldCharType="separate"/>
          </w:r>
          <w:r>
            <w:rPr>
              <w:rFonts w:ascii="Times New Roman" w:hAnsi="Times New Roman"/>
              <w:szCs w:val="28"/>
              <w:highlight w:val="none"/>
            </w:rPr>
            <w:t>3. 投标人资格要求</w:t>
          </w:r>
          <w:r>
            <w:rPr>
              <w:highlight w:val="none"/>
            </w:rPr>
            <w:tab/>
          </w:r>
          <w:r>
            <w:rPr>
              <w:highlight w:val="none"/>
            </w:rPr>
            <w:fldChar w:fldCharType="begin"/>
          </w:r>
          <w:r>
            <w:rPr>
              <w:highlight w:val="none"/>
            </w:rPr>
            <w:instrText xml:space="preserve"> PAGEREF _Toc16985 \h </w:instrText>
          </w:r>
          <w:r>
            <w:rPr>
              <w:highlight w:val="none"/>
            </w:rPr>
            <w:fldChar w:fldCharType="separate"/>
          </w:r>
          <w:r>
            <w:rPr>
              <w:highlight w:val="none"/>
            </w:rPr>
            <w:t>5</w:t>
          </w:r>
          <w:r>
            <w:rPr>
              <w:highlight w:val="none"/>
            </w:rPr>
            <w:fldChar w:fldCharType="end"/>
          </w:r>
          <w:r>
            <w:rPr>
              <w:color w:val="auto"/>
              <w:highlight w:val="none"/>
            </w:rPr>
            <w:fldChar w:fldCharType="end"/>
          </w:r>
        </w:p>
        <w:p w14:paraId="776CAED9">
          <w:pPr>
            <w:pStyle w:val="31"/>
            <w:tabs>
              <w:tab w:val="right" w:leader="dot" w:pos="8306"/>
            </w:tabs>
            <w:rPr>
              <w:highlight w:val="none"/>
            </w:rPr>
          </w:pPr>
          <w:r>
            <w:rPr>
              <w:color w:val="auto"/>
              <w:highlight w:val="none"/>
            </w:rPr>
            <w:fldChar w:fldCharType="begin"/>
          </w:r>
          <w:r>
            <w:rPr>
              <w:highlight w:val="none"/>
            </w:rPr>
            <w:instrText xml:space="preserve"> HYPERLINK \l _Toc13653 </w:instrText>
          </w:r>
          <w:r>
            <w:rPr>
              <w:highlight w:val="none"/>
            </w:rPr>
            <w:fldChar w:fldCharType="separate"/>
          </w:r>
          <w:r>
            <w:rPr>
              <w:rFonts w:ascii="Times New Roman" w:hAnsi="Times New Roman"/>
              <w:szCs w:val="28"/>
              <w:highlight w:val="none"/>
            </w:rPr>
            <w:t>4. 招标文件的获取</w:t>
          </w:r>
          <w:r>
            <w:rPr>
              <w:highlight w:val="none"/>
            </w:rPr>
            <w:tab/>
          </w:r>
          <w:r>
            <w:rPr>
              <w:highlight w:val="none"/>
            </w:rPr>
            <w:fldChar w:fldCharType="begin"/>
          </w:r>
          <w:r>
            <w:rPr>
              <w:highlight w:val="none"/>
            </w:rPr>
            <w:instrText xml:space="preserve"> PAGEREF _Toc13653 \h </w:instrText>
          </w:r>
          <w:r>
            <w:rPr>
              <w:highlight w:val="none"/>
            </w:rPr>
            <w:fldChar w:fldCharType="separate"/>
          </w:r>
          <w:r>
            <w:rPr>
              <w:highlight w:val="none"/>
            </w:rPr>
            <w:t>6</w:t>
          </w:r>
          <w:r>
            <w:rPr>
              <w:highlight w:val="none"/>
            </w:rPr>
            <w:fldChar w:fldCharType="end"/>
          </w:r>
          <w:r>
            <w:rPr>
              <w:color w:val="auto"/>
              <w:highlight w:val="none"/>
            </w:rPr>
            <w:fldChar w:fldCharType="end"/>
          </w:r>
        </w:p>
        <w:p w14:paraId="7B0C7072">
          <w:pPr>
            <w:pStyle w:val="31"/>
            <w:tabs>
              <w:tab w:val="right" w:leader="dot" w:pos="8306"/>
            </w:tabs>
            <w:rPr>
              <w:highlight w:val="none"/>
            </w:rPr>
          </w:pPr>
          <w:r>
            <w:rPr>
              <w:color w:val="auto"/>
              <w:highlight w:val="none"/>
            </w:rPr>
            <w:fldChar w:fldCharType="begin"/>
          </w:r>
          <w:r>
            <w:rPr>
              <w:highlight w:val="none"/>
            </w:rPr>
            <w:instrText xml:space="preserve"> HYPERLINK \l _Toc23162 </w:instrText>
          </w:r>
          <w:r>
            <w:rPr>
              <w:highlight w:val="none"/>
            </w:rPr>
            <w:fldChar w:fldCharType="separate"/>
          </w:r>
          <w:r>
            <w:rPr>
              <w:rFonts w:hint="eastAsia" w:ascii="Times New Roman" w:hAnsi="Times New Roman"/>
              <w:szCs w:val="28"/>
              <w:highlight w:val="none"/>
            </w:rPr>
            <w:t>6. 投标相关事宜</w:t>
          </w:r>
          <w:r>
            <w:rPr>
              <w:highlight w:val="none"/>
            </w:rPr>
            <w:tab/>
          </w:r>
          <w:r>
            <w:rPr>
              <w:highlight w:val="none"/>
            </w:rPr>
            <w:fldChar w:fldCharType="begin"/>
          </w:r>
          <w:r>
            <w:rPr>
              <w:highlight w:val="none"/>
            </w:rPr>
            <w:instrText xml:space="preserve"> PAGEREF _Toc23162 \h </w:instrText>
          </w:r>
          <w:r>
            <w:rPr>
              <w:highlight w:val="none"/>
            </w:rPr>
            <w:fldChar w:fldCharType="separate"/>
          </w:r>
          <w:r>
            <w:rPr>
              <w:highlight w:val="none"/>
            </w:rPr>
            <w:t>7</w:t>
          </w:r>
          <w:r>
            <w:rPr>
              <w:highlight w:val="none"/>
            </w:rPr>
            <w:fldChar w:fldCharType="end"/>
          </w:r>
          <w:r>
            <w:rPr>
              <w:color w:val="auto"/>
              <w:highlight w:val="none"/>
            </w:rPr>
            <w:fldChar w:fldCharType="end"/>
          </w:r>
        </w:p>
        <w:p w14:paraId="3CE05D86">
          <w:pPr>
            <w:pStyle w:val="31"/>
            <w:tabs>
              <w:tab w:val="right" w:leader="dot" w:pos="8306"/>
            </w:tabs>
            <w:rPr>
              <w:highlight w:val="none"/>
            </w:rPr>
          </w:pPr>
          <w:r>
            <w:rPr>
              <w:color w:val="auto"/>
              <w:highlight w:val="none"/>
            </w:rPr>
            <w:fldChar w:fldCharType="begin"/>
          </w:r>
          <w:r>
            <w:rPr>
              <w:highlight w:val="none"/>
            </w:rPr>
            <w:instrText xml:space="preserve"> HYPERLINK \l _Toc22702 </w:instrText>
          </w:r>
          <w:r>
            <w:rPr>
              <w:highlight w:val="none"/>
            </w:rPr>
            <w:fldChar w:fldCharType="separate"/>
          </w:r>
          <w:r>
            <w:rPr>
              <w:rFonts w:hint="eastAsia" w:ascii="Times New Roman" w:hAnsi="Times New Roman"/>
              <w:szCs w:val="28"/>
              <w:highlight w:val="none"/>
            </w:rPr>
            <w:t>7. 评标办法</w:t>
          </w:r>
          <w:r>
            <w:rPr>
              <w:highlight w:val="none"/>
            </w:rPr>
            <w:tab/>
          </w:r>
          <w:r>
            <w:rPr>
              <w:highlight w:val="none"/>
            </w:rPr>
            <w:fldChar w:fldCharType="begin"/>
          </w:r>
          <w:r>
            <w:rPr>
              <w:highlight w:val="none"/>
            </w:rPr>
            <w:instrText xml:space="preserve"> PAGEREF _Toc22702 \h </w:instrText>
          </w:r>
          <w:r>
            <w:rPr>
              <w:highlight w:val="none"/>
            </w:rPr>
            <w:fldChar w:fldCharType="separate"/>
          </w:r>
          <w:r>
            <w:rPr>
              <w:highlight w:val="none"/>
            </w:rPr>
            <w:t>7</w:t>
          </w:r>
          <w:r>
            <w:rPr>
              <w:highlight w:val="none"/>
            </w:rPr>
            <w:fldChar w:fldCharType="end"/>
          </w:r>
          <w:r>
            <w:rPr>
              <w:color w:val="auto"/>
              <w:highlight w:val="none"/>
            </w:rPr>
            <w:fldChar w:fldCharType="end"/>
          </w:r>
        </w:p>
        <w:p w14:paraId="36CD0CEA">
          <w:pPr>
            <w:pStyle w:val="31"/>
            <w:tabs>
              <w:tab w:val="right" w:leader="dot" w:pos="8306"/>
            </w:tabs>
            <w:rPr>
              <w:highlight w:val="none"/>
            </w:rPr>
          </w:pPr>
          <w:r>
            <w:rPr>
              <w:color w:val="auto"/>
              <w:highlight w:val="none"/>
            </w:rPr>
            <w:fldChar w:fldCharType="begin"/>
          </w:r>
          <w:r>
            <w:rPr>
              <w:highlight w:val="none"/>
            </w:rPr>
            <w:instrText xml:space="preserve"> HYPERLINK \l _Toc7511 </w:instrText>
          </w:r>
          <w:r>
            <w:rPr>
              <w:highlight w:val="none"/>
            </w:rPr>
            <w:fldChar w:fldCharType="separate"/>
          </w:r>
          <w:r>
            <w:rPr>
              <w:rFonts w:hint="eastAsia" w:ascii="Times New Roman" w:hAnsi="Times New Roman"/>
              <w:szCs w:val="28"/>
              <w:highlight w:val="none"/>
            </w:rPr>
            <w:t>8</w:t>
          </w:r>
          <w:r>
            <w:rPr>
              <w:rFonts w:ascii="Times New Roman" w:hAnsi="Times New Roman"/>
              <w:szCs w:val="28"/>
              <w:highlight w:val="none"/>
            </w:rPr>
            <w:t>. 联系方式</w:t>
          </w:r>
          <w:r>
            <w:rPr>
              <w:highlight w:val="none"/>
            </w:rPr>
            <w:tab/>
          </w:r>
          <w:r>
            <w:rPr>
              <w:highlight w:val="none"/>
            </w:rPr>
            <w:fldChar w:fldCharType="begin"/>
          </w:r>
          <w:r>
            <w:rPr>
              <w:highlight w:val="none"/>
            </w:rPr>
            <w:instrText xml:space="preserve"> PAGEREF _Toc7511 \h </w:instrText>
          </w:r>
          <w:r>
            <w:rPr>
              <w:highlight w:val="none"/>
            </w:rPr>
            <w:fldChar w:fldCharType="separate"/>
          </w:r>
          <w:r>
            <w:rPr>
              <w:highlight w:val="none"/>
            </w:rPr>
            <w:t>7</w:t>
          </w:r>
          <w:r>
            <w:rPr>
              <w:highlight w:val="none"/>
            </w:rPr>
            <w:fldChar w:fldCharType="end"/>
          </w:r>
          <w:r>
            <w:rPr>
              <w:color w:val="auto"/>
              <w:highlight w:val="none"/>
            </w:rPr>
            <w:fldChar w:fldCharType="end"/>
          </w:r>
        </w:p>
        <w:p w14:paraId="33317C6C">
          <w:pPr>
            <w:pStyle w:val="27"/>
            <w:tabs>
              <w:tab w:val="right" w:leader="dot" w:pos="8306"/>
            </w:tabs>
            <w:rPr>
              <w:highlight w:val="none"/>
            </w:rPr>
          </w:pPr>
          <w:r>
            <w:rPr>
              <w:color w:val="auto"/>
              <w:highlight w:val="none"/>
            </w:rPr>
            <w:fldChar w:fldCharType="begin"/>
          </w:r>
          <w:r>
            <w:rPr>
              <w:highlight w:val="none"/>
            </w:rPr>
            <w:instrText xml:space="preserve"> HYPERLINK \l _Toc14594 </w:instrText>
          </w:r>
          <w:r>
            <w:rPr>
              <w:highlight w:val="none"/>
            </w:rPr>
            <w:fldChar w:fldCharType="separate"/>
          </w:r>
          <w:r>
            <w:rPr>
              <w:rFonts w:hint="eastAsia" w:eastAsia="黑体"/>
              <w:szCs w:val="20"/>
              <w:highlight w:val="none"/>
            </w:rPr>
            <w:t>第一章 投标邀请书（代资格预审合格通知书）</w:t>
          </w:r>
          <w:r>
            <w:rPr>
              <w:highlight w:val="none"/>
            </w:rPr>
            <w:tab/>
          </w:r>
          <w:r>
            <w:rPr>
              <w:highlight w:val="none"/>
            </w:rPr>
            <w:fldChar w:fldCharType="begin"/>
          </w:r>
          <w:r>
            <w:rPr>
              <w:highlight w:val="none"/>
            </w:rPr>
            <w:instrText xml:space="preserve"> PAGEREF _Toc14594 \h </w:instrText>
          </w:r>
          <w:r>
            <w:rPr>
              <w:highlight w:val="none"/>
            </w:rPr>
            <w:fldChar w:fldCharType="separate"/>
          </w:r>
          <w:r>
            <w:rPr>
              <w:highlight w:val="none"/>
            </w:rPr>
            <w:t>8</w:t>
          </w:r>
          <w:r>
            <w:rPr>
              <w:highlight w:val="none"/>
            </w:rPr>
            <w:fldChar w:fldCharType="end"/>
          </w:r>
          <w:r>
            <w:rPr>
              <w:color w:val="auto"/>
              <w:highlight w:val="none"/>
            </w:rPr>
            <w:fldChar w:fldCharType="end"/>
          </w:r>
        </w:p>
        <w:p w14:paraId="26391E06">
          <w:pPr>
            <w:pStyle w:val="27"/>
            <w:tabs>
              <w:tab w:val="right" w:leader="dot" w:pos="8306"/>
            </w:tabs>
            <w:rPr>
              <w:highlight w:val="none"/>
            </w:rPr>
          </w:pPr>
          <w:r>
            <w:rPr>
              <w:color w:val="auto"/>
              <w:highlight w:val="none"/>
            </w:rPr>
            <w:fldChar w:fldCharType="begin"/>
          </w:r>
          <w:r>
            <w:rPr>
              <w:highlight w:val="none"/>
            </w:rPr>
            <w:instrText xml:space="preserve"> HYPERLINK \l _Toc29371 </w:instrText>
          </w:r>
          <w:r>
            <w:rPr>
              <w:highlight w:val="none"/>
            </w:rPr>
            <w:fldChar w:fldCharType="separate"/>
          </w:r>
          <w:r>
            <w:rPr>
              <w:rFonts w:hint="eastAsia" w:eastAsia="黑体"/>
              <w:szCs w:val="20"/>
              <w:highlight w:val="none"/>
            </w:rPr>
            <w:t>第二章  投标人须知</w:t>
          </w:r>
          <w:r>
            <w:rPr>
              <w:highlight w:val="none"/>
            </w:rPr>
            <w:tab/>
          </w:r>
          <w:r>
            <w:rPr>
              <w:highlight w:val="none"/>
            </w:rPr>
            <w:fldChar w:fldCharType="begin"/>
          </w:r>
          <w:r>
            <w:rPr>
              <w:highlight w:val="none"/>
            </w:rPr>
            <w:instrText xml:space="preserve"> PAGEREF _Toc29371 \h </w:instrText>
          </w:r>
          <w:r>
            <w:rPr>
              <w:highlight w:val="none"/>
            </w:rPr>
            <w:fldChar w:fldCharType="separate"/>
          </w:r>
          <w:r>
            <w:rPr>
              <w:highlight w:val="none"/>
            </w:rPr>
            <w:t>10</w:t>
          </w:r>
          <w:r>
            <w:rPr>
              <w:highlight w:val="none"/>
            </w:rPr>
            <w:fldChar w:fldCharType="end"/>
          </w:r>
          <w:r>
            <w:rPr>
              <w:color w:val="auto"/>
              <w:highlight w:val="none"/>
            </w:rPr>
            <w:fldChar w:fldCharType="end"/>
          </w:r>
        </w:p>
        <w:p w14:paraId="21EBAEC8">
          <w:pPr>
            <w:pStyle w:val="31"/>
            <w:tabs>
              <w:tab w:val="right" w:leader="dot" w:pos="8306"/>
            </w:tabs>
            <w:rPr>
              <w:highlight w:val="none"/>
            </w:rPr>
          </w:pPr>
          <w:r>
            <w:rPr>
              <w:color w:val="auto"/>
              <w:highlight w:val="none"/>
            </w:rPr>
            <w:fldChar w:fldCharType="begin"/>
          </w:r>
          <w:r>
            <w:rPr>
              <w:highlight w:val="none"/>
            </w:rPr>
            <w:instrText xml:space="preserve"> HYPERLINK \l _Toc588 </w:instrText>
          </w:r>
          <w:r>
            <w:rPr>
              <w:highlight w:val="none"/>
            </w:rPr>
            <w:fldChar w:fldCharType="separate"/>
          </w:r>
          <w:r>
            <w:rPr>
              <w:rFonts w:hint="eastAsia" w:ascii="黑体" w:hAnsi="黑体"/>
              <w:bCs w:val="0"/>
              <w:highlight w:val="none"/>
            </w:rPr>
            <w:t>否决投标的情形</w:t>
          </w:r>
          <w:r>
            <w:rPr>
              <w:highlight w:val="none"/>
            </w:rPr>
            <w:tab/>
          </w:r>
          <w:r>
            <w:rPr>
              <w:highlight w:val="none"/>
            </w:rPr>
            <w:fldChar w:fldCharType="begin"/>
          </w:r>
          <w:r>
            <w:rPr>
              <w:highlight w:val="none"/>
            </w:rPr>
            <w:instrText xml:space="preserve"> PAGEREF _Toc588 \h </w:instrText>
          </w:r>
          <w:r>
            <w:rPr>
              <w:highlight w:val="none"/>
            </w:rPr>
            <w:fldChar w:fldCharType="separate"/>
          </w:r>
          <w:r>
            <w:rPr>
              <w:highlight w:val="none"/>
            </w:rPr>
            <w:t>10</w:t>
          </w:r>
          <w:r>
            <w:rPr>
              <w:highlight w:val="none"/>
            </w:rPr>
            <w:fldChar w:fldCharType="end"/>
          </w:r>
          <w:r>
            <w:rPr>
              <w:color w:val="auto"/>
              <w:highlight w:val="none"/>
            </w:rPr>
            <w:fldChar w:fldCharType="end"/>
          </w:r>
        </w:p>
        <w:p w14:paraId="73A180E6">
          <w:pPr>
            <w:pStyle w:val="31"/>
            <w:tabs>
              <w:tab w:val="right" w:leader="dot" w:pos="8306"/>
            </w:tabs>
            <w:rPr>
              <w:highlight w:val="none"/>
            </w:rPr>
          </w:pPr>
          <w:r>
            <w:rPr>
              <w:color w:val="auto"/>
              <w:highlight w:val="none"/>
            </w:rPr>
            <w:fldChar w:fldCharType="begin"/>
          </w:r>
          <w:r>
            <w:rPr>
              <w:highlight w:val="none"/>
            </w:rPr>
            <w:instrText xml:space="preserve"> HYPERLINK \l _Toc13461 </w:instrText>
          </w:r>
          <w:r>
            <w:rPr>
              <w:highlight w:val="none"/>
            </w:rPr>
            <w:fldChar w:fldCharType="separate"/>
          </w:r>
          <w:r>
            <w:rPr>
              <w:rFonts w:hint="eastAsia"/>
              <w:szCs w:val="28"/>
              <w:highlight w:val="none"/>
            </w:rPr>
            <w:t>投标人须知前附表</w:t>
          </w:r>
          <w:r>
            <w:rPr>
              <w:highlight w:val="none"/>
            </w:rPr>
            <w:tab/>
          </w:r>
          <w:r>
            <w:rPr>
              <w:highlight w:val="none"/>
            </w:rPr>
            <w:fldChar w:fldCharType="begin"/>
          </w:r>
          <w:r>
            <w:rPr>
              <w:highlight w:val="none"/>
            </w:rPr>
            <w:instrText xml:space="preserve"> PAGEREF _Toc13461 \h </w:instrText>
          </w:r>
          <w:r>
            <w:rPr>
              <w:highlight w:val="none"/>
            </w:rPr>
            <w:fldChar w:fldCharType="separate"/>
          </w:r>
          <w:r>
            <w:rPr>
              <w:highlight w:val="none"/>
            </w:rPr>
            <w:t>12</w:t>
          </w:r>
          <w:r>
            <w:rPr>
              <w:highlight w:val="none"/>
            </w:rPr>
            <w:fldChar w:fldCharType="end"/>
          </w:r>
          <w:r>
            <w:rPr>
              <w:color w:val="auto"/>
              <w:highlight w:val="none"/>
            </w:rPr>
            <w:fldChar w:fldCharType="end"/>
          </w:r>
        </w:p>
        <w:p w14:paraId="55BB24CD">
          <w:pPr>
            <w:pStyle w:val="31"/>
            <w:tabs>
              <w:tab w:val="right" w:leader="dot" w:pos="8306"/>
            </w:tabs>
            <w:rPr>
              <w:highlight w:val="none"/>
            </w:rPr>
          </w:pPr>
          <w:r>
            <w:rPr>
              <w:color w:val="auto"/>
              <w:highlight w:val="none"/>
            </w:rPr>
            <w:fldChar w:fldCharType="begin"/>
          </w:r>
          <w:r>
            <w:rPr>
              <w:highlight w:val="none"/>
            </w:rPr>
            <w:instrText xml:space="preserve"> HYPERLINK \l _Toc30007 </w:instrText>
          </w:r>
          <w:r>
            <w:rPr>
              <w:highlight w:val="none"/>
            </w:rPr>
            <w:fldChar w:fldCharType="separate"/>
          </w:r>
          <w:r>
            <w:rPr>
              <w:szCs w:val="28"/>
              <w:highlight w:val="none"/>
            </w:rPr>
            <w:t>投标人须知正文部分</w:t>
          </w:r>
          <w:r>
            <w:rPr>
              <w:highlight w:val="none"/>
            </w:rPr>
            <w:tab/>
          </w:r>
          <w:r>
            <w:rPr>
              <w:highlight w:val="none"/>
            </w:rPr>
            <w:fldChar w:fldCharType="begin"/>
          </w:r>
          <w:r>
            <w:rPr>
              <w:highlight w:val="none"/>
            </w:rPr>
            <w:instrText xml:space="preserve"> PAGEREF _Toc30007 \h </w:instrText>
          </w:r>
          <w:r>
            <w:rPr>
              <w:highlight w:val="none"/>
            </w:rPr>
            <w:fldChar w:fldCharType="separate"/>
          </w:r>
          <w:r>
            <w:rPr>
              <w:highlight w:val="none"/>
            </w:rPr>
            <w:t>20</w:t>
          </w:r>
          <w:r>
            <w:rPr>
              <w:highlight w:val="none"/>
            </w:rPr>
            <w:fldChar w:fldCharType="end"/>
          </w:r>
          <w:r>
            <w:rPr>
              <w:color w:val="auto"/>
              <w:highlight w:val="none"/>
            </w:rPr>
            <w:fldChar w:fldCharType="end"/>
          </w:r>
        </w:p>
        <w:p w14:paraId="45413875">
          <w:pPr>
            <w:pStyle w:val="19"/>
            <w:tabs>
              <w:tab w:val="right" w:leader="dot" w:pos="8306"/>
            </w:tabs>
            <w:rPr>
              <w:highlight w:val="none"/>
            </w:rPr>
          </w:pPr>
          <w:r>
            <w:rPr>
              <w:color w:val="auto"/>
              <w:highlight w:val="none"/>
            </w:rPr>
            <w:fldChar w:fldCharType="begin"/>
          </w:r>
          <w:r>
            <w:rPr>
              <w:highlight w:val="none"/>
            </w:rPr>
            <w:instrText xml:space="preserve"> HYPERLINK \l _Toc32141 </w:instrText>
          </w:r>
          <w:r>
            <w:rPr>
              <w:highlight w:val="none"/>
            </w:rPr>
            <w:fldChar w:fldCharType="separate"/>
          </w:r>
          <w:r>
            <w:rPr>
              <w:szCs w:val="28"/>
              <w:highlight w:val="none"/>
            </w:rPr>
            <w:t>1. 总则</w:t>
          </w:r>
          <w:r>
            <w:rPr>
              <w:highlight w:val="none"/>
            </w:rPr>
            <w:tab/>
          </w:r>
          <w:r>
            <w:rPr>
              <w:highlight w:val="none"/>
            </w:rPr>
            <w:fldChar w:fldCharType="begin"/>
          </w:r>
          <w:r>
            <w:rPr>
              <w:highlight w:val="none"/>
            </w:rPr>
            <w:instrText xml:space="preserve"> PAGEREF _Toc32141 \h </w:instrText>
          </w:r>
          <w:r>
            <w:rPr>
              <w:highlight w:val="none"/>
            </w:rPr>
            <w:fldChar w:fldCharType="separate"/>
          </w:r>
          <w:r>
            <w:rPr>
              <w:highlight w:val="none"/>
            </w:rPr>
            <w:t>20</w:t>
          </w:r>
          <w:r>
            <w:rPr>
              <w:highlight w:val="none"/>
            </w:rPr>
            <w:fldChar w:fldCharType="end"/>
          </w:r>
          <w:r>
            <w:rPr>
              <w:color w:val="auto"/>
              <w:highlight w:val="none"/>
            </w:rPr>
            <w:fldChar w:fldCharType="end"/>
          </w:r>
        </w:p>
        <w:p w14:paraId="4D876AD4">
          <w:pPr>
            <w:pStyle w:val="19"/>
            <w:tabs>
              <w:tab w:val="right" w:leader="dot" w:pos="8306"/>
            </w:tabs>
            <w:rPr>
              <w:highlight w:val="none"/>
            </w:rPr>
          </w:pPr>
          <w:r>
            <w:rPr>
              <w:color w:val="auto"/>
              <w:highlight w:val="none"/>
            </w:rPr>
            <w:fldChar w:fldCharType="begin"/>
          </w:r>
          <w:r>
            <w:rPr>
              <w:highlight w:val="none"/>
            </w:rPr>
            <w:instrText xml:space="preserve"> HYPERLINK \l _Toc21450 </w:instrText>
          </w:r>
          <w:r>
            <w:rPr>
              <w:highlight w:val="none"/>
            </w:rPr>
            <w:fldChar w:fldCharType="separate"/>
          </w:r>
          <w:r>
            <w:rPr>
              <w:rFonts w:ascii="黑体" w:hAnsi="黑体"/>
              <w:highlight w:val="none"/>
            </w:rPr>
            <w:t>1.1 项目概况</w:t>
          </w:r>
          <w:r>
            <w:rPr>
              <w:highlight w:val="none"/>
            </w:rPr>
            <w:tab/>
          </w:r>
          <w:r>
            <w:rPr>
              <w:highlight w:val="none"/>
            </w:rPr>
            <w:fldChar w:fldCharType="begin"/>
          </w:r>
          <w:r>
            <w:rPr>
              <w:highlight w:val="none"/>
            </w:rPr>
            <w:instrText xml:space="preserve"> PAGEREF _Toc21450 \h </w:instrText>
          </w:r>
          <w:r>
            <w:rPr>
              <w:highlight w:val="none"/>
            </w:rPr>
            <w:fldChar w:fldCharType="separate"/>
          </w:r>
          <w:r>
            <w:rPr>
              <w:highlight w:val="none"/>
            </w:rPr>
            <w:t>20</w:t>
          </w:r>
          <w:r>
            <w:rPr>
              <w:highlight w:val="none"/>
            </w:rPr>
            <w:fldChar w:fldCharType="end"/>
          </w:r>
          <w:r>
            <w:rPr>
              <w:color w:val="auto"/>
              <w:highlight w:val="none"/>
            </w:rPr>
            <w:fldChar w:fldCharType="end"/>
          </w:r>
        </w:p>
        <w:p w14:paraId="67315BCE">
          <w:pPr>
            <w:pStyle w:val="19"/>
            <w:tabs>
              <w:tab w:val="right" w:leader="dot" w:pos="8306"/>
            </w:tabs>
            <w:rPr>
              <w:highlight w:val="none"/>
            </w:rPr>
          </w:pPr>
          <w:r>
            <w:rPr>
              <w:color w:val="auto"/>
              <w:highlight w:val="none"/>
            </w:rPr>
            <w:fldChar w:fldCharType="begin"/>
          </w:r>
          <w:r>
            <w:rPr>
              <w:highlight w:val="none"/>
            </w:rPr>
            <w:instrText xml:space="preserve"> HYPERLINK \l _Toc22916 </w:instrText>
          </w:r>
          <w:r>
            <w:rPr>
              <w:highlight w:val="none"/>
            </w:rPr>
            <w:fldChar w:fldCharType="separate"/>
          </w:r>
          <w:r>
            <w:rPr>
              <w:rFonts w:ascii="黑体" w:hAnsi="黑体"/>
              <w:highlight w:val="none"/>
            </w:rPr>
            <w:t>1.2 项目的资金来源和落实情况</w:t>
          </w:r>
          <w:r>
            <w:rPr>
              <w:highlight w:val="none"/>
            </w:rPr>
            <w:tab/>
          </w:r>
          <w:r>
            <w:rPr>
              <w:highlight w:val="none"/>
            </w:rPr>
            <w:fldChar w:fldCharType="begin"/>
          </w:r>
          <w:r>
            <w:rPr>
              <w:highlight w:val="none"/>
            </w:rPr>
            <w:instrText xml:space="preserve"> PAGEREF _Toc22916 \h </w:instrText>
          </w:r>
          <w:r>
            <w:rPr>
              <w:highlight w:val="none"/>
            </w:rPr>
            <w:fldChar w:fldCharType="separate"/>
          </w:r>
          <w:r>
            <w:rPr>
              <w:highlight w:val="none"/>
            </w:rPr>
            <w:t>20</w:t>
          </w:r>
          <w:r>
            <w:rPr>
              <w:highlight w:val="none"/>
            </w:rPr>
            <w:fldChar w:fldCharType="end"/>
          </w:r>
          <w:r>
            <w:rPr>
              <w:color w:val="auto"/>
              <w:highlight w:val="none"/>
            </w:rPr>
            <w:fldChar w:fldCharType="end"/>
          </w:r>
        </w:p>
        <w:p w14:paraId="7630CAE6">
          <w:pPr>
            <w:pStyle w:val="19"/>
            <w:tabs>
              <w:tab w:val="right" w:leader="dot" w:pos="8306"/>
            </w:tabs>
            <w:rPr>
              <w:highlight w:val="none"/>
            </w:rPr>
          </w:pPr>
          <w:r>
            <w:rPr>
              <w:color w:val="auto"/>
              <w:highlight w:val="none"/>
            </w:rPr>
            <w:fldChar w:fldCharType="begin"/>
          </w:r>
          <w:r>
            <w:rPr>
              <w:highlight w:val="none"/>
            </w:rPr>
            <w:instrText xml:space="preserve"> HYPERLINK \l _Toc27764 </w:instrText>
          </w:r>
          <w:r>
            <w:rPr>
              <w:highlight w:val="none"/>
            </w:rPr>
            <w:fldChar w:fldCharType="separate"/>
          </w:r>
          <w:r>
            <w:rPr>
              <w:rFonts w:ascii="黑体" w:hAnsi="黑体"/>
              <w:highlight w:val="none"/>
            </w:rPr>
            <w:t>1.3 招标范围、计划工期和质量标准</w:t>
          </w:r>
          <w:r>
            <w:rPr>
              <w:highlight w:val="none"/>
            </w:rPr>
            <w:tab/>
          </w:r>
          <w:r>
            <w:rPr>
              <w:highlight w:val="none"/>
            </w:rPr>
            <w:fldChar w:fldCharType="begin"/>
          </w:r>
          <w:r>
            <w:rPr>
              <w:highlight w:val="none"/>
            </w:rPr>
            <w:instrText xml:space="preserve"> PAGEREF _Toc27764 \h </w:instrText>
          </w:r>
          <w:r>
            <w:rPr>
              <w:highlight w:val="none"/>
            </w:rPr>
            <w:fldChar w:fldCharType="separate"/>
          </w:r>
          <w:r>
            <w:rPr>
              <w:highlight w:val="none"/>
            </w:rPr>
            <w:t>20</w:t>
          </w:r>
          <w:r>
            <w:rPr>
              <w:highlight w:val="none"/>
            </w:rPr>
            <w:fldChar w:fldCharType="end"/>
          </w:r>
          <w:r>
            <w:rPr>
              <w:color w:val="auto"/>
              <w:highlight w:val="none"/>
            </w:rPr>
            <w:fldChar w:fldCharType="end"/>
          </w:r>
        </w:p>
        <w:p w14:paraId="50FF75E3">
          <w:pPr>
            <w:pStyle w:val="19"/>
            <w:tabs>
              <w:tab w:val="right" w:leader="dot" w:pos="8306"/>
            </w:tabs>
            <w:rPr>
              <w:highlight w:val="none"/>
            </w:rPr>
          </w:pPr>
          <w:r>
            <w:rPr>
              <w:color w:val="auto"/>
              <w:highlight w:val="none"/>
            </w:rPr>
            <w:fldChar w:fldCharType="begin"/>
          </w:r>
          <w:r>
            <w:rPr>
              <w:highlight w:val="none"/>
            </w:rPr>
            <w:instrText xml:space="preserve"> HYPERLINK \l _Toc20219 </w:instrText>
          </w:r>
          <w:r>
            <w:rPr>
              <w:highlight w:val="none"/>
            </w:rPr>
            <w:fldChar w:fldCharType="separate"/>
          </w:r>
          <w:r>
            <w:rPr>
              <w:rFonts w:ascii="黑体" w:hAnsi="黑体"/>
              <w:highlight w:val="none"/>
            </w:rPr>
            <w:t>1.4 投标人资格要求（适用于已进行资格预审的）</w:t>
          </w:r>
          <w:r>
            <w:rPr>
              <w:highlight w:val="none"/>
            </w:rPr>
            <w:tab/>
          </w:r>
          <w:r>
            <w:rPr>
              <w:highlight w:val="none"/>
            </w:rPr>
            <w:fldChar w:fldCharType="begin"/>
          </w:r>
          <w:r>
            <w:rPr>
              <w:highlight w:val="none"/>
            </w:rPr>
            <w:instrText xml:space="preserve"> PAGEREF _Toc20219 \h </w:instrText>
          </w:r>
          <w:r>
            <w:rPr>
              <w:highlight w:val="none"/>
            </w:rPr>
            <w:fldChar w:fldCharType="separate"/>
          </w:r>
          <w:r>
            <w:rPr>
              <w:highlight w:val="none"/>
            </w:rPr>
            <w:t>20</w:t>
          </w:r>
          <w:r>
            <w:rPr>
              <w:highlight w:val="none"/>
            </w:rPr>
            <w:fldChar w:fldCharType="end"/>
          </w:r>
          <w:r>
            <w:rPr>
              <w:color w:val="auto"/>
              <w:highlight w:val="none"/>
            </w:rPr>
            <w:fldChar w:fldCharType="end"/>
          </w:r>
        </w:p>
        <w:p w14:paraId="1034E813">
          <w:pPr>
            <w:pStyle w:val="19"/>
            <w:tabs>
              <w:tab w:val="right" w:leader="dot" w:pos="8306"/>
            </w:tabs>
            <w:rPr>
              <w:highlight w:val="none"/>
            </w:rPr>
          </w:pPr>
          <w:r>
            <w:rPr>
              <w:color w:val="auto"/>
              <w:highlight w:val="none"/>
            </w:rPr>
            <w:fldChar w:fldCharType="begin"/>
          </w:r>
          <w:r>
            <w:rPr>
              <w:highlight w:val="none"/>
            </w:rPr>
            <w:instrText xml:space="preserve"> HYPERLINK \l _Toc32341 </w:instrText>
          </w:r>
          <w:r>
            <w:rPr>
              <w:highlight w:val="none"/>
            </w:rPr>
            <w:fldChar w:fldCharType="separate"/>
          </w:r>
          <w:r>
            <w:rPr>
              <w:rFonts w:ascii="黑体" w:hAnsi="黑体"/>
              <w:highlight w:val="none"/>
            </w:rPr>
            <w:t>1.4 投标人资格要求（适用于资格</w:t>
          </w:r>
          <w:r>
            <w:rPr>
              <w:rFonts w:hint="eastAsia" w:ascii="黑体" w:hAnsi="黑体"/>
              <w:highlight w:val="none"/>
            </w:rPr>
            <w:t>后</w:t>
          </w:r>
          <w:r>
            <w:rPr>
              <w:rFonts w:ascii="黑体" w:hAnsi="黑体"/>
              <w:highlight w:val="none"/>
            </w:rPr>
            <w:t>审的）</w:t>
          </w:r>
          <w:r>
            <w:rPr>
              <w:highlight w:val="none"/>
            </w:rPr>
            <w:tab/>
          </w:r>
          <w:r>
            <w:rPr>
              <w:highlight w:val="none"/>
            </w:rPr>
            <w:fldChar w:fldCharType="begin"/>
          </w:r>
          <w:r>
            <w:rPr>
              <w:highlight w:val="none"/>
            </w:rPr>
            <w:instrText xml:space="preserve"> PAGEREF _Toc32341 \h </w:instrText>
          </w:r>
          <w:r>
            <w:rPr>
              <w:highlight w:val="none"/>
            </w:rPr>
            <w:fldChar w:fldCharType="separate"/>
          </w:r>
          <w:r>
            <w:rPr>
              <w:highlight w:val="none"/>
            </w:rPr>
            <w:t>20</w:t>
          </w:r>
          <w:r>
            <w:rPr>
              <w:highlight w:val="none"/>
            </w:rPr>
            <w:fldChar w:fldCharType="end"/>
          </w:r>
          <w:r>
            <w:rPr>
              <w:color w:val="auto"/>
              <w:highlight w:val="none"/>
            </w:rPr>
            <w:fldChar w:fldCharType="end"/>
          </w:r>
        </w:p>
        <w:p w14:paraId="7E32C464">
          <w:pPr>
            <w:pStyle w:val="19"/>
            <w:tabs>
              <w:tab w:val="right" w:leader="dot" w:pos="8306"/>
            </w:tabs>
            <w:rPr>
              <w:highlight w:val="none"/>
            </w:rPr>
          </w:pPr>
          <w:r>
            <w:rPr>
              <w:color w:val="auto"/>
              <w:highlight w:val="none"/>
            </w:rPr>
            <w:fldChar w:fldCharType="begin"/>
          </w:r>
          <w:r>
            <w:rPr>
              <w:highlight w:val="none"/>
            </w:rPr>
            <w:instrText xml:space="preserve"> HYPERLINK \l _Toc12455 </w:instrText>
          </w:r>
          <w:r>
            <w:rPr>
              <w:highlight w:val="none"/>
            </w:rPr>
            <w:fldChar w:fldCharType="separate"/>
          </w:r>
          <w:r>
            <w:rPr>
              <w:rFonts w:ascii="黑体" w:hAnsi="黑体"/>
              <w:highlight w:val="none"/>
            </w:rPr>
            <w:t>1.5 费用承担和设计成果补偿</w:t>
          </w:r>
          <w:r>
            <w:rPr>
              <w:highlight w:val="none"/>
            </w:rPr>
            <w:tab/>
          </w:r>
          <w:r>
            <w:rPr>
              <w:highlight w:val="none"/>
            </w:rPr>
            <w:fldChar w:fldCharType="begin"/>
          </w:r>
          <w:r>
            <w:rPr>
              <w:highlight w:val="none"/>
            </w:rPr>
            <w:instrText xml:space="preserve"> PAGEREF _Toc12455 \h </w:instrText>
          </w:r>
          <w:r>
            <w:rPr>
              <w:highlight w:val="none"/>
            </w:rPr>
            <w:fldChar w:fldCharType="separate"/>
          </w:r>
          <w:r>
            <w:rPr>
              <w:highlight w:val="none"/>
            </w:rPr>
            <w:t>21</w:t>
          </w:r>
          <w:r>
            <w:rPr>
              <w:highlight w:val="none"/>
            </w:rPr>
            <w:fldChar w:fldCharType="end"/>
          </w:r>
          <w:r>
            <w:rPr>
              <w:color w:val="auto"/>
              <w:highlight w:val="none"/>
            </w:rPr>
            <w:fldChar w:fldCharType="end"/>
          </w:r>
        </w:p>
        <w:p w14:paraId="1240DF5E">
          <w:pPr>
            <w:pStyle w:val="19"/>
            <w:tabs>
              <w:tab w:val="right" w:leader="dot" w:pos="8306"/>
            </w:tabs>
            <w:rPr>
              <w:highlight w:val="none"/>
            </w:rPr>
          </w:pPr>
          <w:r>
            <w:rPr>
              <w:color w:val="auto"/>
              <w:highlight w:val="none"/>
            </w:rPr>
            <w:fldChar w:fldCharType="begin"/>
          </w:r>
          <w:r>
            <w:rPr>
              <w:highlight w:val="none"/>
            </w:rPr>
            <w:instrText xml:space="preserve"> HYPERLINK \l _Toc18686 </w:instrText>
          </w:r>
          <w:r>
            <w:rPr>
              <w:highlight w:val="none"/>
            </w:rPr>
            <w:fldChar w:fldCharType="separate"/>
          </w:r>
          <w:r>
            <w:rPr>
              <w:rFonts w:ascii="黑体" w:hAnsi="黑体"/>
              <w:highlight w:val="none"/>
            </w:rPr>
            <w:t>1.6 保密</w:t>
          </w:r>
          <w:r>
            <w:rPr>
              <w:highlight w:val="none"/>
            </w:rPr>
            <w:tab/>
          </w:r>
          <w:r>
            <w:rPr>
              <w:highlight w:val="none"/>
            </w:rPr>
            <w:fldChar w:fldCharType="begin"/>
          </w:r>
          <w:r>
            <w:rPr>
              <w:highlight w:val="none"/>
            </w:rPr>
            <w:instrText xml:space="preserve"> PAGEREF _Toc18686 \h </w:instrText>
          </w:r>
          <w:r>
            <w:rPr>
              <w:highlight w:val="none"/>
            </w:rPr>
            <w:fldChar w:fldCharType="separate"/>
          </w:r>
          <w:r>
            <w:rPr>
              <w:highlight w:val="none"/>
            </w:rPr>
            <w:t>22</w:t>
          </w:r>
          <w:r>
            <w:rPr>
              <w:highlight w:val="none"/>
            </w:rPr>
            <w:fldChar w:fldCharType="end"/>
          </w:r>
          <w:r>
            <w:rPr>
              <w:color w:val="auto"/>
              <w:highlight w:val="none"/>
            </w:rPr>
            <w:fldChar w:fldCharType="end"/>
          </w:r>
        </w:p>
        <w:p w14:paraId="6DCCCD42">
          <w:pPr>
            <w:pStyle w:val="19"/>
            <w:tabs>
              <w:tab w:val="right" w:leader="dot" w:pos="8306"/>
            </w:tabs>
            <w:rPr>
              <w:highlight w:val="none"/>
            </w:rPr>
          </w:pPr>
          <w:r>
            <w:rPr>
              <w:color w:val="auto"/>
              <w:highlight w:val="none"/>
            </w:rPr>
            <w:fldChar w:fldCharType="begin"/>
          </w:r>
          <w:r>
            <w:rPr>
              <w:highlight w:val="none"/>
            </w:rPr>
            <w:instrText xml:space="preserve"> HYPERLINK \l _Toc24773 </w:instrText>
          </w:r>
          <w:r>
            <w:rPr>
              <w:highlight w:val="none"/>
            </w:rPr>
            <w:fldChar w:fldCharType="separate"/>
          </w:r>
          <w:r>
            <w:rPr>
              <w:rFonts w:ascii="黑体" w:hAnsi="黑体"/>
              <w:highlight w:val="none"/>
            </w:rPr>
            <w:t>1.7 语言文字</w:t>
          </w:r>
          <w:r>
            <w:rPr>
              <w:highlight w:val="none"/>
            </w:rPr>
            <w:tab/>
          </w:r>
          <w:r>
            <w:rPr>
              <w:highlight w:val="none"/>
            </w:rPr>
            <w:fldChar w:fldCharType="begin"/>
          </w:r>
          <w:r>
            <w:rPr>
              <w:highlight w:val="none"/>
            </w:rPr>
            <w:instrText xml:space="preserve"> PAGEREF _Toc24773 \h </w:instrText>
          </w:r>
          <w:r>
            <w:rPr>
              <w:highlight w:val="none"/>
            </w:rPr>
            <w:fldChar w:fldCharType="separate"/>
          </w:r>
          <w:r>
            <w:rPr>
              <w:highlight w:val="none"/>
            </w:rPr>
            <w:t>22</w:t>
          </w:r>
          <w:r>
            <w:rPr>
              <w:highlight w:val="none"/>
            </w:rPr>
            <w:fldChar w:fldCharType="end"/>
          </w:r>
          <w:r>
            <w:rPr>
              <w:color w:val="auto"/>
              <w:highlight w:val="none"/>
            </w:rPr>
            <w:fldChar w:fldCharType="end"/>
          </w:r>
        </w:p>
        <w:p w14:paraId="63DAAF14">
          <w:pPr>
            <w:pStyle w:val="19"/>
            <w:tabs>
              <w:tab w:val="right" w:leader="dot" w:pos="8306"/>
            </w:tabs>
            <w:rPr>
              <w:highlight w:val="none"/>
            </w:rPr>
          </w:pPr>
          <w:r>
            <w:rPr>
              <w:color w:val="auto"/>
              <w:highlight w:val="none"/>
            </w:rPr>
            <w:fldChar w:fldCharType="begin"/>
          </w:r>
          <w:r>
            <w:rPr>
              <w:highlight w:val="none"/>
            </w:rPr>
            <w:instrText xml:space="preserve"> HYPERLINK \l _Toc27386 </w:instrText>
          </w:r>
          <w:r>
            <w:rPr>
              <w:highlight w:val="none"/>
            </w:rPr>
            <w:fldChar w:fldCharType="separate"/>
          </w:r>
          <w:r>
            <w:rPr>
              <w:rFonts w:ascii="黑体" w:hAnsi="黑体"/>
              <w:highlight w:val="none"/>
            </w:rPr>
            <w:t>1.8 计量单位</w:t>
          </w:r>
          <w:r>
            <w:rPr>
              <w:highlight w:val="none"/>
            </w:rPr>
            <w:tab/>
          </w:r>
          <w:r>
            <w:rPr>
              <w:highlight w:val="none"/>
            </w:rPr>
            <w:fldChar w:fldCharType="begin"/>
          </w:r>
          <w:r>
            <w:rPr>
              <w:highlight w:val="none"/>
            </w:rPr>
            <w:instrText xml:space="preserve"> PAGEREF _Toc27386 \h </w:instrText>
          </w:r>
          <w:r>
            <w:rPr>
              <w:highlight w:val="none"/>
            </w:rPr>
            <w:fldChar w:fldCharType="separate"/>
          </w:r>
          <w:r>
            <w:rPr>
              <w:highlight w:val="none"/>
            </w:rPr>
            <w:t>22</w:t>
          </w:r>
          <w:r>
            <w:rPr>
              <w:highlight w:val="none"/>
            </w:rPr>
            <w:fldChar w:fldCharType="end"/>
          </w:r>
          <w:r>
            <w:rPr>
              <w:color w:val="auto"/>
              <w:highlight w:val="none"/>
            </w:rPr>
            <w:fldChar w:fldCharType="end"/>
          </w:r>
        </w:p>
        <w:p w14:paraId="3A3D1DF6">
          <w:pPr>
            <w:pStyle w:val="19"/>
            <w:tabs>
              <w:tab w:val="right" w:leader="dot" w:pos="8306"/>
            </w:tabs>
            <w:rPr>
              <w:highlight w:val="none"/>
            </w:rPr>
          </w:pPr>
          <w:r>
            <w:rPr>
              <w:color w:val="auto"/>
              <w:highlight w:val="none"/>
            </w:rPr>
            <w:fldChar w:fldCharType="begin"/>
          </w:r>
          <w:r>
            <w:rPr>
              <w:highlight w:val="none"/>
            </w:rPr>
            <w:instrText xml:space="preserve"> HYPERLINK \l _Toc15338 </w:instrText>
          </w:r>
          <w:r>
            <w:rPr>
              <w:highlight w:val="none"/>
            </w:rPr>
            <w:fldChar w:fldCharType="separate"/>
          </w:r>
          <w:r>
            <w:rPr>
              <w:rFonts w:ascii="黑体" w:hAnsi="黑体"/>
              <w:highlight w:val="none"/>
            </w:rPr>
            <w:t>1.9 踏勘现场</w:t>
          </w:r>
          <w:r>
            <w:rPr>
              <w:highlight w:val="none"/>
            </w:rPr>
            <w:tab/>
          </w:r>
          <w:r>
            <w:rPr>
              <w:highlight w:val="none"/>
            </w:rPr>
            <w:fldChar w:fldCharType="begin"/>
          </w:r>
          <w:r>
            <w:rPr>
              <w:highlight w:val="none"/>
            </w:rPr>
            <w:instrText xml:space="preserve"> PAGEREF _Toc15338 \h </w:instrText>
          </w:r>
          <w:r>
            <w:rPr>
              <w:highlight w:val="none"/>
            </w:rPr>
            <w:fldChar w:fldCharType="separate"/>
          </w:r>
          <w:r>
            <w:rPr>
              <w:highlight w:val="none"/>
            </w:rPr>
            <w:t>22</w:t>
          </w:r>
          <w:r>
            <w:rPr>
              <w:highlight w:val="none"/>
            </w:rPr>
            <w:fldChar w:fldCharType="end"/>
          </w:r>
          <w:r>
            <w:rPr>
              <w:color w:val="auto"/>
              <w:highlight w:val="none"/>
            </w:rPr>
            <w:fldChar w:fldCharType="end"/>
          </w:r>
        </w:p>
        <w:p w14:paraId="3EF92AA6">
          <w:pPr>
            <w:pStyle w:val="19"/>
            <w:tabs>
              <w:tab w:val="right" w:leader="dot" w:pos="8306"/>
            </w:tabs>
            <w:rPr>
              <w:highlight w:val="none"/>
            </w:rPr>
          </w:pPr>
          <w:r>
            <w:rPr>
              <w:color w:val="auto"/>
              <w:highlight w:val="none"/>
            </w:rPr>
            <w:fldChar w:fldCharType="begin"/>
          </w:r>
          <w:r>
            <w:rPr>
              <w:highlight w:val="none"/>
            </w:rPr>
            <w:instrText xml:space="preserve"> HYPERLINK \l _Toc3553 </w:instrText>
          </w:r>
          <w:r>
            <w:rPr>
              <w:highlight w:val="none"/>
            </w:rPr>
            <w:fldChar w:fldCharType="separate"/>
          </w:r>
          <w:r>
            <w:rPr>
              <w:rFonts w:hint="eastAsia" w:ascii="黑体" w:hAnsi="黑体"/>
              <w:highlight w:val="none"/>
            </w:rPr>
            <w:t>1.10 答疑会</w:t>
          </w:r>
          <w:r>
            <w:rPr>
              <w:highlight w:val="none"/>
            </w:rPr>
            <w:tab/>
          </w:r>
          <w:r>
            <w:rPr>
              <w:highlight w:val="none"/>
            </w:rPr>
            <w:fldChar w:fldCharType="begin"/>
          </w:r>
          <w:r>
            <w:rPr>
              <w:highlight w:val="none"/>
            </w:rPr>
            <w:instrText xml:space="preserve"> PAGEREF _Toc3553 \h </w:instrText>
          </w:r>
          <w:r>
            <w:rPr>
              <w:highlight w:val="none"/>
            </w:rPr>
            <w:fldChar w:fldCharType="separate"/>
          </w:r>
          <w:r>
            <w:rPr>
              <w:highlight w:val="none"/>
            </w:rPr>
            <w:t>22</w:t>
          </w:r>
          <w:r>
            <w:rPr>
              <w:highlight w:val="none"/>
            </w:rPr>
            <w:fldChar w:fldCharType="end"/>
          </w:r>
          <w:r>
            <w:rPr>
              <w:color w:val="auto"/>
              <w:highlight w:val="none"/>
            </w:rPr>
            <w:fldChar w:fldCharType="end"/>
          </w:r>
        </w:p>
        <w:p w14:paraId="41E3014D">
          <w:pPr>
            <w:pStyle w:val="19"/>
            <w:tabs>
              <w:tab w:val="right" w:leader="dot" w:pos="8306"/>
            </w:tabs>
            <w:rPr>
              <w:highlight w:val="none"/>
            </w:rPr>
          </w:pPr>
          <w:r>
            <w:rPr>
              <w:color w:val="auto"/>
              <w:highlight w:val="none"/>
            </w:rPr>
            <w:fldChar w:fldCharType="begin"/>
          </w:r>
          <w:r>
            <w:rPr>
              <w:highlight w:val="none"/>
            </w:rPr>
            <w:instrText xml:space="preserve"> HYPERLINK \l _Toc20313 </w:instrText>
          </w:r>
          <w:r>
            <w:rPr>
              <w:highlight w:val="none"/>
            </w:rPr>
            <w:fldChar w:fldCharType="separate"/>
          </w:r>
          <w:r>
            <w:rPr>
              <w:rFonts w:ascii="黑体" w:hAnsi="黑体"/>
              <w:highlight w:val="none"/>
            </w:rPr>
            <w:t>1.11 分包</w:t>
          </w:r>
          <w:r>
            <w:rPr>
              <w:highlight w:val="none"/>
            </w:rPr>
            <w:tab/>
          </w:r>
          <w:r>
            <w:rPr>
              <w:highlight w:val="none"/>
            </w:rPr>
            <w:fldChar w:fldCharType="begin"/>
          </w:r>
          <w:r>
            <w:rPr>
              <w:highlight w:val="none"/>
            </w:rPr>
            <w:instrText xml:space="preserve"> PAGEREF _Toc20313 \h </w:instrText>
          </w:r>
          <w:r>
            <w:rPr>
              <w:highlight w:val="none"/>
            </w:rPr>
            <w:fldChar w:fldCharType="separate"/>
          </w:r>
          <w:r>
            <w:rPr>
              <w:highlight w:val="none"/>
            </w:rPr>
            <w:t>22</w:t>
          </w:r>
          <w:r>
            <w:rPr>
              <w:highlight w:val="none"/>
            </w:rPr>
            <w:fldChar w:fldCharType="end"/>
          </w:r>
          <w:r>
            <w:rPr>
              <w:color w:val="auto"/>
              <w:highlight w:val="none"/>
            </w:rPr>
            <w:fldChar w:fldCharType="end"/>
          </w:r>
        </w:p>
        <w:p w14:paraId="7A7DA5FE">
          <w:pPr>
            <w:pStyle w:val="19"/>
            <w:tabs>
              <w:tab w:val="right" w:leader="dot" w:pos="8306"/>
            </w:tabs>
            <w:rPr>
              <w:highlight w:val="none"/>
            </w:rPr>
          </w:pPr>
          <w:r>
            <w:rPr>
              <w:color w:val="auto"/>
              <w:highlight w:val="none"/>
            </w:rPr>
            <w:fldChar w:fldCharType="begin"/>
          </w:r>
          <w:r>
            <w:rPr>
              <w:highlight w:val="none"/>
            </w:rPr>
            <w:instrText xml:space="preserve"> HYPERLINK \l _Toc5062 </w:instrText>
          </w:r>
          <w:r>
            <w:rPr>
              <w:highlight w:val="none"/>
            </w:rPr>
            <w:fldChar w:fldCharType="separate"/>
          </w:r>
          <w:r>
            <w:rPr>
              <w:rFonts w:ascii="黑体" w:hAnsi="黑体"/>
              <w:highlight w:val="none"/>
            </w:rPr>
            <w:t>1.12 偏离</w:t>
          </w:r>
          <w:r>
            <w:rPr>
              <w:highlight w:val="none"/>
            </w:rPr>
            <w:tab/>
          </w:r>
          <w:r>
            <w:rPr>
              <w:highlight w:val="none"/>
            </w:rPr>
            <w:fldChar w:fldCharType="begin"/>
          </w:r>
          <w:r>
            <w:rPr>
              <w:highlight w:val="none"/>
            </w:rPr>
            <w:instrText xml:space="preserve"> PAGEREF _Toc5062 \h </w:instrText>
          </w:r>
          <w:r>
            <w:rPr>
              <w:highlight w:val="none"/>
            </w:rPr>
            <w:fldChar w:fldCharType="separate"/>
          </w:r>
          <w:r>
            <w:rPr>
              <w:highlight w:val="none"/>
            </w:rPr>
            <w:t>22</w:t>
          </w:r>
          <w:r>
            <w:rPr>
              <w:highlight w:val="none"/>
            </w:rPr>
            <w:fldChar w:fldCharType="end"/>
          </w:r>
          <w:r>
            <w:rPr>
              <w:color w:val="auto"/>
              <w:highlight w:val="none"/>
            </w:rPr>
            <w:fldChar w:fldCharType="end"/>
          </w:r>
        </w:p>
        <w:p w14:paraId="22A72280">
          <w:pPr>
            <w:pStyle w:val="19"/>
            <w:tabs>
              <w:tab w:val="right" w:leader="dot" w:pos="8306"/>
            </w:tabs>
            <w:rPr>
              <w:highlight w:val="none"/>
            </w:rPr>
          </w:pPr>
          <w:r>
            <w:rPr>
              <w:color w:val="auto"/>
              <w:highlight w:val="none"/>
            </w:rPr>
            <w:fldChar w:fldCharType="begin"/>
          </w:r>
          <w:r>
            <w:rPr>
              <w:highlight w:val="none"/>
            </w:rPr>
            <w:instrText xml:space="preserve"> HYPERLINK \l _Toc24372 </w:instrText>
          </w:r>
          <w:r>
            <w:rPr>
              <w:highlight w:val="none"/>
            </w:rPr>
            <w:fldChar w:fldCharType="separate"/>
          </w:r>
          <w:r>
            <w:rPr>
              <w:szCs w:val="28"/>
              <w:highlight w:val="none"/>
            </w:rPr>
            <w:t>2. 招标文件</w:t>
          </w:r>
          <w:r>
            <w:rPr>
              <w:highlight w:val="none"/>
            </w:rPr>
            <w:tab/>
          </w:r>
          <w:r>
            <w:rPr>
              <w:highlight w:val="none"/>
            </w:rPr>
            <w:fldChar w:fldCharType="begin"/>
          </w:r>
          <w:r>
            <w:rPr>
              <w:highlight w:val="none"/>
            </w:rPr>
            <w:instrText xml:space="preserve"> PAGEREF _Toc24372 \h </w:instrText>
          </w:r>
          <w:r>
            <w:rPr>
              <w:highlight w:val="none"/>
            </w:rPr>
            <w:fldChar w:fldCharType="separate"/>
          </w:r>
          <w:r>
            <w:rPr>
              <w:highlight w:val="none"/>
            </w:rPr>
            <w:t>23</w:t>
          </w:r>
          <w:r>
            <w:rPr>
              <w:highlight w:val="none"/>
            </w:rPr>
            <w:fldChar w:fldCharType="end"/>
          </w:r>
          <w:r>
            <w:rPr>
              <w:color w:val="auto"/>
              <w:highlight w:val="none"/>
            </w:rPr>
            <w:fldChar w:fldCharType="end"/>
          </w:r>
        </w:p>
        <w:p w14:paraId="40CB5602">
          <w:pPr>
            <w:pStyle w:val="19"/>
            <w:tabs>
              <w:tab w:val="right" w:leader="dot" w:pos="8306"/>
            </w:tabs>
            <w:rPr>
              <w:highlight w:val="none"/>
            </w:rPr>
          </w:pPr>
          <w:r>
            <w:rPr>
              <w:color w:val="auto"/>
              <w:highlight w:val="none"/>
            </w:rPr>
            <w:fldChar w:fldCharType="begin"/>
          </w:r>
          <w:r>
            <w:rPr>
              <w:highlight w:val="none"/>
            </w:rPr>
            <w:instrText xml:space="preserve"> HYPERLINK \l _Toc22838 </w:instrText>
          </w:r>
          <w:r>
            <w:rPr>
              <w:highlight w:val="none"/>
            </w:rPr>
            <w:fldChar w:fldCharType="separate"/>
          </w:r>
          <w:r>
            <w:rPr>
              <w:rFonts w:ascii="黑体" w:hAnsi="黑体"/>
              <w:highlight w:val="none"/>
            </w:rPr>
            <w:t>2.1 招标文件的组成</w:t>
          </w:r>
          <w:r>
            <w:rPr>
              <w:highlight w:val="none"/>
            </w:rPr>
            <w:tab/>
          </w:r>
          <w:r>
            <w:rPr>
              <w:highlight w:val="none"/>
            </w:rPr>
            <w:fldChar w:fldCharType="begin"/>
          </w:r>
          <w:r>
            <w:rPr>
              <w:highlight w:val="none"/>
            </w:rPr>
            <w:instrText xml:space="preserve"> PAGEREF _Toc22838 \h </w:instrText>
          </w:r>
          <w:r>
            <w:rPr>
              <w:highlight w:val="none"/>
            </w:rPr>
            <w:fldChar w:fldCharType="separate"/>
          </w:r>
          <w:r>
            <w:rPr>
              <w:highlight w:val="none"/>
            </w:rPr>
            <w:t>23</w:t>
          </w:r>
          <w:r>
            <w:rPr>
              <w:highlight w:val="none"/>
            </w:rPr>
            <w:fldChar w:fldCharType="end"/>
          </w:r>
          <w:r>
            <w:rPr>
              <w:color w:val="auto"/>
              <w:highlight w:val="none"/>
            </w:rPr>
            <w:fldChar w:fldCharType="end"/>
          </w:r>
        </w:p>
        <w:p w14:paraId="01CF560E">
          <w:pPr>
            <w:pStyle w:val="19"/>
            <w:tabs>
              <w:tab w:val="right" w:leader="dot" w:pos="8306"/>
            </w:tabs>
            <w:rPr>
              <w:highlight w:val="none"/>
            </w:rPr>
          </w:pPr>
          <w:r>
            <w:rPr>
              <w:color w:val="auto"/>
              <w:highlight w:val="none"/>
            </w:rPr>
            <w:fldChar w:fldCharType="begin"/>
          </w:r>
          <w:r>
            <w:rPr>
              <w:highlight w:val="none"/>
            </w:rPr>
            <w:instrText xml:space="preserve"> HYPERLINK \l _Toc8958 </w:instrText>
          </w:r>
          <w:r>
            <w:rPr>
              <w:highlight w:val="none"/>
            </w:rPr>
            <w:fldChar w:fldCharType="separate"/>
          </w:r>
          <w:r>
            <w:rPr>
              <w:rFonts w:ascii="黑体" w:hAnsi="黑体"/>
              <w:highlight w:val="none"/>
            </w:rPr>
            <w:t>2.2 招标文件的澄清</w:t>
          </w:r>
          <w:r>
            <w:rPr>
              <w:highlight w:val="none"/>
            </w:rPr>
            <w:tab/>
          </w:r>
          <w:r>
            <w:rPr>
              <w:highlight w:val="none"/>
            </w:rPr>
            <w:fldChar w:fldCharType="begin"/>
          </w:r>
          <w:r>
            <w:rPr>
              <w:highlight w:val="none"/>
            </w:rPr>
            <w:instrText xml:space="preserve"> PAGEREF _Toc8958 \h </w:instrText>
          </w:r>
          <w:r>
            <w:rPr>
              <w:highlight w:val="none"/>
            </w:rPr>
            <w:fldChar w:fldCharType="separate"/>
          </w:r>
          <w:r>
            <w:rPr>
              <w:highlight w:val="none"/>
            </w:rPr>
            <w:t>23</w:t>
          </w:r>
          <w:r>
            <w:rPr>
              <w:highlight w:val="none"/>
            </w:rPr>
            <w:fldChar w:fldCharType="end"/>
          </w:r>
          <w:r>
            <w:rPr>
              <w:color w:val="auto"/>
              <w:highlight w:val="none"/>
            </w:rPr>
            <w:fldChar w:fldCharType="end"/>
          </w:r>
        </w:p>
        <w:p w14:paraId="10FDF521">
          <w:pPr>
            <w:pStyle w:val="19"/>
            <w:tabs>
              <w:tab w:val="right" w:leader="dot" w:pos="8306"/>
            </w:tabs>
            <w:rPr>
              <w:highlight w:val="none"/>
            </w:rPr>
          </w:pPr>
          <w:r>
            <w:rPr>
              <w:color w:val="auto"/>
              <w:highlight w:val="none"/>
            </w:rPr>
            <w:fldChar w:fldCharType="begin"/>
          </w:r>
          <w:r>
            <w:rPr>
              <w:highlight w:val="none"/>
            </w:rPr>
            <w:instrText xml:space="preserve"> HYPERLINK \l _Toc30764 </w:instrText>
          </w:r>
          <w:r>
            <w:rPr>
              <w:highlight w:val="none"/>
            </w:rPr>
            <w:fldChar w:fldCharType="separate"/>
          </w:r>
          <w:r>
            <w:rPr>
              <w:rFonts w:ascii="黑体" w:hAnsi="黑体"/>
              <w:highlight w:val="none"/>
            </w:rPr>
            <w:t>2.3 招标文件的修改</w:t>
          </w:r>
          <w:r>
            <w:rPr>
              <w:highlight w:val="none"/>
            </w:rPr>
            <w:tab/>
          </w:r>
          <w:r>
            <w:rPr>
              <w:highlight w:val="none"/>
            </w:rPr>
            <w:fldChar w:fldCharType="begin"/>
          </w:r>
          <w:r>
            <w:rPr>
              <w:highlight w:val="none"/>
            </w:rPr>
            <w:instrText xml:space="preserve"> PAGEREF _Toc30764 \h </w:instrText>
          </w:r>
          <w:r>
            <w:rPr>
              <w:highlight w:val="none"/>
            </w:rPr>
            <w:fldChar w:fldCharType="separate"/>
          </w:r>
          <w:r>
            <w:rPr>
              <w:highlight w:val="none"/>
            </w:rPr>
            <w:t>23</w:t>
          </w:r>
          <w:r>
            <w:rPr>
              <w:highlight w:val="none"/>
            </w:rPr>
            <w:fldChar w:fldCharType="end"/>
          </w:r>
          <w:r>
            <w:rPr>
              <w:color w:val="auto"/>
              <w:highlight w:val="none"/>
            </w:rPr>
            <w:fldChar w:fldCharType="end"/>
          </w:r>
        </w:p>
        <w:p w14:paraId="36834D03">
          <w:pPr>
            <w:pStyle w:val="19"/>
            <w:tabs>
              <w:tab w:val="right" w:leader="dot" w:pos="8306"/>
            </w:tabs>
            <w:rPr>
              <w:highlight w:val="none"/>
            </w:rPr>
          </w:pPr>
          <w:r>
            <w:rPr>
              <w:color w:val="auto"/>
              <w:highlight w:val="none"/>
            </w:rPr>
            <w:fldChar w:fldCharType="begin"/>
          </w:r>
          <w:r>
            <w:rPr>
              <w:highlight w:val="none"/>
            </w:rPr>
            <w:instrText xml:space="preserve"> HYPERLINK \l _Toc4927 </w:instrText>
          </w:r>
          <w:r>
            <w:rPr>
              <w:highlight w:val="none"/>
            </w:rPr>
            <w:fldChar w:fldCharType="separate"/>
          </w:r>
          <w:r>
            <w:rPr>
              <w:rFonts w:ascii="黑体" w:hAnsi="黑体"/>
              <w:highlight w:val="none"/>
            </w:rPr>
            <w:t>2.4 招标文件的异议</w:t>
          </w:r>
          <w:r>
            <w:rPr>
              <w:highlight w:val="none"/>
            </w:rPr>
            <w:tab/>
          </w:r>
          <w:r>
            <w:rPr>
              <w:highlight w:val="none"/>
            </w:rPr>
            <w:fldChar w:fldCharType="begin"/>
          </w:r>
          <w:r>
            <w:rPr>
              <w:highlight w:val="none"/>
            </w:rPr>
            <w:instrText xml:space="preserve"> PAGEREF _Toc4927 \h </w:instrText>
          </w:r>
          <w:r>
            <w:rPr>
              <w:highlight w:val="none"/>
            </w:rPr>
            <w:fldChar w:fldCharType="separate"/>
          </w:r>
          <w:r>
            <w:rPr>
              <w:highlight w:val="none"/>
            </w:rPr>
            <w:t>24</w:t>
          </w:r>
          <w:r>
            <w:rPr>
              <w:highlight w:val="none"/>
            </w:rPr>
            <w:fldChar w:fldCharType="end"/>
          </w:r>
          <w:r>
            <w:rPr>
              <w:color w:val="auto"/>
              <w:highlight w:val="none"/>
            </w:rPr>
            <w:fldChar w:fldCharType="end"/>
          </w:r>
        </w:p>
        <w:p w14:paraId="375DE9B4">
          <w:pPr>
            <w:pStyle w:val="19"/>
            <w:tabs>
              <w:tab w:val="right" w:leader="dot" w:pos="8306"/>
            </w:tabs>
            <w:rPr>
              <w:highlight w:val="none"/>
            </w:rPr>
          </w:pPr>
          <w:r>
            <w:rPr>
              <w:color w:val="auto"/>
              <w:highlight w:val="none"/>
            </w:rPr>
            <w:fldChar w:fldCharType="begin"/>
          </w:r>
          <w:r>
            <w:rPr>
              <w:highlight w:val="none"/>
            </w:rPr>
            <w:instrText xml:space="preserve"> HYPERLINK \l _Toc7074 </w:instrText>
          </w:r>
          <w:r>
            <w:rPr>
              <w:highlight w:val="none"/>
            </w:rPr>
            <w:fldChar w:fldCharType="separate"/>
          </w:r>
          <w:r>
            <w:rPr>
              <w:szCs w:val="28"/>
              <w:highlight w:val="none"/>
            </w:rPr>
            <w:t>3. 投标文件</w:t>
          </w:r>
          <w:r>
            <w:rPr>
              <w:highlight w:val="none"/>
            </w:rPr>
            <w:tab/>
          </w:r>
          <w:r>
            <w:rPr>
              <w:highlight w:val="none"/>
            </w:rPr>
            <w:fldChar w:fldCharType="begin"/>
          </w:r>
          <w:r>
            <w:rPr>
              <w:highlight w:val="none"/>
            </w:rPr>
            <w:instrText xml:space="preserve"> PAGEREF _Toc7074 \h </w:instrText>
          </w:r>
          <w:r>
            <w:rPr>
              <w:highlight w:val="none"/>
            </w:rPr>
            <w:fldChar w:fldCharType="separate"/>
          </w:r>
          <w:r>
            <w:rPr>
              <w:highlight w:val="none"/>
            </w:rPr>
            <w:t>24</w:t>
          </w:r>
          <w:r>
            <w:rPr>
              <w:highlight w:val="none"/>
            </w:rPr>
            <w:fldChar w:fldCharType="end"/>
          </w:r>
          <w:r>
            <w:rPr>
              <w:color w:val="auto"/>
              <w:highlight w:val="none"/>
            </w:rPr>
            <w:fldChar w:fldCharType="end"/>
          </w:r>
        </w:p>
        <w:p w14:paraId="319688DD">
          <w:pPr>
            <w:pStyle w:val="19"/>
            <w:tabs>
              <w:tab w:val="right" w:leader="dot" w:pos="8306"/>
            </w:tabs>
            <w:rPr>
              <w:highlight w:val="none"/>
            </w:rPr>
          </w:pPr>
          <w:r>
            <w:rPr>
              <w:color w:val="auto"/>
              <w:highlight w:val="none"/>
            </w:rPr>
            <w:fldChar w:fldCharType="begin"/>
          </w:r>
          <w:r>
            <w:rPr>
              <w:highlight w:val="none"/>
            </w:rPr>
            <w:instrText xml:space="preserve"> HYPERLINK \l _Toc14675 </w:instrText>
          </w:r>
          <w:r>
            <w:rPr>
              <w:highlight w:val="none"/>
            </w:rPr>
            <w:fldChar w:fldCharType="separate"/>
          </w:r>
          <w:r>
            <w:rPr>
              <w:rFonts w:ascii="黑体" w:hAnsi="黑体"/>
              <w:highlight w:val="none"/>
            </w:rPr>
            <w:t>3.1 投标文件的组成</w:t>
          </w:r>
          <w:r>
            <w:rPr>
              <w:highlight w:val="none"/>
            </w:rPr>
            <w:tab/>
          </w:r>
          <w:r>
            <w:rPr>
              <w:highlight w:val="none"/>
            </w:rPr>
            <w:fldChar w:fldCharType="begin"/>
          </w:r>
          <w:r>
            <w:rPr>
              <w:highlight w:val="none"/>
            </w:rPr>
            <w:instrText xml:space="preserve"> PAGEREF _Toc14675 \h </w:instrText>
          </w:r>
          <w:r>
            <w:rPr>
              <w:highlight w:val="none"/>
            </w:rPr>
            <w:fldChar w:fldCharType="separate"/>
          </w:r>
          <w:r>
            <w:rPr>
              <w:highlight w:val="none"/>
            </w:rPr>
            <w:t>24</w:t>
          </w:r>
          <w:r>
            <w:rPr>
              <w:highlight w:val="none"/>
            </w:rPr>
            <w:fldChar w:fldCharType="end"/>
          </w:r>
          <w:r>
            <w:rPr>
              <w:color w:val="auto"/>
              <w:highlight w:val="none"/>
            </w:rPr>
            <w:fldChar w:fldCharType="end"/>
          </w:r>
        </w:p>
        <w:p w14:paraId="5356F30B">
          <w:pPr>
            <w:pStyle w:val="19"/>
            <w:tabs>
              <w:tab w:val="right" w:leader="dot" w:pos="8306"/>
            </w:tabs>
            <w:rPr>
              <w:highlight w:val="none"/>
            </w:rPr>
          </w:pPr>
          <w:r>
            <w:rPr>
              <w:color w:val="auto"/>
              <w:highlight w:val="none"/>
            </w:rPr>
            <w:fldChar w:fldCharType="begin"/>
          </w:r>
          <w:r>
            <w:rPr>
              <w:highlight w:val="none"/>
            </w:rPr>
            <w:instrText xml:space="preserve"> HYPERLINK \l _Toc12454 </w:instrText>
          </w:r>
          <w:r>
            <w:rPr>
              <w:highlight w:val="none"/>
            </w:rPr>
            <w:fldChar w:fldCharType="separate"/>
          </w:r>
          <w:r>
            <w:rPr>
              <w:rFonts w:ascii="黑体" w:hAnsi="黑体"/>
              <w:highlight w:val="none"/>
            </w:rPr>
            <w:t>3.2 投标报价</w:t>
          </w:r>
          <w:r>
            <w:rPr>
              <w:highlight w:val="none"/>
            </w:rPr>
            <w:tab/>
          </w:r>
          <w:r>
            <w:rPr>
              <w:highlight w:val="none"/>
            </w:rPr>
            <w:fldChar w:fldCharType="begin"/>
          </w:r>
          <w:r>
            <w:rPr>
              <w:highlight w:val="none"/>
            </w:rPr>
            <w:instrText xml:space="preserve"> PAGEREF _Toc12454 \h </w:instrText>
          </w:r>
          <w:r>
            <w:rPr>
              <w:highlight w:val="none"/>
            </w:rPr>
            <w:fldChar w:fldCharType="separate"/>
          </w:r>
          <w:r>
            <w:rPr>
              <w:highlight w:val="none"/>
            </w:rPr>
            <w:t>25</w:t>
          </w:r>
          <w:r>
            <w:rPr>
              <w:highlight w:val="none"/>
            </w:rPr>
            <w:fldChar w:fldCharType="end"/>
          </w:r>
          <w:r>
            <w:rPr>
              <w:color w:val="auto"/>
              <w:highlight w:val="none"/>
            </w:rPr>
            <w:fldChar w:fldCharType="end"/>
          </w:r>
        </w:p>
        <w:p w14:paraId="34DCC214">
          <w:pPr>
            <w:pStyle w:val="19"/>
            <w:tabs>
              <w:tab w:val="right" w:leader="dot" w:pos="8306"/>
            </w:tabs>
            <w:rPr>
              <w:highlight w:val="none"/>
            </w:rPr>
          </w:pPr>
          <w:r>
            <w:rPr>
              <w:color w:val="auto"/>
              <w:highlight w:val="none"/>
            </w:rPr>
            <w:fldChar w:fldCharType="begin"/>
          </w:r>
          <w:r>
            <w:rPr>
              <w:highlight w:val="none"/>
            </w:rPr>
            <w:instrText xml:space="preserve"> HYPERLINK \l _Toc15016 </w:instrText>
          </w:r>
          <w:r>
            <w:rPr>
              <w:highlight w:val="none"/>
            </w:rPr>
            <w:fldChar w:fldCharType="separate"/>
          </w:r>
          <w:r>
            <w:rPr>
              <w:rFonts w:ascii="黑体" w:hAnsi="黑体"/>
              <w:highlight w:val="none"/>
            </w:rPr>
            <w:t>3.3 投标有效期</w:t>
          </w:r>
          <w:r>
            <w:rPr>
              <w:highlight w:val="none"/>
            </w:rPr>
            <w:tab/>
          </w:r>
          <w:r>
            <w:rPr>
              <w:highlight w:val="none"/>
            </w:rPr>
            <w:fldChar w:fldCharType="begin"/>
          </w:r>
          <w:r>
            <w:rPr>
              <w:highlight w:val="none"/>
            </w:rPr>
            <w:instrText xml:space="preserve"> PAGEREF _Toc15016 \h </w:instrText>
          </w:r>
          <w:r>
            <w:rPr>
              <w:highlight w:val="none"/>
            </w:rPr>
            <w:fldChar w:fldCharType="separate"/>
          </w:r>
          <w:r>
            <w:rPr>
              <w:highlight w:val="none"/>
            </w:rPr>
            <w:t>25</w:t>
          </w:r>
          <w:r>
            <w:rPr>
              <w:highlight w:val="none"/>
            </w:rPr>
            <w:fldChar w:fldCharType="end"/>
          </w:r>
          <w:r>
            <w:rPr>
              <w:color w:val="auto"/>
              <w:highlight w:val="none"/>
            </w:rPr>
            <w:fldChar w:fldCharType="end"/>
          </w:r>
        </w:p>
        <w:p w14:paraId="4EFF3825">
          <w:pPr>
            <w:pStyle w:val="19"/>
            <w:tabs>
              <w:tab w:val="right" w:leader="dot" w:pos="8306"/>
            </w:tabs>
            <w:rPr>
              <w:highlight w:val="none"/>
            </w:rPr>
          </w:pPr>
          <w:r>
            <w:rPr>
              <w:color w:val="auto"/>
              <w:highlight w:val="none"/>
            </w:rPr>
            <w:fldChar w:fldCharType="begin"/>
          </w:r>
          <w:r>
            <w:rPr>
              <w:highlight w:val="none"/>
            </w:rPr>
            <w:instrText xml:space="preserve"> HYPERLINK \l _Toc26911 </w:instrText>
          </w:r>
          <w:r>
            <w:rPr>
              <w:highlight w:val="none"/>
            </w:rPr>
            <w:fldChar w:fldCharType="separate"/>
          </w:r>
          <w:r>
            <w:rPr>
              <w:rFonts w:ascii="黑体" w:hAnsi="黑体"/>
              <w:highlight w:val="none"/>
            </w:rPr>
            <w:t>3.4 投标保证金</w:t>
          </w:r>
          <w:r>
            <w:rPr>
              <w:highlight w:val="none"/>
            </w:rPr>
            <w:tab/>
          </w:r>
          <w:r>
            <w:rPr>
              <w:highlight w:val="none"/>
            </w:rPr>
            <w:fldChar w:fldCharType="begin"/>
          </w:r>
          <w:r>
            <w:rPr>
              <w:highlight w:val="none"/>
            </w:rPr>
            <w:instrText xml:space="preserve"> PAGEREF _Toc26911 \h </w:instrText>
          </w:r>
          <w:r>
            <w:rPr>
              <w:highlight w:val="none"/>
            </w:rPr>
            <w:fldChar w:fldCharType="separate"/>
          </w:r>
          <w:r>
            <w:rPr>
              <w:highlight w:val="none"/>
            </w:rPr>
            <w:t>25</w:t>
          </w:r>
          <w:r>
            <w:rPr>
              <w:highlight w:val="none"/>
            </w:rPr>
            <w:fldChar w:fldCharType="end"/>
          </w:r>
          <w:r>
            <w:rPr>
              <w:color w:val="auto"/>
              <w:highlight w:val="none"/>
            </w:rPr>
            <w:fldChar w:fldCharType="end"/>
          </w:r>
        </w:p>
        <w:p w14:paraId="643F9954">
          <w:pPr>
            <w:pStyle w:val="19"/>
            <w:tabs>
              <w:tab w:val="right" w:leader="dot" w:pos="8306"/>
            </w:tabs>
            <w:rPr>
              <w:highlight w:val="none"/>
            </w:rPr>
          </w:pPr>
          <w:r>
            <w:rPr>
              <w:color w:val="auto"/>
              <w:highlight w:val="none"/>
            </w:rPr>
            <w:fldChar w:fldCharType="begin"/>
          </w:r>
          <w:r>
            <w:rPr>
              <w:highlight w:val="none"/>
            </w:rPr>
            <w:instrText xml:space="preserve"> HYPERLINK \l _Toc25336 </w:instrText>
          </w:r>
          <w:r>
            <w:rPr>
              <w:highlight w:val="none"/>
            </w:rPr>
            <w:fldChar w:fldCharType="separate"/>
          </w:r>
          <w:r>
            <w:rPr>
              <w:rFonts w:ascii="黑体" w:hAnsi="黑体"/>
              <w:highlight w:val="none"/>
            </w:rPr>
            <w:t>3.5 资格审查资料（适用于已进行资格预审的）</w:t>
          </w:r>
          <w:r>
            <w:rPr>
              <w:highlight w:val="none"/>
            </w:rPr>
            <w:tab/>
          </w:r>
          <w:r>
            <w:rPr>
              <w:highlight w:val="none"/>
            </w:rPr>
            <w:fldChar w:fldCharType="begin"/>
          </w:r>
          <w:r>
            <w:rPr>
              <w:highlight w:val="none"/>
            </w:rPr>
            <w:instrText xml:space="preserve"> PAGEREF _Toc25336 \h </w:instrText>
          </w:r>
          <w:r>
            <w:rPr>
              <w:highlight w:val="none"/>
            </w:rPr>
            <w:fldChar w:fldCharType="separate"/>
          </w:r>
          <w:r>
            <w:rPr>
              <w:highlight w:val="none"/>
            </w:rPr>
            <w:t>26</w:t>
          </w:r>
          <w:r>
            <w:rPr>
              <w:highlight w:val="none"/>
            </w:rPr>
            <w:fldChar w:fldCharType="end"/>
          </w:r>
          <w:r>
            <w:rPr>
              <w:color w:val="auto"/>
              <w:highlight w:val="none"/>
            </w:rPr>
            <w:fldChar w:fldCharType="end"/>
          </w:r>
        </w:p>
        <w:p w14:paraId="1F5BAD98">
          <w:pPr>
            <w:pStyle w:val="19"/>
            <w:tabs>
              <w:tab w:val="right" w:leader="dot" w:pos="8306"/>
            </w:tabs>
            <w:rPr>
              <w:highlight w:val="none"/>
            </w:rPr>
          </w:pPr>
          <w:r>
            <w:rPr>
              <w:color w:val="auto"/>
              <w:highlight w:val="none"/>
            </w:rPr>
            <w:fldChar w:fldCharType="begin"/>
          </w:r>
          <w:r>
            <w:rPr>
              <w:highlight w:val="none"/>
            </w:rPr>
            <w:instrText xml:space="preserve"> HYPERLINK \l _Toc26015 </w:instrText>
          </w:r>
          <w:r>
            <w:rPr>
              <w:highlight w:val="none"/>
            </w:rPr>
            <w:fldChar w:fldCharType="separate"/>
          </w:r>
          <w:r>
            <w:rPr>
              <w:rFonts w:ascii="黑体" w:hAnsi="黑体"/>
              <w:highlight w:val="none"/>
            </w:rPr>
            <w:t>3.5 资格审查资料（适用于资格</w:t>
          </w:r>
          <w:r>
            <w:rPr>
              <w:rFonts w:hint="eastAsia" w:ascii="黑体" w:hAnsi="黑体"/>
              <w:highlight w:val="none"/>
            </w:rPr>
            <w:t>后</w:t>
          </w:r>
          <w:r>
            <w:rPr>
              <w:rFonts w:ascii="黑体" w:hAnsi="黑体"/>
              <w:highlight w:val="none"/>
            </w:rPr>
            <w:t>审的）</w:t>
          </w:r>
          <w:r>
            <w:rPr>
              <w:highlight w:val="none"/>
            </w:rPr>
            <w:tab/>
          </w:r>
          <w:r>
            <w:rPr>
              <w:highlight w:val="none"/>
            </w:rPr>
            <w:fldChar w:fldCharType="begin"/>
          </w:r>
          <w:r>
            <w:rPr>
              <w:highlight w:val="none"/>
            </w:rPr>
            <w:instrText xml:space="preserve"> PAGEREF _Toc26015 \h </w:instrText>
          </w:r>
          <w:r>
            <w:rPr>
              <w:highlight w:val="none"/>
            </w:rPr>
            <w:fldChar w:fldCharType="separate"/>
          </w:r>
          <w:r>
            <w:rPr>
              <w:highlight w:val="none"/>
            </w:rPr>
            <w:t>27</w:t>
          </w:r>
          <w:r>
            <w:rPr>
              <w:highlight w:val="none"/>
            </w:rPr>
            <w:fldChar w:fldCharType="end"/>
          </w:r>
          <w:r>
            <w:rPr>
              <w:color w:val="auto"/>
              <w:highlight w:val="none"/>
            </w:rPr>
            <w:fldChar w:fldCharType="end"/>
          </w:r>
        </w:p>
        <w:p w14:paraId="68F58174">
          <w:pPr>
            <w:pStyle w:val="19"/>
            <w:tabs>
              <w:tab w:val="right" w:leader="dot" w:pos="8306"/>
            </w:tabs>
            <w:rPr>
              <w:highlight w:val="none"/>
            </w:rPr>
          </w:pPr>
          <w:r>
            <w:rPr>
              <w:color w:val="auto"/>
              <w:highlight w:val="none"/>
            </w:rPr>
            <w:fldChar w:fldCharType="begin"/>
          </w:r>
          <w:r>
            <w:rPr>
              <w:highlight w:val="none"/>
            </w:rPr>
            <w:instrText xml:space="preserve"> HYPERLINK \l _Toc19778 </w:instrText>
          </w:r>
          <w:r>
            <w:rPr>
              <w:highlight w:val="none"/>
            </w:rPr>
            <w:fldChar w:fldCharType="separate"/>
          </w:r>
          <w:r>
            <w:rPr>
              <w:rFonts w:ascii="黑体" w:hAnsi="黑体"/>
              <w:highlight w:val="none"/>
            </w:rPr>
            <w:t>3.6 备选投标方案</w:t>
          </w:r>
          <w:r>
            <w:rPr>
              <w:highlight w:val="none"/>
            </w:rPr>
            <w:tab/>
          </w:r>
          <w:r>
            <w:rPr>
              <w:highlight w:val="none"/>
            </w:rPr>
            <w:fldChar w:fldCharType="begin"/>
          </w:r>
          <w:r>
            <w:rPr>
              <w:highlight w:val="none"/>
            </w:rPr>
            <w:instrText xml:space="preserve"> PAGEREF _Toc19778 \h </w:instrText>
          </w:r>
          <w:r>
            <w:rPr>
              <w:highlight w:val="none"/>
            </w:rPr>
            <w:fldChar w:fldCharType="separate"/>
          </w:r>
          <w:r>
            <w:rPr>
              <w:highlight w:val="none"/>
            </w:rPr>
            <w:t>27</w:t>
          </w:r>
          <w:r>
            <w:rPr>
              <w:highlight w:val="none"/>
            </w:rPr>
            <w:fldChar w:fldCharType="end"/>
          </w:r>
          <w:r>
            <w:rPr>
              <w:color w:val="auto"/>
              <w:highlight w:val="none"/>
            </w:rPr>
            <w:fldChar w:fldCharType="end"/>
          </w:r>
        </w:p>
        <w:p w14:paraId="72DC05E1">
          <w:pPr>
            <w:pStyle w:val="19"/>
            <w:tabs>
              <w:tab w:val="right" w:leader="dot" w:pos="8306"/>
            </w:tabs>
            <w:rPr>
              <w:highlight w:val="none"/>
            </w:rPr>
          </w:pPr>
          <w:r>
            <w:rPr>
              <w:color w:val="auto"/>
              <w:highlight w:val="none"/>
            </w:rPr>
            <w:fldChar w:fldCharType="begin"/>
          </w:r>
          <w:r>
            <w:rPr>
              <w:highlight w:val="none"/>
            </w:rPr>
            <w:instrText xml:space="preserve"> HYPERLINK \l _Toc18175 </w:instrText>
          </w:r>
          <w:r>
            <w:rPr>
              <w:highlight w:val="none"/>
            </w:rPr>
            <w:fldChar w:fldCharType="separate"/>
          </w:r>
          <w:r>
            <w:rPr>
              <w:rFonts w:ascii="黑体" w:hAnsi="黑体"/>
              <w:highlight w:val="none"/>
            </w:rPr>
            <w:t>3.7 投标文件的编制</w:t>
          </w:r>
          <w:r>
            <w:rPr>
              <w:highlight w:val="none"/>
            </w:rPr>
            <w:tab/>
          </w:r>
          <w:r>
            <w:rPr>
              <w:highlight w:val="none"/>
            </w:rPr>
            <w:fldChar w:fldCharType="begin"/>
          </w:r>
          <w:r>
            <w:rPr>
              <w:highlight w:val="none"/>
            </w:rPr>
            <w:instrText xml:space="preserve"> PAGEREF _Toc18175 \h </w:instrText>
          </w:r>
          <w:r>
            <w:rPr>
              <w:highlight w:val="none"/>
            </w:rPr>
            <w:fldChar w:fldCharType="separate"/>
          </w:r>
          <w:r>
            <w:rPr>
              <w:highlight w:val="none"/>
            </w:rPr>
            <w:t>27</w:t>
          </w:r>
          <w:r>
            <w:rPr>
              <w:highlight w:val="none"/>
            </w:rPr>
            <w:fldChar w:fldCharType="end"/>
          </w:r>
          <w:r>
            <w:rPr>
              <w:color w:val="auto"/>
              <w:highlight w:val="none"/>
            </w:rPr>
            <w:fldChar w:fldCharType="end"/>
          </w:r>
        </w:p>
        <w:p w14:paraId="580636B7">
          <w:pPr>
            <w:pStyle w:val="19"/>
            <w:tabs>
              <w:tab w:val="right" w:leader="dot" w:pos="8306"/>
            </w:tabs>
            <w:rPr>
              <w:highlight w:val="none"/>
            </w:rPr>
          </w:pPr>
          <w:r>
            <w:rPr>
              <w:color w:val="auto"/>
              <w:highlight w:val="none"/>
            </w:rPr>
            <w:fldChar w:fldCharType="begin"/>
          </w:r>
          <w:r>
            <w:rPr>
              <w:highlight w:val="none"/>
            </w:rPr>
            <w:instrText xml:space="preserve"> HYPERLINK \l _Toc2443 </w:instrText>
          </w:r>
          <w:r>
            <w:rPr>
              <w:highlight w:val="none"/>
            </w:rPr>
            <w:fldChar w:fldCharType="separate"/>
          </w:r>
          <w:r>
            <w:rPr>
              <w:rFonts w:hint="eastAsia"/>
              <w:szCs w:val="28"/>
              <w:highlight w:val="none"/>
            </w:rPr>
            <w:t>4</w:t>
          </w:r>
          <w:r>
            <w:rPr>
              <w:szCs w:val="28"/>
              <w:highlight w:val="none"/>
            </w:rPr>
            <w:t>. 投标</w:t>
          </w:r>
          <w:r>
            <w:rPr>
              <w:highlight w:val="none"/>
            </w:rPr>
            <w:tab/>
          </w:r>
          <w:r>
            <w:rPr>
              <w:highlight w:val="none"/>
            </w:rPr>
            <w:fldChar w:fldCharType="begin"/>
          </w:r>
          <w:r>
            <w:rPr>
              <w:highlight w:val="none"/>
            </w:rPr>
            <w:instrText xml:space="preserve"> PAGEREF _Toc2443 \h </w:instrText>
          </w:r>
          <w:r>
            <w:rPr>
              <w:highlight w:val="none"/>
            </w:rPr>
            <w:fldChar w:fldCharType="separate"/>
          </w:r>
          <w:r>
            <w:rPr>
              <w:highlight w:val="none"/>
            </w:rPr>
            <w:t>28</w:t>
          </w:r>
          <w:r>
            <w:rPr>
              <w:highlight w:val="none"/>
            </w:rPr>
            <w:fldChar w:fldCharType="end"/>
          </w:r>
          <w:r>
            <w:rPr>
              <w:color w:val="auto"/>
              <w:highlight w:val="none"/>
            </w:rPr>
            <w:fldChar w:fldCharType="end"/>
          </w:r>
        </w:p>
        <w:p w14:paraId="464C7340">
          <w:pPr>
            <w:pStyle w:val="19"/>
            <w:tabs>
              <w:tab w:val="right" w:leader="dot" w:pos="8306"/>
            </w:tabs>
            <w:rPr>
              <w:highlight w:val="none"/>
            </w:rPr>
          </w:pPr>
          <w:r>
            <w:rPr>
              <w:color w:val="auto"/>
              <w:highlight w:val="none"/>
            </w:rPr>
            <w:fldChar w:fldCharType="begin"/>
          </w:r>
          <w:r>
            <w:rPr>
              <w:highlight w:val="none"/>
            </w:rPr>
            <w:instrText xml:space="preserve"> HYPERLINK \l _Toc11665 </w:instrText>
          </w:r>
          <w:r>
            <w:rPr>
              <w:highlight w:val="none"/>
            </w:rPr>
            <w:fldChar w:fldCharType="separate"/>
          </w:r>
          <w:r>
            <w:rPr>
              <w:rFonts w:hint="eastAsia" w:ascii="黑体" w:hAnsi="黑体"/>
              <w:highlight w:val="none"/>
            </w:rPr>
            <w:t>4.1 投标文件的密封和标识</w:t>
          </w:r>
          <w:r>
            <w:rPr>
              <w:highlight w:val="none"/>
            </w:rPr>
            <w:tab/>
          </w:r>
          <w:r>
            <w:rPr>
              <w:highlight w:val="none"/>
            </w:rPr>
            <w:fldChar w:fldCharType="begin"/>
          </w:r>
          <w:r>
            <w:rPr>
              <w:highlight w:val="none"/>
            </w:rPr>
            <w:instrText xml:space="preserve"> PAGEREF _Toc11665 \h </w:instrText>
          </w:r>
          <w:r>
            <w:rPr>
              <w:highlight w:val="none"/>
            </w:rPr>
            <w:fldChar w:fldCharType="separate"/>
          </w:r>
          <w:r>
            <w:rPr>
              <w:highlight w:val="none"/>
            </w:rPr>
            <w:t>28</w:t>
          </w:r>
          <w:r>
            <w:rPr>
              <w:highlight w:val="none"/>
            </w:rPr>
            <w:fldChar w:fldCharType="end"/>
          </w:r>
          <w:r>
            <w:rPr>
              <w:color w:val="auto"/>
              <w:highlight w:val="none"/>
            </w:rPr>
            <w:fldChar w:fldCharType="end"/>
          </w:r>
        </w:p>
        <w:p w14:paraId="6B6FE5B0">
          <w:pPr>
            <w:pStyle w:val="19"/>
            <w:tabs>
              <w:tab w:val="right" w:leader="dot" w:pos="8306"/>
            </w:tabs>
            <w:rPr>
              <w:highlight w:val="none"/>
            </w:rPr>
          </w:pPr>
          <w:r>
            <w:rPr>
              <w:color w:val="auto"/>
              <w:highlight w:val="none"/>
            </w:rPr>
            <w:fldChar w:fldCharType="begin"/>
          </w:r>
          <w:r>
            <w:rPr>
              <w:highlight w:val="none"/>
            </w:rPr>
            <w:instrText xml:space="preserve"> HYPERLINK \l _Toc19888 </w:instrText>
          </w:r>
          <w:r>
            <w:rPr>
              <w:highlight w:val="none"/>
            </w:rPr>
            <w:fldChar w:fldCharType="separate"/>
          </w:r>
          <w:r>
            <w:rPr>
              <w:rFonts w:hint="eastAsia" w:ascii="黑体" w:hAnsi="黑体"/>
              <w:highlight w:val="none"/>
            </w:rPr>
            <w:t>4.2 投标文件的递交</w:t>
          </w:r>
          <w:r>
            <w:rPr>
              <w:highlight w:val="none"/>
            </w:rPr>
            <w:tab/>
          </w:r>
          <w:r>
            <w:rPr>
              <w:highlight w:val="none"/>
            </w:rPr>
            <w:fldChar w:fldCharType="begin"/>
          </w:r>
          <w:r>
            <w:rPr>
              <w:highlight w:val="none"/>
            </w:rPr>
            <w:instrText xml:space="preserve"> PAGEREF _Toc19888 \h </w:instrText>
          </w:r>
          <w:r>
            <w:rPr>
              <w:highlight w:val="none"/>
            </w:rPr>
            <w:fldChar w:fldCharType="separate"/>
          </w:r>
          <w:r>
            <w:rPr>
              <w:highlight w:val="none"/>
            </w:rPr>
            <w:t>28</w:t>
          </w:r>
          <w:r>
            <w:rPr>
              <w:highlight w:val="none"/>
            </w:rPr>
            <w:fldChar w:fldCharType="end"/>
          </w:r>
          <w:r>
            <w:rPr>
              <w:color w:val="auto"/>
              <w:highlight w:val="none"/>
            </w:rPr>
            <w:fldChar w:fldCharType="end"/>
          </w:r>
        </w:p>
        <w:p w14:paraId="2D35AA27">
          <w:pPr>
            <w:pStyle w:val="19"/>
            <w:tabs>
              <w:tab w:val="right" w:leader="dot" w:pos="8306"/>
            </w:tabs>
            <w:rPr>
              <w:highlight w:val="none"/>
            </w:rPr>
          </w:pPr>
          <w:r>
            <w:rPr>
              <w:color w:val="auto"/>
              <w:highlight w:val="none"/>
            </w:rPr>
            <w:fldChar w:fldCharType="begin"/>
          </w:r>
          <w:r>
            <w:rPr>
              <w:highlight w:val="none"/>
            </w:rPr>
            <w:instrText xml:space="preserve"> HYPERLINK \l _Toc6958 </w:instrText>
          </w:r>
          <w:r>
            <w:rPr>
              <w:highlight w:val="none"/>
            </w:rPr>
            <w:fldChar w:fldCharType="separate"/>
          </w:r>
          <w:r>
            <w:rPr>
              <w:rFonts w:hint="eastAsia" w:ascii="黑体" w:hAnsi="黑体"/>
              <w:highlight w:val="none"/>
            </w:rPr>
            <w:t>4.3 投标文件的修改与撤回</w:t>
          </w:r>
          <w:r>
            <w:rPr>
              <w:highlight w:val="none"/>
            </w:rPr>
            <w:tab/>
          </w:r>
          <w:r>
            <w:rPr>
              <w:highlight w:val="none"/>
            </w:rPr>
            <w:fldChar w:fldCharType="begin"/>
          </w:r>
          <w:r>
            <w:rPr>
              <w:highlight w:val="none"/>
            </w:rPr>
            <w:instrText xml:space="preserve"> PAGEREF _Toc6958 \h </w:instrText>
          </w:r>
          <w:r>
            <w:rPr>
              <w:highlight w:val="none"/>
            </w:rPr>
            <w:fldChar w:fldCharType="separate"/>
          </w:r>
          <w:r>
            <w:rPr>
              <w:highlight w:val="none"/>
            </w:rPr>
            <w:t>28</w:t>
          </w:r>
          <w:r>
            <w:rPr>
              <w:highlight w:val="none"/>
            </w:rPr>
            <w:fldChar w:fldCharType="end"/>
          </w:r>
          <w:r>
            <w:rPr>
              <w:color w:val="auto"/>
              <w:highlight w:val="none"/>
            </w:rPr>
            <w:fldChar w:fldCharType="end"/>
          </w:r>
        </w:p>
        <w:p w14:paraId="45021239">
          <w:pPr>
            <w:pStyle w:val="19"/>
            <w:tabs>
              <w:tab w:val="right" w:leader="dot" w:pos="8306"/>
            </w:tabs>
            <w:rPr>
              <w:highlight w:val="none"/>
            </w:rPr>
          </w:pPr>
          <w:r>
            <w:rPr>
              <w:color w:val="auto"/>
              <w:highlight w:val="none"/>
            </w:rPr>
            <w:fldChar w:fldCharType="begin"/>
          </w:r>
          <w:r>
            <w:rPr>
              <w:highlight w:val="none"/>
            </w:rPr>
            <w:instrText xml:space="preserve"> HYPERLINK \l _Toc29142 </w:instrText>
          </w:r>
          <w:r>
            <w:rPr>
              <w:highlight w:val="none"/>
            </w:rPr>
            <w:fldChar w:fldCharType="separate"/>
          </w:r>
          <w:r>
            <w:rPr>
              <w:szCs w:val="28"/>
              <w:highlight w:val="none"/>
            </w:rPr>
            <w:t>5. 开标</w:t>
          </w:r>
          <w:r>
            <w:rPr>
              <w:highlight w:val="none"/>
            </w:rPr>
            <w:tab/>
          </w:r>
          <w:r>
            <w:rPr>
              <w:highlight w:val="none"/>
            </w:rPr>
            <w:fldChar w:fldCharType="begin"/>
          </w:r>
          <w:r>
            <w:rPr>
              <w:highlight w:val="none"/>
            </w:rPr>
            <w:instrText xml:space="preserve"> PAGEREF _Toc29142 \h </w:instrText>
          </w:r>
          <w:r>
            <w:rPr>
              <w:highlight w:val="none"/>
            </w:rPr>
            <w:fldChar w:fldCharType="separate"/>
          </w:r>
          <w:r>
            <w:rPr>
              <w:highlight w:val="none"/>
            </w:rPr>
            <w:t>29</w:t>
          </w:r>
          <w:r>
            <w:rPr>
              <w:highlight w:val="none"/>
            </w:rPr>
            <w:fldChar w:fldCharType="end"/>
          </w:r>
          <w:r>
            <w:rPr>
              <w:color w:val="auto"/>
              <w:highlight w:val="none"/>
            </w:rPr>
            <w:fldChar w:fldCharType="end"/>
          </w:r>
        </w:p>
        <w:p w14:paraId="5D062426">
          <w:pPr>
            <w:pStyle w:val="19"/>
            <w:tabs>
              <w:tab w:val="right" w:leader="dot" w:pos="8306"/>
            </w:tabs>
            <w:rPr>
              <w:highlight w:val="none"/>
            </w:rPr>
          </w:pPr>
          <w:r>
            <w:rPr>
              <w:color w:val="auto"/>
              <w:highlight w:val="none"/>
            </w:rPr>
            <w:fldChar w:fldCharType="begin"/>
          </w:r>
          <w:r>
            <w:rPr>
              <w:highlight w:val="none"/>
            </w:rPr>
            <w:instrText xml:space="preserve"> HYPERLINK \l _Toc5739 </w:instrText>
          </w:r>
          <w:r>
            <w:rPr>
              <w:highlight w:val="none"/>
            </w:rPr>
            <w:fldChar w:fldCharType="separate"/>
          </w:r>
          <w:r>
            <w:rPr>
              <w:rFonts w:hint="eastAsia" w:ascii="黑体" w:hAnsi="黑体"/>
              <w:highlight w:val="none"/>
            </w:rPr>
            <w:t>5.1</w:t>
          </w:r>
          <w:r>
            <w:rPr>
              <w:rFonts w:hint="eastAsia" w:ascii="黑体" w:hAnsi="黑体"/>
              <w:highlight w:val="none"/>
              <w:lang w:val="en-US" w:eastAsia="zh-CN"/>
            </w:rPr>
            <w:t xml:space="preserve"> </w:t>
          </w:r>
          <w:r>
            <w:rPr>
              <w:rFonts w:hint="eastAsia" w:ascii="黑体" w:hAnsi="黑体"/>
              <w:highlight w:val="none"/>
            </w:rPr>
            <w:t>□远程开标时间和地点</w:t>
          </w:r>
          <w:r>
            <w:rPr>
              <w:highlight w:val="none"/>
            </w:rPr>
            <w:tab/>
          </w:r>
          <w:r>
            <w:rPr>
              <w:highlight w:val="none"/>
            </w:rPr>
            <w:fldChar w:fldCharType="begin"/>
          </w:r>
          <w:r>
            <w:rPr>
              <w:highlight w:val="none"/>
            </w:rPr>
            <w:instrText xml:space="preserve"> PAGEREF _Toc5739 \h </w:instrText>
          </w:r>
          <w:r>
            <w:rPr>
              <w:highlight w:val="none"/>
            </w:rPr>
            <w:fldChar w:fldCharType="separate"/>
          </w:r>
          <w:r>
            <w:rPr>
              <w:highlight w:val="none"/>
            </w:rPr>
            <w:t>29</w:t>
          </w:r>
          <w:r>
            <w:rPr>
              <w:highlight w:val="none"/>
            </w:rPr>
            <w:fldChar w:fldCharType="end"/>
          </w:r>
          <w:r>
            <w:rPr>
              <w:color w:val="auto"/>
              <w:highlight w:val="none"/>
            </w:rPr>
            <w:fldChar w:fldCharType="end"/>
          </w:r>
        </w:p>
        <w:p w14:paraId="681078C4">
          <w:pPr>
            <w:pStyle w:val="19"/>
            <w:tabs>
              <w:tab w:val="right" w:leader="dot" w:pos="8306"/>
            </w:tabs>
            <w:rPr>
              <w:highlight w:val="none"/>
            </w:rPr>
          </w:pPr>
          <w:r>
            <w:rPr>
              <w:color w:val="auto"/>
              <w:highlight w:val="none"/>
            </w:rPr>
            <w:fldChar w:fldCharType="begin"/>
          </w:r>
          <w:r>
            <w:rPr>
              <w:highlight w:val="none"/>
            </w:rPr>
            <w:instrText xml:space="preserve"> HYPERLINK \l _Toc15667 </w:instrText>
          </w:r>
          <w:r>
            <w:rPr>
              <w:highlight w:val="none"/>
            </w:rPr>
            <w:fldChar w:fldCharType="separate"/>
          </w:r>
          <w:r>
            <w:rPr>
              <w:rFonts w:hint="eastAsia" w:ascii="黑体" w:hAnsi="黑体"/>
              <w:highlight w:val="none"/>
            </w:rPr>
            <w:t>5.1</w:t>
          </w:r>
          <w:r>
            <w:rPr>
              <w:rFonts w:hint="eastAsia" w:ascii="黑体" w:hAnsi="黑体"/>
              <w:highlight w:val="none"/>
              <w:lang w:val="en-US" w:eastAsia="zh-CN"/>
            </w:rPr>
            <w:t xml:space="preserve"> </w:t>
          </w:r>
          <w:r>
            <w:rPr>
              <w:rFonts w:hint="eastAsia" w:ascii="黑体" w:hAnsi="黑体"/>
              <w:highlight w:val="none"/>
            </w:rPr>
            <w:t>□现场开标时间和地点</w:t>
          </w:r>
          <w:r>
            <w:rPr>
              <w:highlight w:val="none"/>
            </w:rPr>
            <w:tab/>
          </w:r>
          <w:r>
            <w:rPr>
              <w:highlight w:val="none"/>
            </w:rPr>
            <w:fldChar w:fldCharType="begin"/>
          </w:r>
          <w:r>
            <w:rPr>
              <w:highlight w:val="none"/>
            </w:rPr>
            <w:instrText xml:space="preserve"> PAGEREF _Toc15667 \h </w:instrText>
          </w:r>
          <w:r>
            <w:rPr>
              <w:highlight w:val="none"/>
            </w:rPr>
            <w:fldChar w:fldCharType="separate"/>
          </w:r>
          <w:r>
            <w:rPr>
              <w:highlight w:val="none"/>
            </w:rPr>
            <w:t>29</w:t>
          </w:r>
          <w:r>
            <w:rPr>
              <w:highlight w:val="none"/>
            </w:rPr>
            <w:fldChar w:fldCharType="end"/>
          </w:r>
          <w:r>
            <w:rPr>
              <w:color w:val="auto"/>
              <w:highlight w:val="none"/>
            </w:rPr>
            <w:fldChar w:fldCharType="end"/>
          </w:r>
        </w:p>
        <w:p w14:paraId="5ED3B975">
          <w:pPr>
            <w:pStyle w:val="19"/>
            <w:tabs>
              <w:tab w:val="right" w:leader="dot" w:pos="8306"/>
            </w:tabs>
            <w:rPr>
              <w:highlight w:val="none"/>
            </w:rPr>
          </w:pPr>
          <w:r>
            <w:rPr>
              <w:color w:val="auto"/>
              <w:highlight w:val="none"/>
            </w:rPr>
            <w:fldChar w:fldCharType="begin"/>
          </w:r>
          <w:r>
            <w:rPr>
              <w:highlight w:val="none"/>
            </w:rPr>
            <w:instrText xml:space="preserve"> HYPERLINK \l _Toc8375 </w:instrText>
          </w:r>
          <w:r>
            <w:rPr>
              <w:highlight w:val="none"/>
            </w:rPr>
            <w:fldChar w:fldCharType="separate"/>
          </w:r>
          <w:r>
            <w:rPr>
              <w:rFonts w:hint="eastAsia" w:ascii="黑体" w:hAnsi="黑体"/>
              <w:highlight w:val="none"/>
            </w:rPr>
            <w:t>5.2</w:t>
          </w:r>
          <w:r>
            <w:rPr>
              <w:rFonts w:hint="eastAsia" w:ascii="黑体" w:hAnsi="黑体"/>
              <w:highlight w:val="none"/>
              <w:lang w:val="en-US" w:eastAsia="zh-CN"/>
            </w:rPr>
            <w:t xml:space="preserve"> </w:t>
          </w:r>
          <w:r>
            <w:rPr>
              <w:rFonts w:hint="eastAsia" w:ascii="黑体" w:hAnsi="黑体"/>
              <w:highlight w:val="none"/>
            </w:rPr>
            <w:t>□远程开标程序</w:t>
          </w:r>
          <w:r>
            <w:rPr>
              <w:highlight w:val="none"/>
            </w:rPr>
            <w:tab/>
          </w:r>
          <w:r>
            <w:rPr>
              <w:highlight w:val="none"/>
            </w:rPr>
            <w:fldChar w:fldCharType="begin"/>
          </w:r>
          <w:r>
            <w:rPr>
              <w:highlight w:val="none"/>
            </w:rPr>
            <w:instrText xml:space="preserve"> PAGEREF _Toc8375 \h </w:instrText>
          </w:r>
          <w:r>
            <w:rPr>
              <w:highlight w:val="none"/>
            </w:rPr>
            <w:fldChar w:fldCharType="separate"/>
          </w:r>
          <w:r>
            <w:rPr>
              <w:highlight w:val="none"/>
            </w:rPr>
            <w:t>29</w:t>
          </w:r>
          <w:r>
            <w:rPr>
              <w:highlight w:val="none"/>
            </w:rPr>
            <w:fldChar w:fldCharType="end"/>
          </w:r>
          <w:r>
            <w:rPr>
              <w:color w:val="auto"/>
              <w:highlight w:val="none"/>
            </w:rPr>
            <w:fldChar w:fldCharType="end"/>
          </w:r>
        </w:p>
        <w:p w14:paraId="18AA2BD0">
          <w:pPr>
            <w:pStyle w:val="19"/>
            <w:tabs>
              <w:tab w:val="right" w:leader="dot" w:pos="8306"/>
            </w:tabs>
            <w:rPr>
              <w:highlight w:val="none"/>
            </w:rPr>
          </w:pPr>
          <w:r>
            <w:rPr>
              <w:color w:val="auto"/>
              <w:highlight w:val="none"/>
            </w:rPr>
            <w:fldChar w:fldCharType="begin"/>
          </w:r>
          <w:r>
            <w:rPr>
              <w:highlight w:val="none"/>
            </w:rPr>
            <w:instrText xml:space="preserve"> HYPERLINK \l _Toc28230 </w:instrText>
          </w:r>
          <w:r>
            <w:rPr>
              <w:highlight w:val="none"/>
            </w:rPr>
            <w:fldChar w:fldCharType="separate"/>
          </w:r>
          <w:r>
            <w:rPr>
              <w:rFonts w:hint="eastAsia" w:ascii="黑体" w:hAnsi="黑体"/>
              <w:highlight w:val="none"/>
            </w:rPr>
            <w:t>5.2</w:t>
          </w:r>
          <w:r>
            <w:rPr>
              <w:rFonts w:hint="eastAsia" w:ascii="黑体" w:hAnsi="黑体"/>
              <w:highlight w:val="none"/>
              <w:lang w:val="en-US" w:eastAsia="zh-CN"/>
            </w:rPr>
            <w:t xml:space="preserve"> </w:t>
          </w:r>
          <w:r>
            <w:rPr>
              <w:rFonts w:hint="eastAsia" w:ascii="黑体" w:hAnsi="黑体"/>
              <w:highlight w:val="none"/>
            </w:rPr>
            <w:t>□现场开标程序</w:t>
          </w:r>
          <w:r>
            <w:rPr>
              <w:highlight w:val="none"/>
            </w:rPr>
            <w:tab/>
          </w:r>
          <w:r>
            <w:rPr>
              <w:highlight w:val="none"/>
            </w:rPr>
            <w:fldChar w:fldCharType="begin"/>
          </w:r>
          <w:r>
            <w:rPr>
              <w:highlight w:val="none"/>
            </w:rPr>
            <w:instrText xml:space="preserve"> PAGEREF _Toc28230 \h </w:instrText>
          </w:r>
          <w:r>
            <w:rPr>
              <w:highlight w:val="none"/>
            </w:rPr>
            <w:fldChar w:fldCharType="separate"/>
          </w:r>
          <w:r>
            <w:rPr>
              <w:highlight w:val="none"/>
            </w:rPr>
            <w:t>30</w:t>
          </w:r>
          <w:r>
            <w:rPr>
              <w:highlight w:val="none"/>
            </w:rPr>
            <w:fldChar w:fldCharType="end"/>
          </w:r>
          <w:r>
            <w:rPr>
              <w:color w:val="auto"/>
              <w:highlight w:val="none"/>
            </w:rPr>
            <w:fldChar w:fldCharType="end"/>
          </w:r>
        </w:p>
        <w:p w14:paraId="1895E7BE">
          <w:pPr>
            <w:pStyle w:val="19"/>
            <w:tabs>
              <w:tab w:val="right" w:leader="dot" w:pos="8306"/>
            </w:tabs>
            <w:rPr>
              <w:highlight w:val="none"/>
            </w:rPr>
          </w:pPr>
          <w:r>
            <w:rPr>
              <w:color w:val="auto"/>
              <w:highlight w:val="none"/>
            </w:rPr>
            <w:fldChar w:fldCharType="begin"/>
          </w:r>
          <w:r>
            <w:rPr>
              <w:highlight w:val="none"/>
            </w:rPr>
            <w:instrText xml:space="preserve"> HYPERLINK \l _Toc24117 </w:instrText>
          </w:r>
          <w:r>
            <w:rPr>
              <w:highlight w:val="none"/>
            </w:rPr>
            <w:fldChar w:fldCharType="separate"/>
          </w:r>
          <w:r>
            <w:rPr>
              <w:rFonts w:hint="eastAsia" w:ascii="黑体" w:hAnsi="黑体"/>
              <w:highlight w:val="none"/>
            </w:rPr>
            <w:t>5.3 开标异议</w:t>
          </w:r>
          <w:r>
            <w:rPr>
              <w:highlight w:val="none"/>
            </w:rPr>
            <w:tab/>
          </w:r>
          <w:r>
            <w:rPr>
              <w:highlight w:val="none"/>
            </w:rPr>
            <w:fldChar w:fldCharType="begin"/>
          </w:r>
          <w:r>
            <w:rPr>
              <w:highlight w:val="none"/>
            </w:rPr>
            <w:instrText xml:space="preserve"> PAGEREF _Toc24117 \h </w:instrText>
          </w:r>
          <w:r>
            <w:rPr>
              <w:highlight w:val="none"/>
            </w:rPr>
            <w:fldChar w:fldCharType="separate"/>
          </w:r>
          <w:r>
            <w:rPr>
              <w:highlight w:val="none"/>
            </w:rPr>
            <w:t>31</w:t>
          </w:r>
          <w:r>
            <w:rPr>
              <w:highlight w:val="none"/>
            </w:rPr>
            <w:fldChar w:fldCharType="end"/>
          </w:r>
          <w:r>
            <w:rPr>
              <w:color w:val="auto"/>
              <w:highlight w:val="none"/>
            </w:rPr>
            <w:fldChar w:fldCharType="end"/>
          </w:r>
        </w:p>
        <w:p w14:paraId="4E38DA50">
          <w:pPr>
            <w:pStyle w:val="19"/>
            <w:tabs>
              <w:tab w:val="right" w:leader="dot" w:pos="8306"/>
            </w:tabs>
            <w:rPr>
              <w:highlight w:val="none"/>
            </w:rPr>
          </w:pPr>
          <w:r>
            <w:rPr>
              <w:color w:val="auto"/>
              <w:highlight w:val="none"/>
            </w:rPr>
            <w:fldChar w:fldCharType="begin"/>
          </w:r>
          <w:r>
            <w:rPr>
              <w:highlight w:val="none"/>
            </w:rPr>
            <w:instrText xml:space="preserve"> HYPERLINK \l _Toc448 </w:instrText>
          </w:r>
          <w:r>
            <w:rPr>
              <w:highlight w:val="none"/>
            </w:rPr>
            <w:fldChar w:fldCharType="separate"/>
          </w:r>
          <w:r>
            <w:rPr>
              <w:rFonts w:ascii="黑体" w:hAnsi="黑体"/>
              <w:highlight w:val="none"/>
            </w:rPr>
            <w:t>5.</w:t>
          </w:r>
          <w:r>
            <w:rPr>
              <w:rFonts w:hint="eastAsia" w:ascii="黑体" w:hAnsi="黑体"/>
              <w:highlight w:val="none"/>
            </w:rPr>
            <w:t xml:space="preserve">4 </w:t>
          </w:r>
          <w:r>
            <w:rPr>
              <w:rFonts w:ascii="黑体" w:hAnsi="黑体"/>
              <w:highlight w:val="none"/>
            </w:rPr>
            <w:t>特殊情况的处置</w:t>
          </w:r>
          <w:r>
            <w:rPr>
              <w:highlight w:val="none"/>
            </w:rPr>
            <w:tab/>
          </w:r>
          <w:r>
            <w:rPr>
              <w:highlight w:val="none"/>
            </w:rPr>
            <w:fldChar w:fldCharType="begin"/>
          </w:r>
          <w:r>
            <w:rPr>
              <w:highlight w:val="none"/>
            </w:rPr>
            <w:instrText xml:space="preserve"> PAGEREF _Toc448 \h </w:instrText>
          </w:r>
          <w:r>
            <w:rPr>
              <w:highlight w:val="none"/>
            </w:rPr>
            <w:fldChar w:fldCharType="separate"/>
          </w:r>
          <w:r>
            <w:rPr>
              <w:highlight w:val="none"/>
            </w:rPr>
            <w:t>31</w:t>
          </w:r>
          <w:r>
            <w:rPr>
              <w:highlight w:val="none"/>
            </w:rPr>
            <w:fldChar w:fldCharType="end"/>
          </w:r>
          <w:r>
            <w:rPr>
              <w:color w:val="auto"/>
              <w:highlight w:val="none"/>
            </w:rPr>
            <w:fldChar w:fldCharType="end"/>
          </w:r>
        </w:p>
        <w:p w14:paraId="730E26D0">
          <w:pPr>
            <w:pStyle w:val="19"/>
            <w:tabs>
              <w:tab w:val="right" w:leader="dot" w:pos="8306"/>
            </w:tabs>
            <w:rPr>
              <w:highlight w:val="none"/>
            </w:rPr>
          </w:pPr>
          <w:r>
            <w:rPr>
              <w:color w:val="auto"/>
              <w:highlight w:val="none"/>
            </w:rPr>
            <w:fldChar w:fldCharType="begin"/>
          </w:r>
          <w:r>
            <w:rPr>
              <w:highlight w:val="none"/>
            </w:rPr>
            <w:instrText xml:space="preserve"> HYPERLINK \l _Toc1417 </w:instrText>
          </w:r>
          <w:r>
            <w:rPr>
              <w:highlight w:val="none"/>
            </w:rPr>
            <w:fldChar w:fldCharType="separate"/>
          </w:r>
          <w:r>
            <w:rPr>
              <w:szCs w:val="28"/>
              <w:highlight w:val="none"/>
            </w:rPr>
            <w:t>6. 评标</w:t>
          </w:r>
          <w:r>
            <w:rPr>
              <w:highlight w:val="none"/>
            </w:rPr>
            <w:tab/>
          </w:r>
          <w:r>
            <w:rPr>
              <w:highlight w:val="none"/>
            </w:rPr>
            <w:fldChar w:fldCharType="begin"/>
          </w:r>
          <w:r>
            <w:rPr>
              <w:highlight w:val="none"/>
            </w:rPr>
            <w:instrText xml:space="preserve"> PAGEREF _Toc1417 \h </w:instrText>
          </w:r>
          <w:r>
            <w:rPr>
              <w:highlight w:val="none"/>
            </w:rPr>
            <w:fldChar w:fldCharType="separate"/>
          </w:r>
          <w:r>
            <w:rPr>
              <w:highlight w:val="none"/>
            </w:rPr>
            <w:t>31</w:t>
          </w:r>
          <w:r>
            <w:rPr>
              <w:highlight w:val="none"/>
            </w:rPr>
            <w:fldChar w:fldCharType="end"/>
          </w:r>
          <w:r>
            <w:rPr>
              <w:color w:val="auto"/>
              <w:highlight w:val="none"/>
            </w:rPr>
            <w:fldChar w:fldCharType="end"/>
          </w:r>
        </w:p>
        <w:p w14:paraId="122D7D65">
          <w:pPr>
            <w:pStyle w:val="19"/>
            <w:tabs>
              <w:tab w:val="right" w:leader="dot" w:pos="8306"/>
            </w:tabs>
            <w:rPr>
              <w:highlight w:val="none"/>
            </w:rPr>
          </w:pPr>
          <w:r>
            <w:rPr>
              <w:color w:val="auto"/>
              <w:highlight w:val="none"/>
            </w:rPr>
            <w:fldChar w:fldCharType="begin"/>
          </w:r>
          <w:r>
            <w:rPr>
              <w:highlight w:val="none"/>
            </w:rPr>
            <w:instrText xml:space="preserve"> HYPERLINK \l _Toc5535 </w:instrText>
          </w:r>
          <w:r>
            <w:rPr>
              <w:highlight w:val="none"/>
            </w:rPr>
            <w:fldChar w:fldCharType="separate"/>
          </w:r>
          <w:r>
            <w:rPr>
              <w:rFonts w:ascii="黑体" w:hAnsi="黑体"/>
              <w:highlight w:val="none"/>
            </w:rPr>
            <w:t>6.1 评标委员会</w:t>
          </w:r>
          <w:r>
            <w:rPr>
              <w:highlight w:val="none"/>
            </w:rPr>
            <w:tab/>
          </w:r>
          <w:r>
            <w:rPr>
              <w:highlight w:val="none"/>
            </w:rPr>
            <w:fldChar w:fldCharType="begin"/>
          </w:r>
          <w:r>
            <w:rPr>
              <w:highlight w:val="none"/>
            </w:rPr>
            <w:instrText xml:space="preserve"> PAGEREF _Toc5535 \h </w:instrText>
          </w:r>
          <w:r>
            <w:rPr>
              <w:highlight w:val="none"/>
            </w:rPr>
            <w:fldChar w:fldCharType="separate"/>
          </w:r>
          <w:r>
            <w:rPr>
              <w:highlight w:val="none"/>
            </w:rPr>
            <w:t>31</w:t>
          </w:r>
          <w:r>
            <w:rPr>
              <w:highlight w:val="none"/>
            </w:rPr>
            <w:fldChar w:fldCharType="end"/>
          </w:r>
          <w:r>
            <w:rPr>
              <w:color w:val="auto"/>
              <w:highlight w:val="none"/>
            </w:rPr>
            <w:fldChar w:fldCharType="end"/>
          </w:r>
        </w:p>
        <w:p w14:paraId="4997F873">
          <w:pPr>
            <w:pStyle w:val="19"/>
            <w:tabs>
              <w:tab w:val="right" w:leader="dot" w:pos="8306"/>
            </w:tabs>
            <w:rPr>
              <w:highlight w:val="none"/>
            </w:rPr>
          </w:pPr>
          <w:r>
            <w:rPr>
              <w:color w:val="auto"/>
              <w:highlight w:val="none"/>
            </w:rPr>
            <w:fldChar w:fldCharType="begin"/>
          </w:r>
          <w:r>
            <w:rPr>
              <w:highlight w:val="none"/>
            </w:rPr>
            <w:instrText xml:space="preserve"> HYPERLINK \l _Toc7926 </w:instrText>
          </w:r>
          <w:r>
            <w:rPr>
              <w:highlight w:val="none"/>
            </w:rPr>
            <w:fldChar w:fldCharType="separate"/>
          </w:r>
          <w:r>
            <w:rPr>
              <w:rFonts w:ascii="黑体" w:hAnsi="黑体"/>
              <w:highlight w:val="none"/>
            </w:rPr>
            <w:t>6.2 评标原则</w:t>
          </w:r>
          <w:r>
            <w:rPr>
              <w:highlight w:val="none"/>
            </w:rPr>
            <w:tab/>
          </w:r>
          <w:r>
            <w:rPr>
              <w:highlight w:val="none"/>
            </w:rPr>
            <w:fldChar w:fldCharType="begin"/>
          </w:r>
          <w:r>
            <w:rPr>
              <w:highlight w:val="none"/>
            </w:rPr>
            <w:instrText xml:space="preserve"> PAGEREF _Toc7926 \h </w:instrText>
          </w:r>
          <w:r>
            <w:rPr>
              <w:highlight w:val="none"/>
            </w:rPr>
            <w:fldChar w:fldCharType="separate"/>
          </w:r>
          <w:r>
            <w:rPr>
              <w:highlight w:val="none"/>
            </w:rPr>
            <w:t>32</w:t>
          </w:r>
          <w:r>
            <w:rPr>
              <w:highlight w:val="none"/>
            </w:rPr>
            <w:fldChar w:fldCharType="end"/>
          </w:r>
          <w:r>
            <w:rPr>
              <w:color w:val="auto"/>
              <w:highlight w:val="none"/>
            </w:rPr>
            <w:fldChar w:fldCharType="end"/>
          </w:r>
        </w:p>
        <w:p w14:paraId="1EB6EA7B">
          <w:pPr>
            <w:pStyle w:val="19"/>
            <w:tabs>
              <w:tab w:val="right" w:leader="dot" w:pos="8306"/>
            </w:tabs>
            <w:rPr>
              <w:highlight w:val="none"/>
            </w:rPr>
          </w:pPr>
          <w:r>
            <w:rPr>
              <w:color w:val="auto"/>
              <w:highlight w:val="none"/>
            </w:rPr>
            <w:fldChar w:fldCharType="begin"/>
          </w:r>
          <w:r>
            <w:rPr>
              <w:highlight w:val="none"/>
            </w:rPr>
            <w:instrText xml:space="preserve"> HYPERLINK \l _Toc29270 </w:instrText>
          </w:r>
          <w:r>
            <w:rPr>
              <w:highlight w:val="none"/>
            </w:rPr>
            <w:fldChar w:fldCharType="separate"/>
          </w:r>
          <w:r>
            <w:rPr>
              <w:rFonts w:ascii="黑体" w:hAnsi="黑体"/>
              <w:highlight w:val="none"/>
            </w:rPr>
            <w:t>6.3 评标</w:t>
          </w:r>
          <w:r>
            <w:rPr>
              <w:highlight w:val="none"/>
            </w:rPr>
            <w:tab/>
          </w:r>
          <w:r>
            <w:rPr>
              <w:highlight w:val="none"/>
            </w:rPr>
            <w:fldChar w:fldCharType="begin"/>
          </w:r>
          <w:r>
            <w:rPr>
              <w:highlight w:val="none"/>
            </w:rPr>
            <w:instrText xml:space="preserve"> PAGEREF _Toc29270 \h </w:instrText>
          </w:r>
          <w:r>
            <w:rPr>
              <w:highlight w:val="none"/>
            </w:rPr>
            <w:fldChar w:fldCharType="separate"/>
          </w:r>
          <w:r>
            <w:rPr>
              <w:highlight w:val="none"/>
            </w:rPr>
            <w:t>32</w:t>
          </w:r>
          <w:r>
            <w:rPr>
              <w:highlight w:val="none"/>
            </w:rPr>
            <w:fldChar w:fldCharType="end"/>
          </w:r>
          <w:r>
            <w:rPr>
              <w:color w:val="auto"/>
              <w:highlight w:val="none"/>
            </w:rPr>
            <w:fldChar w:fldCharType="end"/>
          </w:r>
        </w:p>
        <w:p w14:paraId="141BDA19">
          <w:pPr>
            <w:pStyle w:val="19"/>
            <w:tabs>
              <w:tab w:val="right" w:leader="dot" w:pos="8306"/>
            </w:tabs>
            <w:rPr>
              <w:highlight w:val="none"/>
            </w:rPr>
          </w:pPr>
          <w:r>
            <w:rPr>
              <w:color w:val="auto"/>
              <w:highlight w:val="none"/>
            </w:rPr>
            <w:fldChar w:fldCharType="begin"/>
          </w:r>
          <w:r>
            <w:rPr>
              <w:highlight w:val="none"/>
            </w:rPr>
            <w:instrText xml:space="preserve"> HYPERLINK \l _Toc5500 </w:instrText>
          </w:r>
          <w:r>
            <w:rPr>
              <w:highlight w:val="none"/>
            </w:rPr>
            <w:fldChar w:fldCharType="separate"/>
          </w:r>
          <w:r>
            <w:rPr>
              <w:rFonts w:ascii="黑体" w:hAnsi="黑体"/>
              <w:highlight w:val="none"/>
            </w:rPr>
            <w:t xml:space="preserve">6.4 </w:t>
          </w:r>
          <w:r>
            <w:rPr>
              <w:rFonts w:hint="eastAsia"/>
              <w:highlight w:val="none"/>
            </w:rPr>
            <w:t>中标公示</w:t>
          </w:r>
          <w:r>
            <w:rPr>
              <w:highlight w:val="none"/>
            </w:rPr>
            <w:tab/>
          </w:r>
          <w:r>
            <w:rPr>
              <w:highlight w:val="none"/>
            </w:rPr>
            <w:fldChar w:fldCharType="begin"/>
          </w:r>
          <w:r>
            <w:rPr>
              <w:highlight w:val="none"/>
            </w:rPr>
            <w:instrText xml:space="preserve"> PAGEREF _Toc5500 \h </w:instrText>
          </w:r>
          <w:r>
            <w:rPr>
              <w:highlight w:val="none"/>
            </w:rPr>
            <w:fldChar w:fldCharType="separate"/>
          </w:r>
          <w:r>
            <w:rPr>
              <w:highlight w:val="none"/>
            </w:rPr>
            <w:t>32</w:t>
          </w:r>
          <w:r>
            <w:rPr>
              <w:highlight w:val="none"/>
            </w:rPr>
            <w:fldChar w:fldCharType="end"/>
          </w:r>
          <w:r>
            <w:rPr>
              <w:color w:val="auto"/>
              <w:highlight w:val="none"/>
            </w:rPr>
            <w:fldChar w:fldCharType="end"/>
          </w:r>
        </w:p>
        <w:p w14:paraId="18546E0E">
          <w:pPr>
            <w:pStyle w:val="19"/>
            <w:tabs>
              <w:tab w:val="right" w:leader="dot" w:pos="8306"/>
            </w:tabs>
            <w:rPr>
              <w:highlight w:val="none"/>
            </w:rPr>
          </w:pPr>
          <w:r>
            <w:rPr>
              <w:color w:val="auto"/>
              <w:highlight w:val="none"/>
            </w:rPr>
            <w:fldChar w:fldCharType="begin"/>
          </w:r>
          <w:r>
            <w:rPr>
              <w:highlight w:val="none"/>
            </w:rPr>
            <w:instrText xml:space="preserve"> HYPERLINK \l _Toc20975 </w:instrText>
          </w:r>
          <w:r>
            <w:rPr>
              <w:highlight w:val="none"/>
            </w:rPr>
            <w:fldChar w:fldCharType="separate"/>
          </w:r>
          <w:r>
            <w:rPr>
              <w:rFonts w:ascii="黑体" w:hAnsi="黑体"/>
              <w:highlight w:val="none"/>
            </w:rPr>
            <w:t>6.5 履约能力的审查（如有）</w:t>
          </w:r>
          <w:r>
            <w:rPr>
              <w:highlight w:val="none"/>
            </w:rPr>
            <w:tab/>
          </w:r>
          <w:r>
            <w:rPr>
              <w:highlight w:val="none"/>
            </w:rPr>
            <w:fldChar w:fldCharType="begin"/>
          </w:r>
          <w:r>
            <w:rPr>
              <w:highlight w:val="none"/>
            </w:rPr>
            <w:instrText xml:space="preserve"> PAGEREF _Toc20975 \h </w:instrText>
          </w:r>
          <w:r>
            <w:rPr>
              <w:highlight w:val="none"/>
            </w:rPr>
            <w:fldChar w:fldCharType="separate"/>
          </w:r>
          <w:r>
            <w:rPr>
              <w:highlight w:val="none"/>
            </w:rPr>
            <w:t>32</w:t>
          </w:r>
          <w:r>
            <w:rPr>
              <w:highlight w:val="none"/>
            </w:rPr>
            <w:fldChar w:fldCharType="end"/>
          </w:r>
          <w:r>
            <w:rPr>
              <w:color w:val="auto"/>
              <w:highlight w:val="none"/>
            </w:rPr>
            <w:fldChar w:fldCharType="end"/>
          </w:r>
        </w:p>
        <w:p w14:paraId="5BDF1A04">
          <w:pPr>
            <w:pStyle w:val="19"/>
            <w:tabs>
              <w:tab w:val="right" w:leader="dot" w:pos="8306"/>
            </w:tabs>
            <w:rPr>
              <w:highlight w:val="none"/>
            </w:rPr>
          </w:pPr>
          <w:r>
            <w:rPr>
              <w:color w:val="auto"/>
              <w:highlight w:val="none"/>
            </w:rPr>
            <w:fldChar w:fldCharType="begin"/>
          </w:r>
          <w:r>
            <w:rPr>
              <w:highlight w:val="none"/>
            </w:rPr>
            <w:instrText xml:space="preserve"> HYPERLINK \l _Toc32142 </w:instrText>
          </w:r>
          <w:r>
            <w:rPr>
              <w:highlight w:val="none"/>
            </w:rPr>
            <w:fldChar w:fldCharType="separate"/>
          </w:r>
          <w:r>
            <w:rPr>
              <w:szCs w:val="28"/>
              <w:highlight w:val="none"/>
            </w:rPr>
            <w:t>7. 合同授予</w:t>
          </w:r>
          <w:r>
            <w:rPr>
              <w:highlight w:val="none"/>
            </w:rPr>
            <w:tab/>
          </w:r>
          <w:r>
            <w:rPr>
              <w:highlight w:val="none"/>
            </w:rPr>
            <w:fldChar w:fldCharType="begin"/>
          </w:r>
          <w:r>
            <w:rPr>
              <w:highlight w:val="none"/>
            </w:rPr>
            <w:instrText xml:space="preserve"> PAGEREF _Toc32142 \h </w:instrText>
          </w:r>
          <w:r>
            <w:rPr>
              <w:highlight w:val="none"/>
            </w:rPr>
            <w:fldChar w:fldCharType="separate"/>
          </w:r>
          <w:r>
            <w:rPr>
              <w:highlight w:val="none"/>
            </w:rPr>
            <w:t>32</w:t>
          </w:r>
          <w:r>
            <w:rPr>
              <w:highlight w:val="none"/>
            </w:rPr>
            <w:fldChar w:fldCharType="end"/>
          </w:r>
          <w:r>
            <w:rPr>
              <w:color w:val="auto"/>
              <w:highlight w:val="none"/>
            </w:rPr>
            <w:fldChar w:fldCharType="end"/>
          </w:r>
        </w:p>
        <w:p w14:paraId="4295D097">
          <w:pPr>
            <w:pStyle w:val="19"/>
            <w:tabs>
              <w:tab w:val="right" w:leader="dot" w:pos="8306"/>
            </w:tabs>
            <w:rPr>
              <w:highlight w:val="none"/>
            </w:rPr>
          </w:pPr>
          <w:r>
            <w:rPr>
              <w:color w:val="auto"/>
              <w:highlight w:val="none"/>
            </w:rPr>
            <w:fldChar w:fldCharType="begin"/>
          </w:r>
          <w:r>
            <w:rPr>
              <w:highlight w:val="none"/>
            </w:rPr>
            <w:instrText xml:space="preserve"> HYPERLINK \l _Toc5775 </w:instrText>
          </w:r>
          <w:r>
            <w:rPr>
              <w:highlight w:val="none"/>
            </w:rPr>
            <w:fldChar w:fldCharType="separate"/>
          </w:r>
          <w:r>
            <w:rPr>
              <w:rFonts w:ascii="黑体" w:hAnsi="黑体"/>
              <w:highlight w:val="none"/>
            </w:rPr>
            <w:t>7.1 定标</w:t>
          </w:r>
          <w:r>
            <w:rPr>
              <w:rFonts w:hint="eastAsia" w:ascii="黑体" w:hAnsi="黑体"/>
              <w:highlight w:val="none"/>
              <w:lang w:val="en-US" w:eastAsia="zh-CN"/>
            </w:rPr>
            <w:t>规则</w:t>
          </w:r>
          <w:r>
            <w:rPr>
              <w:highlight w:val="none"/>
            </w:rPr>
            <w:tab/>
          </w:r>
          <w:r>
            <w:rPr>
              <w:highlight w:val="none"/>
            </w:rPr>
            <w:fldChar w:fldCharType="begin"/>
          </w:r>
          <w:r>
            <w:rPr>
              <w:highlight w:val="none"/>
            </w:rPr>
            <w:instrText xml:space="preserve"> PAGEREF _Toc5775 \h </w:instrText>
          </w:r>
          <w:r>
            <w:rPr>
              <w:highlight w:val="none"/>
            </w:rPr>
            <w:fldChar w:fldCharType="separate"/>
          </w:r>
          <w:r>
            <w:rPr>
              <w:highlight w:val="none"/>
            </w:rPr>
            <w:t>32</w:t>
          </w:r>
          <w:r>
            <w:rPr>
              <w:highlight w:val="none"/>
            </w:rPr>
            <w:fldChar w:fldCharType="end"/>
          </w:r>
          <w:r>
            <w:rPr>
              <w:color w:val="auto"/>
              <w:highlight w:val="none"/>
            </w:rPr>
            <w:fldChar w:fldCharType="end"/>
          </w:r>
        </w:p>
        <w:p w14:paraId="76D4249F">
          <w:pPr>
            <w:pStyle w:val="19"/>
            <w:tabs>
              <w:tab w:val="right" w:leader="dot" w:pos="8306"/>
            </w:tabs>
            <w:rPr>
              <w:highlight w:val="none"/>
            </w:rPr>
          </w:pPr>
          <w:r>
            <w:rPr>
              <w:color w:val="auto"/>
              <w:highlight w:val="none"/>
            </w:rPr>
            <w:fldChar w:fldCharType="begin"/>
          </w:r>
          <w:r>
            <w:rPr>
              <w:highlight w:val="none"/>
            </w:rPr>
            <w:instrText xml:space="preserve"> HYPERLINK \l _Toc23489 </w:instrText>
          </w:r>
          <w:r>
            <w:rPr>
              <w:highlight w:val="none"/>
            </w:rPr>
            <w:fldChar w:fldCharType="separate"/>
          </w:r>
          <w:r>
            <w:rPr>
              <w:rFonts w:ascii="黑体" w:hAnsi="黑体"/>
              <w:highlight w:val="none"/>
            </w:rPr>
            <w:t>7.2 中标通知</w:t>
          </w:r>
          <w:r>
            <w:rPr>
              <w:highlight w:val="none"/>
            </w:rPr>
            <w:tab/>
          </w:r>
          <w:r>
            <w:rPr>
              <w:highlight w:val="none"/>
            </w:rPr>
            <w:fldChar w:fldCharType="begin"/>
          </w:r>
          <w:r>
            <w:rPr>
              <w:highlight w:val="none"/>
            </w:rPr>
            <w:instrText xml:space="preserve"> PAGEREF _Toc23489 \h </w:instrText>
          </w:r>
          <w:r>
            <w:rPr>
              <w:highlight w:val="none"/>
            </w:rPr>
            <w:fldChar w:fldCharType="separate"/>
          </w:r>
          <w:r>
            <w:rPr>
              <w:highlight w:val="none"/>
            </w:rPr>
            <w:t>33</w:t>
          </w:r>
          <w:r>
            <w:rPr>
              <w:highlight w:val="none"/>
            </w:rPr>
            <w:fldChar w:fldCharType="end"/>
          </w:r>
          <w:r>
            <w:rPr>
              <w:color w:val="auto"/>
              <w:highlight w:val="none"/>
            </w:rPr>
            <w:fldChar w:fldCharType="end"/>
          </w:r>
        </w:p>
        <w:p w14:paraId="6E62A838">
          <w:pPr>
            <w:pStyle w:val="19"/>
            <w:tabs>
              <w:tab w:val="right" w:leader="dot" w:pos="8306"/>
            </w:tabs>
            <w:rPr>
              <w:highlight w:val="none"/>
            </w:rPr>
          </w:pPr>
          <w:r>
            <w:rPr>
              <w:color w:val="auto"/>
              <w:highlight w:val="none"/>
            </w:rPr>
            <w:fldChar w:fldCharType="begin"/>
          </w:r>
          <w:r>
            <w:rPr>
              <w:highlight w:val="none"/>
            </w:rPr>
            <w:instrText xml:space="preserve"> HYPERLINK \l _Toc19840 </w:instrText>
          </w:r>
          <w:r>
            <w:rPr>
              <w:highlight w:val="none"/>
            </w:rPr>
            <w:fldChar w:fldCharType="separate"/>
          </w:r>
          <w:r>
            <w:rPr>
              <w:rFonts w:ascii="黑体" w:hAnsi="黑体"/>
              <w:highlight w:val="none"/>
            </w:rPr>
            <w:t>7.3 履约</w:t>
          </w:r>
          <w:r>
            <w:rPr>
              <w:rFonts w:hint="eastAsia" w:ascii="黑体" w:hAnsi="黑体"/>
              <w:highlight w:val="none"/>
            </w:rPr>
            <w:t>保证金</w:t>
          </w:r>
          <w:r>
            <w:rPr>
              <w:highlight w:val="none"/>
            </w:rPr>
            <w:tab/>
          </w:r>
          <w:r>
            <w:rPr>
              <w:highlight w:val="none"/>
            </w:rPr>
            <w:fldChar w:fldCharType="begin"/>
          </w:r>
          <w:r>
            <w:rPr>
              <w:highlight w:val="none"/>
            </w:rPr>
            <w:instrText xml:space="preserve"> PAGEREF _Toc19840 \h </w:instrText>
          </w:r>
          <w:r>
            <w:rPr>
              <w:highlight w:val="none"/>
            </w:rPr>
            <w:fldChar w:fldCharType="separate"/>
          </w:r>
          <w:r>
            <w:rPr>
              <w:highlight w:val="none"/>
            </w:rPr>
            <w:t>33</w:t>
          </w:r>
          <w:r>
            <w:rPr>
              <w:highlight w:val="none"/>
            </w:rPr>
            <w:fldChar w:fldCharType="end"/>
          </w:r>
          <w:r>
            <w:rPr>
              <w:color w:val="auto"/>
              <w:highlight w:val="none"/>
            </w:rPr>
            <w:fldChar w:fldCharType="end"/>
          </w:r>
        </w:p>
        <w:p w14:paraId="487D985E">
          <w:pPr>
            <w:pStyle w:val="19"/>
            <w:tabs>
              <w:tab w:val="right" w:leader="dot" w:pos="8306"/>
            </w:tabs>
            <w:rPr>
              <w:highlight w:val="none"/>
            </w:rPr>
          </w:pPr>
          <w:r>
            <w:rPr>
              <w:color w:val="auto"/>
              <w:highlight w:val="none"/>
            </w:rPr>
            <w:fldChar w:fldCharType="begin"/>
          </w:r>
          <w:r>
            <w:rPr>
              <w:highlight w:val="none"/>
            </w:rPr>
            <w:instrText xml:space="preserve"> HYPERLINK \l _Toc7796 </w:instrText>
          </w:r>
          <w:r>
            <w:rPr>
              <w:highlight w:val="none"/>
            </w:rPr>
            <w:fldChar w:fldCharType="separate"/>
          </w:r>
          <w:r>
            <w:rPr>
              <w:rFonts w:ascii="黑体" w:hAnsi="黑体"/>
              <w:highlight w:val="none"/>
            </w:rPr>
            <w:t>7.4 签订合同</w:t>
          </w:r>
          <w:r>
            <w:rPr>
              <w:highlight w:val="none"/>
            </w:rPr>
            <w:tab/>
          </w:r>
          <w:r>
            <w:rPr>
              <w:highlight w:val="none"/>
            </w:rPr>
            <w:fldChar w:fldCharType="begin"/>
          </w:r>
          <w:r>
            <w:rPr>
              <w:highlight w:val="none"/>
            </w:rPr>
            <w:instrText xml:space="preserve"> PAGEREF _Toc7796 \h </w:instrText>
          </w:r>
          <w:r>
            <w:rPr>
              <w:highlight w:val="none"/>
            </w:rPr>
            <w:fldChar w:fldCharType="separate"/>
          </w:r>
          <w:r>
            <w:rPr>
              <w:highlight w:val="none"/>
            </w:rPr>
            <w:t>33</w:t>
          </w:r>
          <w:r>
            <w:rPr>
              <w:highlight w:val="none"/>
            </w:rPr>
            <w:fldChar w:fldCharType="end"/>
          </w:r>
          <w:r>
            <w:rPr>
              <w:color w:val="auto"/>
              <w:highlight w:val="none"/>
            </w:rPr>
            <w:fldChar w:fldCharType="end"/>
          </w:r>
        </w:p>
        <w:p w14:paraId="4261349E">
          <w:pPr>
            <w:pStyle w:val="19"/>
            <w:tabs>
              <w:tab w:val="right" w:leader="dot" w:pos="8306"/>
            </w:tabs>
            <w:rPr>
              <w:highlight w:val="none"/>
            </w:rPr>
          </w:pPr>
          <w:r>
            <w:rPr>
              <w:color w:val="auto"/>
              <w:highlight w:val="none"/>
            </w:rPr>
            <w:fldChar w:fldCharType="begin"/>
          </w:r>
          <w:r>
            <w:rPr>
              <w:highlight w:val="none"/>
            </w:rPr>
            <w:instrText xml:space="preserve"> HYPERLINK \l _Toc14963 </w:instrText>
          </w:r>
          <w:r>
            <w:rPr>
              <w:highlight w:val="none"/>
            </w:rPr>
            <w:fldChar w:fldCharType="separate"/>
          </w:r>
          <w:r>
            <w:rPr>
              <w:szCs w:val="28"/>
              <w:highlight w:val="none"/>
            </w:rPr>
            <w:t>8. 重新招标、不再招标和终止招标</w:t>
          </w:r>
          <w:r>
            <w:rPr>
              <w:highlight w:val="none"/>
            </w:rPr>
            <w:tab/>
          </w:r>
          <w:r>
            <w:rPr>
              <w:highlight w:val="none"/>
            </w:rPr>
            <w:fldChar w:fldCharType="begin"/>
          </w:r>
          <w:r>
            <w:rPr>
              <w:highlight w:val="none"/>
            </w:rPr>
            <w:instrText xml:space="preserve"> PAGEREF _Toc14963 \h </w:instrText>
          </w:r>
          <w:r>
            <w:rPr>
              <w:highlight w:val="none"/>
            </w:rPr>
            <w:fldChar w:fldCharType="separate"/>
          </w:r>
          <w:r>
            <w:rPr>
              <w:highlight w:val="none"/>
            </w:rPr>
            <w:t>33</w:t>
          </w:r>
          <w:r>
            <w:rPr>
              <w:highlight w:val="none"/>
            </w:rPr>
            <w:fldChar w:fldCharType="end"/>
          </w:r>
          <w:r>
            <w:rPr>
              <w:color w:val="auto"/>
              <w:highlight w:val="none"/>
            </w:rPr>
            <w:fldChar w:fldCharType="end"/>
          </w:r>
        </w:p>
        <w:p w14:paraId="67DDF2A0">
          <w:pPr>
            <w:pStyle w:val="19"/>
            <w:tabs>
              <w:tab w:val="right" w:leader="dot" w:pos="8306"/>
            </w:tabs>
            <w:rPr>
              <w:highlight w:val="none"/>
            </w:rPr>
          </w:pPr>
          <w:r>
            <w:rPr>
              <w:color w:val="auto"/>
              <w:highlight w:val="none"/>
            </w:rPr>
            <w:fldChar w:fldCharType="begin"/>
          </w:r>
          <w:r>
            <w:rPr>
              <w:highlight w:val="none"/>
            </w:rPr>
            <w:instrText xml:space="preserve"> HYPERLINK \l _Toc30098 </w:instrText>
          </w:r>
          <w:r>
            <w:rPr>
              <w:highlight w:val="none"/>
            </w:rPr>
            <w:fldChar w:fldCharType="separate"/>
          </w:r>
          <w:r>
            <w:rPr>
              <w:rFonts w:ascii="黑体" w:hAnsi="黑体"/>
              <w:highlight w:val="none"/>
            </w:rPr>
            <w:t>8.1 重新招标</w:t>
          </w:r>
          <w:r>
            <w:rPr>
              <w:highlight w:val="none"/>
            </w:rPr>
            <w:tab/>
          </w:r>
          <w:r>
            <w:rPr>
              <w:highlight w:val="none"/>
            </w:rPr>
            <w:fldChar w:fldCharType="begin"/>
          </w:r>
          <w:r>
            <w:rPr>
              <w:highlight w:val="none"/>
            </w:rPr>
            <w:instrText xml:space="preserve"> PAGEREF _Toc30098 \h </w:instrText>
          </w:r>
          <w:r>
            <w:rPr>
              <w:highlight w:val="none"/>
            </w:rPr>
            <w:fldChar w:fldCharType="separate"/>
          </w:r>
          <w:r>
            <w:rPr>
              <w:highlight w:val="none"/>
            </w:rPr>
            <w:t>33</w:t>
          </w:r>
          <w:r>
            <w:rPr>
              <w:highlight w:val="none"/>
            </w:rPr>
            <w:fldChar w:fldCharType="end"/>
          </w:r>
          <w:r>
            <w:rPr>
              <w:color w:val="auto"/>
              <w:highlight w:val="none"/>
            </w:rPr>
            <w:fldChar w:fldCharType="end"/>
          </w:r>
        </w:p>
        <w:p w14:paraId="00EB017F">
          <w:pPr>
            <w:pStyle w:val="19"/>
            <w:tabs>
              <w:tab w:val="right" w:leader="dot" w:pos="8306"/>
            </w:tabs>
            <w:rPr>
              <w:highlight w:val="none"/>
            </w:rPr>
          </w:pPr>
          <w:r>
            <w:rPr>
              <w:color w:val="auto"/>
              <w:highlight w:val="none"/>
            </w:rPr>
            <w:fldChar w:fldCharType="begin"/>
          </w:r>
          <w:r>
            <w:rPr>
              <w:highlight w:val="none"/>
            </w:rPr>
            <w:instrText xml:space="preserve"> HYPERLINK \l _Toc9162 </w:instrText>
          </w:r>
          <w:r>
            <w:rPr>
              <w:highlight w:val="none"/>
            </w:rPr>
            <w:fldChar w:fldCharType="separate"/>
          </w:r>
          <w:r>
            <w:rPr>
              <w:rFonts w:ascii="黑体" w:hAnsi="黑体"/>
              <w:highlight w:val="none"/>
            </w:rPr>
            <w:t>8.2 不再招标</w:t>
          </w:r>
          <w:r>
            <w:rPr>
              <w:highlight w:val="none"/>
            </w:rPr>
            <w:tab/>
          </w:r>
          <w:r>
            <w:rPr>
              <w:highlight w:val="none"/>
            </w:rPr>
            <w:fldChar w:fldCharType="begin"/>
          </w:r>
          <w:r>
            <w:rPr>
              <w:highlight w:val="none"/>
            </w:rPr>
            <w:instrText xml:space="preserve"> PAGEREF _Toc9162 \h </w:instrText>
          </w:r>
          <w:r>
            <w:rPr>
              <w:highlight w:val="none"/>
            </w:rPr>
            <w:fldChar w:fldCharType="separate"/>
          </w:r>
          <w:r>
            <w:rPr>
              <w:highlight w:val="none"/>
            </w:rPr>
            <w:t>34</w:t>
          </w:r>
          <w:r>
            <w:rPr>
              <w:highlight w:val="none"/>
            </w:rPr>
            <w:fldChar w:fldCharType="end"/>
          </w:r>
          <w:r>
            <w:rPr>
              <w:color w:val="auto"/>
              <w:highlight w:val="none"/>
            </w:rPr>
            <w:fldChar w:fldCharType="end"/>
          </w:r>
        </w:p>
        <w:p w14:paraId="6700C4E6">
          <w:pPr>
            <w:pStyle w:val="19"/>
            <w:tabs>
              <w:tab w:val="right" w:leader="dot" w:pos="8306"/>
            </w:tabs>
            <w:rPr>
              <w:highlight w:val="none"/>
            </w:rPr>
          </w:pPr>
          <w:r>
            <w:rPr>
              <w:color w:val="auto"/>
              <w:highlight w:val="none"/>
            </w:rPr>
            <w:fldChar w:fldCharType="begin"/>
          </w:r>
          <w:r>
            <w:rPr>
              <w:highlight w:val="none"/>
            </w:rPr>
            <w:instrText xml:space="preserve"> HYPERLINK \l _Toc5013 </w:instrText>
          </w:r>
          <w:r>
            <w:rPr>
              <w:highlight w:val="none"/>
            </w:rPr>
            <w:fldChar w:fldCharType="separate"/>
          </w:r>
          <w:r>
            <w:rPr>
              <w:rFonts w:ascii="黑体" w:hAnsi="黑体"/>
              <w:highlight w:val="none"/>
            </w:rPr>
            <w:t>8.3 终止招标</w:t>
          </w:r>
          <w:r>
            <w:rPr>
              <w:highlight w:val="none"/>
            </w:rPr>
            <w:tab/>
          </w:r>
          <w:r>
            <w:rPr>
              <w:highlight w:val="none"/>
            </w:rPr>
            <w:fldChar w:fldCharType="begin"/>
          </w:r>
          <w:r>
            <w:rPr>
              <w:highlight w:val="none"/>
            </w:rPr>
            <w:instrText xml:space="preserve"> PAGEREF _Toc5013 \h </w:instrText>
          </w:r>
          <w:r>
            <w:rPr>
              <w:highlight w:val="none"/>
            </w:rPr>
            <w:fldChar w:fldCharType="separate"/>
          </w:r>
          <w:r>
            <w:rPr>
              <w:highlight w:val="none"/>
            </w:rPr>
            <w:t>34</w:t>
          </w:r>
          <w:r>
            <w:rPr>
              <w:highlight w:val="none"/>
            </w:rPr>
            <w:fldChar w:fldCharType="end"/>
          </w:r>
          <w:r>
            <w:rPr>
              <w:color w:val="auto"/>
              <w:highlight w:val="none"/>
            </w:rPr>
            <w:fldChar w:fldCharType="end"/>
          </w:r>
        </w:p>
        <w:p w14:paraId="5CBC53A4">
          <w:pPr>
            <w:pStyle w:val="19"/>
            <w:tabs>
              <w:tab w:val="right" w:leader="dot" w:pos="8306"/>
            </w:tabs>
            <w:rPr>
              <w:highlight w:val="none"/>
            </w:rPr>
          </w:pPr>
          <w:r>
            <w:rPr>
              <w:color w:val="auto"/>
              <w:highlight w:val="none"/>
            </w:rPr>
            <w:fldChar w:fldCharType="begin"/>
          </w:r>
          <w:r>
            <w:rPr>
              <w:highlight w:val="none"/>
            </w:rPr>
            <w:instrText xml:space="preserve"> HYPERLINK \l _Toc18766 </w:instrText>
          </w:r>
          <w:r>
            <w:rPr>
              <w:highlight w:val="none"/>
            </w:rPr>
            <w:fldChar w:fldCharType="separate"/>
          </w:r>
          <w:r>
            <w:rPr>
              <w:szCs w:val="28"/>
              <w:highlight w:val="none"/>
            </w:rPr>
            <w:t>9. 纪律和监督</w:t>
          </w:r>
          <w:r>
            <w:rPr>
              <w:highlight w:val="none"/>
            </w:rPr>
            <w:tab/>
          </w:r>
          <w:r>
            <w:rPr>
              <w:highlight w:val="none"/>
            </w:rPr>
            <w:fldChar w:fldCharType="begin"/>
          </w:r>
          <w:r>
            <w:rPr>
              <w:highlight w:val="none"/>
            </w:rPr>
            <w:instrText xml:space="preserve"> PAGEREF _Toc18766 \h </w:instrText>
          </w:r>
          <w:r>
            <w:rPr>
              <w:highlight w:val="none"/>
            </w:rPr>
            <w:fldChar w:fldCharType="separate"/>
          </w:r>
          <w:r>
            <w:rPr>
              <w:highlight w:val="none"/>
            </w:rPr>
            <w:t>34</w:t>
          </w:r>
          <w:r>
            <w:rPr>
              <w:highlight w:val="none"/>
            </w:rPr>
            <w:fldChar w:fldCharType="end"/>
          </w:r>
          <w:r>
            <w:rPr>
              <w:color w:val="auto"/>
              <w:highlight w:val="none"/>
            </w:rPr>
            <w:fldChar w:fldCharType="end"/>
          </w:r>
        </w:p>
        <w:p w14:paraId="40BD7EEE">
          <w:pPr>
            <w:pStyle w:val="19"/>
            <w:tabs>
              <w:tab w:val="right" w:leader="dot" w:pos="8306"/>
            </w:tabs>
            <w:rPr>
              <w:highlight w:val="none"/>
            </w:rPr>
          </w:pPr>
          <w:r>
            <w:rPr>
              <w:color w:val="auto"/>
              <w:highlight w:val="none"/>
            </w:rPr>
            <w:fldChar w:fldCharType="begin"/>
          </w:r>
          <w:r>
            <w:rPr>
              <w:highlight w:val="none"/>
            </w:rPr>
            <w:instrText xml:space="preserve"> HYPERLINK \l _Toc31625 </w:instrText>
          </w:r>
          <w:r>
            <w:rPr>
              <w:highlight w:val="none"/>
            </w:rPr>
            <w:fldChar w:fldCharType="separate"/>
          </w:r>
          <w:r>
            <w:rPr>
              <w:rFonts w:ascii="黑体" w:hAnsi="黑体"/>
              <w:highlight w:val="none"/>
            </w:rPr>
            <w:t>9.1 对招标人的纪律要求</w:t>
          </w:r>
          <w:r>
            <w:rPr>
              <w:highlight w:val="none"/>
            </w:rPr>
            <w:tab/>
          </w:r>
          <w:r>
            <w:rPr>
              <w:highlight w:val="none"/>
            </w:rPr>
            <w:fldChar w:fldCharType="begin"/>
          </w:r>
          <w:r>
            <w:rPr>
              <w:highlight w:val="none"/>
            </w:rPr>
            <w:instrText xml:space="preserve"> PAGEREF _Toc31625 \h </w:instrText>
          </w:r>
          <w:r>
            <w:rPr>
              <w:highlight w:val="none"/>
            </w:rPr>
            <w:fldChar w:fldCharType="separate"/>
          </w:r>
          <w:r>
            <w:rPr>
              <w:highlight w:val="none"/>
            </w:rPr>
            <w:t>34</w:t>
          </w:r>
          <w:r>
            <w:rPr>
              <w:highlight w:val="none"/>
            </w:rPr>
            <w:fldChar w:fldCharType="end"/>
          </w:r>
          <w:r>
            <w:rPr>
              <w:color w:val="auto"/>
              <w:highlight w:val="none"/>
            </w:rPr>
            <w:fldChar w:fldCharType="end"/>
          </w:r>
        </w:p>
        <w:p w14:paraId="5C30F0F1">
          <w:pPr>
            <w:pStyle w:val="19"/>
            <w:tabs>
              <w:tab w:val="right" w:leader="dot" w:pos="8306"/>
            </w:tabs>
            <w:rPr>
              <w:highlight w:val="none"/>
            </w:rPr>
          </w:pPr>
          <w:r>
            <w:rPr>
              <w:color w:val="auto"/>
              <w:highlight w:val="none"/>
            </w:rPr>
            <w:fldChar w:fldCharType="begin"/>
          </w:r>
          <w:r>
            <w:rPr>
              <w:highlight w:val="none"/>
            </w:rPr>
            <w:instrText xml:space="preserve"> HYPERLINK \l _Toc664 </w:instrText>
          </w:r>
          <w:r>
            <w:rPr>
              <w:highlight w:val="none"/>
            </w:rPr>
            <w:fldChar w:fldCharType="separate"/>
          </w:r>
          <w:r>
            <w:rPr>
              <w:rFonts w:ascii="黑体" w:hAnsi="黑体"/>
              <w:highlight w:val="none"/>
            </w:rPr>
            <w:t>9.2 对投标人的纪律要求</w:t>
          </w:r>
          <w:r>
            <w:rPr>
              <w:highlight w:val="none"/>
            </w:rPr>
            <w:tab/>
          </w:r>
          <w:r>
            <w:rPr>
              <w:highlight w:val="none"/>
            </w:rPr>
            <w:fldChar w:fldCharType="begin"/>
          </w:r>
          <w:r>
            <w:rPr>
              <w:highlight w:val="none"/>
            </w:rPr>
            <w:instrText xml:space="preserve"> PAGEREF _Toc664 \h </w:instrText>
          </w:r>
          <w:r>
            <w:rPr>
              <w:highlight w:val="none"/>
            </w:rPr>
            <w:fldChar w:fldCharType="separate"/>
          </w:r>
          <w:r>
            <w:rPr>
              <w:highlight w:val="none"/>
            </w:rPr>
            <w:t>34</w:t>
          </w:r>
          <w:r>
            <w:rPr>
              <w:highlight w:val="none"/>
            </w:rPr>
            <w:fldChar w:fldCharType="end"/>
          </w:r>
          <w:r>
            <w:rPr>
              <w:color w:val="auto"/>
              <w:highlight w:val="none"/>
            </w:rPr>
            <w:fldChar w:fldCharType="end"/>
          </w:r>
        </w:p>
        <w:p w14:paraId="30869CCF">
          <w:pPr>
            <w:pStyle w:val="19"/>
            <w:tabs>
              <w:tab w:val="right" w:leader="dot" w:pos="8306"/>
            </w:tabs>
            <w:rPr>
              <w:highlight w:val="none"/>
            </w:rPr>
          </w:pPr>
          <w:r>
            <w:rPr>
              <w:color w:val="auto"/>
              <w:highlight w:val="none"/>
            </w:rPr>
            <w:fldChar w:fldCharType="begin"/>
          </w:r>
          <w:r>
            <w:rPr>
              <w:highlight w:val="none"/>
            </w:rPr>
            <w:instrText xml:space="preserve"> HYPERLINK \l _Toc3161 </w:instrText>
          </w:r>
          <w:r>
            <w:rPr>
              <w:highlight w:val="none"/>
            </w:rPr>
            <w:fldChar w:fldCharType="separate"/>
          </w:r>
          <w:r>
            <w:rPr>
              <w:rFonts w:ascii="黑体" w:hAnsi="黑体"/>
              <w:highlight w:val="none"/>
            </w:rPr>
            <w:t>9.3 对评标委员会成员的纪律要求</w:t>
          </w:r>
          <w:r>
            <w:rPr>
              <w:highlight w:val="none"/>
            </w:rPr>
            <w:tab/>
          </w:r>
          <w:r>
            <w:rPr>
              <w:highlight w:val="none"/>
            </w:rPr>
            <w:fldChar w:fldCharType="begin"/>
          </w:r>
          <w:r>
            <w:rPr>
              <w:highlight w:val="none"/>
            </w:rPr>
            <w:instrText xml:space="preserve"> PAGEREF _Toc3161 \h </w:instrText>
          </w:r>
          <w:r>
            <w:rPr>
              <w:highlight w:val="none"/>
            </w:rPr>
            <w:fldChar w:fldCharType="separate"/>
          </w:r>
          <w:r>
            <w:rPr>
              <w:highlight w:val="none"/>
            </w:rPr>
            <w:t>36</w:t>
          </w:r>
          <w:r>
            <w:rPr>
              <w:highlight w:val="none"/>
            </w:rPr>
            <w:fldChar w:fldCharType="end"/>
          </w:r>
          <w:r>
            <w:rPr>
              <w:color w:val="auto"/>
              <w:highlight w:val="none"/>
            </w:rPr>
            <w:fldChar w:fldCharType="end"/>
          </w:r>
        </w:p>
        <w:p w14:paraId="0D3CF098">
          <w:pPr>
            <w:pStyle w:val="19"/>
            <w:tabs>
              <w:tab w:val="right" w:leader="dot" w:pos="8306"/>
            </w:tabs>
            <w:rPr>
              <w:highlight w:val="none"/>
            </w:rPr>
          </w:pPr>
          <w:r>
            <w:rPr>
              <w:color w:val="auto"/>
              <w:highlight w:val="none"/>
            </w:rPr>
            <w:fldChar w:fldCharType="begin"/>
          </w:r>
          <w:r>
            <w:rPr>
              <w:highlight w:val="none"/>
            </w:rPr>
            <w:instrText xml:space="preserve"> HYPERLINK \l _Toc27065 </w:instrText>
          </w:r>
          <w:r>
            <w:rPr>
              <w:highlight w:val="none"/>
            </w:rPr>
            <w:fldChar w:fldCharType="separate"/>
          </w:r>
          <w:r>
            <w:rPr>
              <w:rFonts w:ascii="黑体" w:hAnsi="黑体"/>
              <w:highlight w:val="none"/>
            </w:rPr>
            <w:t>9.4 对与评标活动有关的工作人员的纪律要求</w:t>
          </w:r>
          <w:r>
            <w:rPr>
              <w:highlight w:val="none"/>
            </w:rPr>
            <w:tab/>
          </w:r>
          <w:r>
            <w:rPr>
              <w:highlight w:val="none"/>
            </w:rPr>
            <w:fldChar w:fldCharType="begin"/>
          </w:r>
          <w:r>
            <w:rPr>
              <w:highlight w:val="none"/>
            </w:rPr>
            <w:instrText xml:space="preserve"> PAGEREF _Toc27065 \h </w:instrText>
          </w:r>
          <w:r>
            <w:rPr>
              <w:highlight w:val="none"/>
            </w:rPr>
            <w:fldChar w:fldCharType="separate"/>
          </w:r>
          <w:r>
            <w:rPr>
              <w:highlight w:val="none"/>
            </w:rPr>
            <w:t>36</w:t>
          </w:r>
          <w:r>
            <w:rPr>
              <w:highlight w:val="none"/>
            </w:rPr>
            <w:fldChar w:fldCharType="end"/>
          </w:r>
          <w:r>
            <w:rPr>
              <w:color w:val="auto"/>
              <w:highlight w:val="none"/>
            </w:rPr>
            <w:fldChar w:fldCharType="end"/>
          </w:r>
        </w:p>
        <w:p w14:paraId="251A9489">
          <w:pPr>
            <w:pStyle w:val="19"/>
            <w:tabs>
              <w:tab w:val="right" w:leader="dot" w:pos="8306"/>
            </w:tabs>
            <w:rPr>
              <w:highlight w:val="none"/>
            </w:rPr>
          </w:pPr>
          <w:r>
            <w:rPr>
              <w:color w:val="auto"/>
              <w:highlight w:val="none"/>
            </w:rPr>
            <w:fldChar w:fldCharType="begin"/>
          </w:r>
          <w:r>
            <w:rPr>
              <w:highlight w:val="none"/>
            </w:rPr>
            <w:instrText xml:space="preserve"> HYPERLINK \l _Toc7010 </w:instrText>
          </w:r>
          <w:r>
            <w:rPr>
              <w:highlight w:val="none"/>
            </w:rPr>
            <w:fldChar w:fldCharType="separate"/>
          </w:r>
          <w:r>
            <w:rPr>
              <w:rFonts w:ascii="黑体" w:hAnsi="黑体"/>
              <w:highlight w:val="none"/>
            </w:rPr>
            <w:t xml:space="preserve">9.5 </w:t>
          </w:r>
          <w:r>
            <w:rPr>
              <w:rFonts w:hint="eastAsia" w:ascii="黑体" w:hAnsi="黑体"/>
              <w:highlight w:val="none"/>
            </w:rPr>
            <w:t>异议和</w:t>
          </w:r>
          <w:r>
            <w:rPr>
              <w:rFonts w:ascii="黑体" w:hAnsi="黑体"/>
              <w:highlight w:val="none"/>
            </w:rPr>
            <w:t>投诉</w:t>
          </w:r>
          <w:r>
            <w:rPr>
              <w:highlight w:val="none"/>
            </w:rPr>
            <w:tab/>
          </w:r>
          <w:r>
            <w:rPr>
              <w:highlight w:val="none"/>
            </w:rPr>
            <w:fldChar w:fldCharType="begin"/>
          </w:r>
          <w:r>
            <w:rPr>
              <w:highlight w:val="none"/>
            </w:rPr>
            <w:instrText xml:space="preserve"> PAGEREF _Toc7010 \h </w:instrText>
          </w:r>
          <w:r>
            <w:rPr>
              <w:highlight w:val="none"/>
            </w:rPr>
            <w:fldChar w:fldCharType="separate"/>
          </w:r>
          <w:r>
            <w:rPr>
              <w:highlight w:val="none"/>
            </w:rPr>
            <w:t>36</w:t>
          </w:r>
          <w:r>
            <w:rPr>
              <w:highlight w:val="none"/>
            </w:rPr>
            <w:fldChar w:fldCharType="end"/>
          </w:r>
          <w:r>
            <w:rPr>
              <w:color w:val="auto"/>
              <w:highlight w:val="none"/>
            </w:rPr>
            <w:fldChar w:fldCharType="end"/>
          </w:r>
        </w:p>
        <w:p w14:paraId="555E9F2C">
          <w:pPr>
            <w:pStyle w:val="19"/>
            <w:tabs>
              <w:tab w:val="right" w:leader="dot" w:pos="8306"/>
            </w:tabs>
            <w:rPr>
              <w:highlight w:val="none"/>
            </w:rPr>
          </w:pPr>
          <w:r>
            <w:rPr>
              <w:color w:val="auto"/>
              <w:highlight w:val="none"/>
            </w:rPr>
            <w:fldChar w:fldCharType="begin"/>
          </w:r>
          <w:r>
            <w:rPr>
              <w:highlight w:val="none"/>
            </w:rPr>
            <w:instrText xml:space="preserve"> HYPERLINK \l _Toc15357 </w:instrText>
          </w:r>
          <w:r>
            <w:rPr>
              <w:highlight w:val="none"/>
            </w:rPr>
            <w:fldChar w:fldCharType="separate"/>
          </w:r>
          <w:r>
            <w:rPr>
              <w:szCs w:val="28"/>
              <w:highlight w:val="none"/>
            </w:rPr>
            <w:t>10. 需要补充的其他内容</w:t>
          </w:r>
          <w:r>
            <w:rPr>
              <w:highlight w:val="none"/>
            </w:rPr>
            <w:tab/>
          </w:r>
          <w:r>
            <w:rPr>
              <w:highlight w:val="none"/>
            </w:rPr>
            <w:fldChar w:fldCharType="begin"/>
          </w:r>
          <w:r>
            <w:rPr>
              <w:highlight w:val="none"/>
            </w:rPr>
            <w:instrText xml:space="preserve"> PAGEREF _Toc15357 \h </w:instrText>
          </w:r>
          <w:r>
            <w:rPr>
              <w:highlight w:val="none"/>
            </w:rPr>
            <w:fldChar w:fldCharType="separate"/>
          </w:r>
          <w:r>
            <w:rPr>
              <w:highlight w:val="none"/>
            </w:rPr>
            <w:t>37</w:t>
          </w:r>
          <w:r>
            <w:rPr>
              <w:highlight w:val="none"/>
            </w:rPr>
            <w:fldChar w:fldCharType="end"/>
          </w:r>
          <w:r>
            <w:rPr>
              <w:color w:val="auto"/>
              <w:highlight w:val="none"/>
            </w:rPr>
            <w:fldChar w:fldCharType="end"/>
          </w:r>
        </w:p>
        <w:p w14:paraId="5C0BF0C1">
          <w:pPr>
            <w:pStyle w:val="19"/>
            <w:tabs>
              <w:tab w:val="right" w:leader="dot" w:pos="8306"/>
            </w:tabs>
            <w:rPr>
              <w:highlight w:val="none"/>
            </w:rPr>
          </w:pPr>
          <w:r>
            <w:rPr>
              <w:color w:val="auto"/>
              <w:highlight w:val="none"/>
            </w:rPr>
            <w:fldChar w:fldCharType="begin"/>
          </w:r>
          <w:r>
            <w:rPr>
              <w:highlight w:val="none"/>
            </w:rPr>
            <w:instrText xml:space="preserve"> HYPERLINK \l _Toc16531 </w:instrText>
          </w:r>
          <w:r>
            <w:rPr>
              <w:highlight w:val="none"/>
            </w:rPr>
            <w:fldChar w:fldCharType="separate"/>
          </w:r>
          <w:r>
            <w:rPr>
              <w:rFonts w:hint="eastAsia"/>
              <w:szCs w:val="28"/>
              <w:highlight w:val="none"/>
            </w:rPr>
            <w:t>附件：投标</w:t>
          </w:r>
          <w:r>
            <w:rPr>
              <w:szCs w:val="28"/>
              <w:highlight w:val="none"/>
            </w:rPr>
            <w:t>人资质条件、能力和信誉</w:t>
          </w:r>
          <w:r>
            <w:rPr>
              <w:highlight w:val="none"/>
            </w:rPr>
            <w:tab/>
          </w:r>
          <w:r>
            <w:rPr>
              <w:highlight w:val="none"/>
            </w:rPr>
            <w:fldChar w:fldCharType="begin"/>
          </w:r>
          <w:r>
            <w:rPr>
              <w:highlight w:val="none"/>
            </w:rPr>
            <w:instrText xml:space="preserve"> PAGEREF _Toc16531 \h </w:instrText>
          </w:r>
          <w:r>
            <w:rPr>
              <w:highlight w:val="none"/>
            </w:rPr>
            <w:fldChar w:fldCharType="separate"/>
          </w:r>
          <w:r>
            <w:rPr>
              <w:highlight w:val="none"/>
            </w:rPr>
            <w:t>38</w:t>
          </w:r>
          <w:r>
            <w:rPr>
              <w:highlight w:val="none"/>
            </w:rPr>
            <w:fldChar w:fldCharType="end"/>
          </w:r>
          <w:r>
            <w:rPr>
              <w:color w:val="auto"/>
              <w:highlight w:val="none"/>
            </w:rPr>
            <w:fldChar w:fldCharType="end"/>
          </w:r>
        </w:p>
        <w:p w14:paraId="38FC6179">
          <w:pPr>
            <w:pStyle w:val="19"/>
            <w:tabs>
              <w:tab w:val="right" w:leader="dot" w:pos="8306"/>
            </w:tabs>
            <w:rPr>
              <w:highlight w:val="none"/>
            </w:rPr>
          </w:pPr>
          <w:r>
            <w:rPr>
              <w:color w:val="auto"/>
              <w:highlight w:val="none"/>
            </w:rPr>
            <w:fldChar w:fldCharType="begin"/>
          </w:r>
          <w:r>
            <w:rPr>
              <w:highlight w:val="none"/>
            </w:rPr>
            <w:instrText xml:space="preserve"> HYPERLINK \l _Toc10762 </w:instrText>
          </w:r>
          <w:r>
            <w:rPr>
              <w:highlight w:val="none"/>
            </w:rPr>
            <w:fldChar w:fldCharType="separate"/>
          </w:r>
          <w:r>
            <w:rPr>
              <w:rFonts w:hint="eastAsia"/>
              <w:highlight w:val="none"/>
            </w:rPr>
            <w:t>附表一：招标文件澄清申请函</w:t>
          </w:r>
          <w:r>
            <w:rPr>
              <w:highlight w:val="none"/>
            </w:rPr>
            <w:tab/>
          </w:r>
          <w:r>
            <w:rPr>
              <w:highlight w:val="none"/>
            </w:rPr>
            <w:fldChar w:fldCharType="begin"/>
          </w:r>
          <w:r>
            <w:rPr>
              <w:highlight w:val="none"/>
            </w:rPr>
            <w:instrText xml:space="preserve"> PAGEREF _Toc10762 \h </w:instrText>
          </w:r>
          <w:r>
            <w:rPr>
              <w:highlight w:val="none"/>
            </w:rPr>
            <w:fldChar w:fldCharType="separate"/>
          </w:r>
          <w:r>
            <w:rPr>
              <w:highlight w:val="none"/>
            </w:rPr>
            <w:t>40</w:t>
          </w:r>
          <w:r>
            <w:rPr>
              <w:highlight w:val="none"/>
            </w:rPr>
            <w:fldChar w:fldCharType="end"/>
          </w:r>
          <w:r>
            <w:rPr>
              <w:color w:val="auto"/>
              <w:highlight w:val="none"/>
            </w:rPr>
            <w:fldChar w:fldCharType="end"/>
          </w:r>
        </w:p>
        <w:p w14:paraId="53B4B0CD">
          <w:pPr>
            <w:pStyle w:val="19"/>
            <w:tabs>
              <w:tab w:val="right" w:leader="dot" w:pos="8306"/>
            </w:tabs>
            <w:rPr>
              <w:highlight w:val="none"/>
            </w:rPr>
          </w:pPr>
          <w:r>
            <w:rPr>
              <w:color w:val="auto"/>
              <w:highlight w:val="none"/>
            </w:rPr>
            <w:fldChar w:fldCharType="begin"/>
          </w:r>
          <w:r>
            <w:rPr>
              <w:highlight w:val="none"/>
            </w:rPr>
            <w:instrText xml:space="preserve"> HYPERLINK \l _Toc18604 </w:instrText>
          </w:r>
          <w:r>
            <w:rPr>
              <w:highlight w:val="none"/>
            </w:rPr>
            <w:fldChar w:fldCharType="separate"/>
          </w:r>
          <w:r>
            <w:rPr>
              <w:rFonts w:hint="eastAsia"/>
              <w:highlight w:val="none"/>
            </w:rPr>
            <w:t>附表二：招标文件澄清通知</w:t>
          </w:r>
          <w:r>
            <w:rPr>
              <w:highlight w:val="none"/>
            </w:rPr>
            <w:tab/>
          </w:r>
          <w:r>
            <w:rPr>
              <w:highlight w:val="none"/>
            </w:rPr>
            <w:fldChar w:fldCharType="begin"/>
          </w:r>
          <w:r>
            <w:rPr>
              <w:highlight w:val="none"/>
            </w:rPr>
            <w:instrText xml:space="preserve"> PAGEREF _Toc18604 \h </w:instrText>
          </w:r>
          <w:r>
            <w:rPr>
              <w:highlight w:val="none"/>
            </w:rPr>
            <w:fldChar w:fldCharType="separate"/>
          </w:r>
          <w:r>
            <w:rPr>
              <w:highlight w:val="none"/>
            </w:rPr>
            <w:t>41</w:t>
          </w:r>
          <w:r>
            <w:rPr>
              <w:highlight w:val="none"/>
            </w:rPr>
            <w:fldChar w:fldCharType="end"/>
          </w:r>
          <w:r>
            <w:rPr>
              <w:color w:val="auto"/>
              <w:highlight w:val="none"/>
            </w:rPr>
            <w:fldChar w:fldCharType="end"/>
          </w:r>
        </w:p>
        <w:p w14:paraId="3851D323">
          <w:pPr>
            <w:pStyle w:val="19"/>
            <w:tabs>
              <w:tab w:val="right" w:leader="dot" w:pos="8306"/>
            </w:tabs>
            <w:rPr>
              <w:highlight w:val="none"/>
            </w:rPr>
          </w:pPr>
          <w:r>
            <w:rPr>
              <w:color w:val="auto"/>
              <w:highlight w:val="none"/>
            </w:rPr>
            <w:fldChar w:fldCharType="begin"/>
          </w:r>
          <w:r>
            <w:rPr>
              <w:highlight w:val="none"/>
            </w:rPr>
            <w:instrText xml:space="preserve"> HYPERLINK \l _Toc22948 </w:instrText>
          </w:r>
          <w:r>
            <w:rPr>
              <w:highlight w:val="none"/>
            </w:rPr>
            <w:fldChar w:fldCharType="separate"/>
          </w:r>
          <w:r>
            <w:rPr>
              <w:rFonts w:hint="eastAsia"/>
              <w:highlight w:val="none"/>
            </w:rPr>
            <w:t>附表三：招标文件修改通知</w:t>
          </w:r>
          <w:r>
            <w:rPr>
              <w:highlight w:val="none"/>
            </w:rPr>
            <w:tab/>
          </w:r>
          <w:r>
            <w:rPr>
              <w:highlight w:val="none"/>
            </w:rPr>
            <w:fldChar w:fldCharType="begin"/>
          </w:r>
          <w:r>
            <w:rPr>
              <w:highlight w:val="none"/>
            </w:rPr>
            <w:instrText xml:space="preserve"> PAGEREF _Toc22948 \h </w:instrText>
          </w:r>
          <w:r>
            <w:rPr>
              <w:highlight w:val="none"/>
            </w:rPr>
            <w:fldChar w:fldCharType="separate"/>
          </w:r>
          <w:r>
            <w:rPr>
              <w:highlight w:val="none"/>
            </w:rPr>
            <w:t>42</w:t>
          </w:r>
          <w:r>
            <w:rPr>
              <w:highlight w:val="none"/>
            </w:rPr>
            <w:fldChar w:fldCharType="end"/>
          </w:r>
          <w:r>
            <w:rPr>
              <w:color w:val="auto"/>
              <w:highlight w:val="none"/>
            </w:rPr>
            <w:fldChar w:fldCharType="end"/>
          </w:r>
        </w:p>
        <w:p w14:paraId="6F647CC3">
          <w:pPr>
            <w:pStyle w:val="19"/>
            <w:tabs>
              <w:tab w:val="right" w:leader="dot" w:pos="8306"/>
            </w:tabs>
            <w:rPr>
              <w:highlight w:val="none"/>
            </w:rPr>
          </w:pPr>
          <w:r>
            <w:rPr>
              <w:color w:val="auto"/>
              <w:highlight w:val="none"/>
            </w:rPr>
            <w:fldChar w:fldCharType="begin"/>
          </w:r>
          <w:r>
            <w:rPr>
              <w:highlight w:val="none"/>
            </w:rPr>
            <w:instrText xml:space="preserve"> HYPERLINK \l _Toc9815 </w:instrText>
          </w:r>
          <w:r>
            <w:rPr>
              <w:highlight w:val="none"/>
            </w:rPr>
            <w:fldChar w:fldCharType="separate"/>
          </w:r>
          <w:r>
            <w:rPr>
              <w:rFonts w:hint="eastAsia"/>
              <w:highlight w:val="none"/>
            </w:rPr>
            <w:t>附表四：投标人签到及投标文件递交签收凭证</w:t>
          </w:r>
          <w:r>
            <w:rPr>
              <w:highlight w:val="none"/>
            </w:rPr>
            <w:tab/>
          </w:r>
          <w:r>
            <w:rPr>
              <w:highlight w:val="none"/>
            </w:rPr>
            <w:fldChar w:fldCharType="begin"/>
          </w:r>
          <w:r>
            <w:rPr>
              <w:highlight w:val="none"/>
            </w:rPr>
            <w:instrText xml:space="preserve"> PAGEREF _Toc9815 \h </w:instrText>
          </w:r>
          <w:r>
            <w:rPr>
              <w:highlight w:val="none"/>
            </w:rPr>
            <w:fldChar w:fldCharType="separate"/>
          </w:r>
          <w:r>
            <w:rPr>
              <w:highlight w:val="none"/>
            </w:rPr>
            <w:t>43</w:t>
          </w:r>
          <w:r>
            <w:rPr>
              <w:highlight w:val="none"/>
            </w:rPr>
            <w:fldChar w:fldCharType="end"/>
          </w:r>
          <w:r>
            <w:rPr>
              <w:color w:val="auto"/>
              <w:highlight w:val="none"/>
            </w:rPr>
            <w:fldChar w:fldCharType="end"/>
          </w:r>
        </w:p>
        <w:p w14:paraId="53804A86">
          <w:pPr>
            <w:pStyle w:val="19"/>
            <w:tabs>
              <w:tab w:val="right" w:leader="dot" w:pos="8306"/>
            </w:tabs>
            <w:rPr>
              <w:highlight w:val="none"/>
            </w:rPr>
          </w:pPr>
          <w:r>
            <w:rPr>
              <w:color w:val="auto"/>
              <w:highlight w:val="none"/>
            </w:rPr>
            <w:fldChar w:fldCharType="begin"/>
          </w:r>
          <w:r>
            <w:rPr>
              <w:highlight w:val="none"/>
            </w:rPr>
            <w:instrText xml:space="preserve"> HYPERLINK \l _Toc11993 </w:instrText>
          </w:r>
          <w:r>
            <w:rPr>
              <w:highlight w:val="none"/>
            </w:rPr>
            <w:fldChar w:fldCharType="separate"/>
          </w:r>
          <w:r>
            <w:rPr>
              <w:rFonts w:hint="eastAsia"/>
              <w:highlight w:val="none"/>
            </w:rPr>
            <w:t>附表五：开标记录表</w:t>
          </w:r>
          <w:r>
            <w:rPr>
              <w:highlight w:val="none"/>
            </w:rPr>
            <w:tab/>
          </w:r>
          <w:r>
            <w:rPr>
              <w:highlight w:val="none"/>
            </w:rPr>
            <w:fldChar w:fldCharType="begin"/>
          </w:r>
          <w:r>
            <w:rPr>
              <w:highlight w:val="none"/>
            </w:rPr>
            <w:instrText xml:space="preserve"> PAGEREF _Toc11993 \h </w:instrText>
          </w:r>
          <w:r>
            <w:rPr>
              <w:highlight w:val="none"/>
            </w:rPr>
            <w:fldChar w:fldCharType="separate"/>
          </w:r>
          <w:r>
            <w:rPr>
              <w:highlight w:val="none"/>
            </w:rPr>
            <w:t>44</w:t>
          </w:r>
          <w:r>
            <w:rPr>
              <w:highlight w:val="none"/>
            </w:rPr>
            <w:fldChar w:fldCharType="end"/>
          </w:r>
          <w:r>
            <w:rPr>
              <w:color w:val="auto"/>
              <w:highlight w:val="none"/>
            </w:rPr>
            <w:fldChar w:fldCharType="end"/>
          </w:r>
        </w:p>
        <w:p w14:paraId="619632E1">
          <w:pPr>
            <w:pStyle w:val="19"/>
            <w:tabs>
              <w:tab w:val="right" w:leader="dot" w:pos="8306"/>
            </w:tabs>
            <w:rPr>
              <w:highlight w:val="none"/>
            </w:rPr>
          </w:pPr>
          <w:r>
            <w:rPr>
              <w:color w:val="auto"/>
              <w:highlight w:val="none"/>
            </w:rPr>
            <w:fldChar w:fldCharType="begin"/>
          </w:r>
          <w:r>
            <w:rPr>
              <w:highlight w:val="none"/>
            </w:rPr>
            <w:instrText xml:space="preserve"> HYPERLINK \l _Toc16692 </w:instrText>
          </w:r>
          <w:r>
            <w:rPr>
              <w:highlight w:val="none"/>
            </w:rPr>
            <w:fldChar w:fldCharType="separate"/>
          </w:r>
          <w:r>
            <w:rPr>
              <w:highlight w:val="none"/>
            </w:rPr>
            <w:t>附</w:t>
          </w:r>
          <w:r>
            <w:rPr>
              <w:rFonts w:hint="eastAsia"/>
              <w:highlight w:val="none"/>
            </w:rPr>
            <w:t>表六</w:t>
          </w:r>
          <w:r>
            <w:rPr>
              <w:highlight w:val="none"/>
            </w:rPr>
            <w:t>：</w:t>
          </w:r>
          <w:r>
            <w:rPr>
              <w:rFonts w:hint="eastAsia"/>
              <w:highlight w:val="none"/>
            </w:rPr>
            <w:t>投标文件澄清通知</w:t>
          </w:r>
          <w:r>
            <w:rPr>
              <w:highlight w:val="none"/>
            </w:rPr>
            <w:tab/>
          </w:r>
          <w:r>
            <w:rPr>
              <w:highlight w:val="none"/>
            </w:rPr>
            <w:fldChar w:fldCharType="begin"/>
          </w:r>
          <w:r>
            <w:rPr>
              <w:highlight w:val="none"/>
            </w:rPr>
            <w:instrText xml:space="preserve"> PAGEREF _Toc16692 \h </w:instrText>
          </w:r>
          <w:r>
            <w:rPr>
              <w:highlight w:val="none"/>
            </w:rPr>
            <w:fldChar w:fldCharType="separate"/>
          </w:r>
          <w:r>
            <w:rPr>
              <w:highlight w:val="none"/>
            </w:rPr>
            <w:t>45</w:t>
          </w:r>
          <w:r>
            <w:rPr>
              <w:highlight w:val="none"/>
            </w:rPr>
            <w:fldChar w:fldCharType="end"/>
          </w:r>
          <w:r>
            <w:rPr>
              <w:color w:val="auto"/>
              <w:highlight w:val="none"/>
            </w:rPr>
            <w:fldChar w:fldCharType="end"/>
          </w:r>
        </w:p>
        <w:p w14:paraId="4EAA934C">
          <w:pPr>
            <w:pStyle w:val="19"/>
            <w:tabs>
              <w:tab w:val="right" w:leader="dot" w:pos="8306"/>
            </w:tabs>
            <w:rPr>
              <w:highlight w:val="none"/>
            </w:rPr>
          </w:pPr>
          <w:r>
            <w:rPr>
              <w:color w:val="auto"/>
              <w:highlight w:val="none"/>
            </w:rPr>
            <w:fldChar w:fldCharType="begin"/>
          </w:r>
          <w:r>
            <w:rPr>
              <w:highlight w:val="none"/>
            </w:rPr>
            <w:instrText xml:space="preserve"> HYPERLINK \l _Toc24431 </w:instrText>
          </w:r>
          <w:r>
            <w:rPr>
              <w:highlight w:val="none"/>
            </w:rPr>
            <w:fldChar w:fldCharType="separate"/>
          </w:r>
          <w:r>
            <w:rPr>
              <w:rFonts w:hint="eastAsia"/>
              <w:highlight w:val="none"/>
            </w:rPr>
            <w:t>附表七：投标文件问题的澄清</w:t>
          </w:r>
          <w:r>
            <w:rPr>
              <w:highlight w:val="none"/>
            </w:rPr>
            <w:tab/>
          </w:r>
          <w:r>
            <w:rPr>
              <w:highlight w:val="none"/>
            </w:rPr>
            <w:fldChar w:fldCharType="begin"/>
          </w:r>
          <w:r>
            <w:rPr>
              <w:highlight w:val="none"/>
            </w:rPr>
            <w:instrText xml:space="preserve"> PAGEREF _Toc24431 \h </w:instrText>
          </w:r>
          <w:r>
            <w:rPr>
              <w:highlight w:val="none"/>
            </w:rPr>
            <w:fldChar w:fldCharType="separate"/>
          </w:r>
          <w:r>
            <w:rPr>
              <w:highlight w:val="none"/>
            </w:rPr>
            <w:t>46</w:t>
          </w:r>
          <w:r>
            <w:rPr>
              <w:highlight w:val="none"/>
            </w:rPr>
            <w:fldChar w:fldCharType="end"/>
          </w:r>
          <w:r>
            <w:rPr>
              <w:color w:val="auto"/>
              <w:highlight w:val="none"/>
            </w:rPr>
            <w:fldChar w:fldCharType="end"/>
          </w:r>
        </w:p>
        <w:p w14:paraId="0937CCCA">
          <w:pPr>
            <w:pStyle w:val="19"/>
            <w:tabs>
              <w:tab w:val="right" w:leader="dot" w:pos="8306"/>
            </w:tabs>
            <w:rPr>
              <w:highlight w:val="none"/>
            </w:rPr>
          </w:pPr>
          <w:r>
            <w:rPr>
              <w:color w:val="auto"/>
              <w:highlight w:val="none"/>
            </w:rPr>
            <w:fldChar w:fldCharType="begin"/>
          </w:r>
          <w:r>
            <w:rPr>
              <w:highlight w:val="none"/>
            </w:rPr>
            <w:instrText xml:space="preserve"> HYPERLINK \l _Toc14860 </w:instrText>
          </w:r>
          <w:r>
            <w:rPr>
              <w:highlight w:val="none"/>
            </w:rPr>
            <w:fldChar w:fldCharType="separate"/>
          </w:r>
          <w:r>
            <w:rPr>
              <w:rFonts w:hint="eastAsia"/>
              <w:highlight w:val="none"/>
            </w:rPr>
            <w:t>附表八：中标通知书</w:t>
          </w:r>
          <w:r>
            <w:rPr>
              <w:highlight w:val="none"/>
            </w:rPr>
            <w:tab/>
          </w:r>
          <w:r>
            <w:rPr>
              <w:highlight w:val="none"/>
            </w:rPr>
            <w:fldChar w:fldCharType="begin"/>
          </w:r>
          <w:r>
            <w:rPr>
              <w:highlight w:val="none"/>
            </w:rPr>
            <w:instrText xml:space="preserve"> PAGEREF _Toc14860 \h </w:instrText>
          </w:r>
          <w:r>
            <w:rPr>
              <w:highlight w:val="none"/>
            </w:rPr>
            <w:fldChar w:fldCharType="separate"/>
          </w:r>
          <w:r>
            <w:rPr>
              <w:highlight w:val="none"/>
            </w:rPr>
            <w:t>47</w:t>
          </w:r>
          <w:r>
            <w:rPr>
              <w:highlight w:val="none"/>
            </w:rPr>
            <w:fldChar w:fldCharType="end"/>
          </w:r>
          <w:r>
            <w:rPr>
              <w:color w:val="auto"/>
              <w:highlight w:val="none"/>
            </w:rPr>
            <w:fldChar w:fldCharType="end"/>
          </w:r>
        </w:p>
        <w:p w14:paraId="47A3AFC4">
          <w:pPr>
            <w:pStyle w:val="19"/>
            <w:tabs>
              <w:tab w:val="right" w:leader="dot" w:pos="8306"/>
            </w:tabs>
            <w:rPr>
              <w:highlight w:val="none"/>
            </w:rPr>
          </w:pPr>
          <w:r>
            <w:rPr>
              <w:color w:val="auto"/>
              <w:highlight w:val="none"/>
            </w:rPr>
            <w:fldChar w:fldCharType="begin"/>
          </w:r>
          <w:r>
            <w:rPr>
              <w:highlight w:val="none"/>
            </w:rPr>
            <w:instrText xml:space="preserve"> HYPERLINK \l _Toc10941 </w:instrText>
          </w:r>
          <w:r>
            <w:rPr>
              <w:highlight w:val="none"/>
            </w:rPr>
            <w:fldChar w:fldCharType="separate"/>
          </w:r>
          <w:r>
            <w:rPr>
              <w:rFonts w:hint="eastAsia"/>
              <w:highlight w:val="none"/>
            </w:rPr>
            <w:t>附表九：中标结果通知书</w:t>
          </w:r>
          <w:r>
            <w:rPr>
              <w:highlight w:val="none"/>
            </w:rPr>
            <w:tab/>
          </w:r>
          <w:r>
            <w:rPr>
              <w:highlight w:val="none"/>
            </w:rPr>
            <w:fldChar w:fldCharType="begin"/>
          </w:r>
          <w:r>
            <w:rPr>
              <w:highlight w:val="none"/>
            </w:rPr>
            <w:instrText xml:space="preserve"> PAGEREF _Toc10941 \h </w:instrText>
          </w:r>
          <w:r>
            <w:rPr>
              <w:highlight w:val="none"/>
            </w:rPr>
            <w:fldChar w:fldCharType="separate"/>
          </w:r>
          <w:r>
            <w:rPr>
              <w:highlight w:val="none"/>
            </w:rPr>
            <w:t>48</w:t>
          </w:r>
          <w:r>
            <w:rPr>
              <w:highlight w:val="none"/>
            </w:rPr>
            <w:fldChar w:fldCharType="end"/>
          </w:r>
          <w:r>
            <w:rPr>
              <w:color w:val="auto"/>
              <w:highlight w:val="none"/>
            </w:rPr>
            <w:fldChar w:fldCharType="end"/>
          </w:r>
        </w:p>
        <w:p w14:paraId="53B2C513">
          <w:pPr>
            <w:pStyle w:val="19"/>
            <w:tabs>
              <w:tab w:val="right" w:leader="dot" w:pos="8306"/>
            </w:tabs>
            <w:rPr>
              <w:highlight w:val="none"/>
            </w:rPr>
          </w:pPr>
          <w:r>
            <w:rPr>
              <w:color w:val="auto"/>
              <w:highlight w:val="none"/>
            </w:rPr>
            <w:fldChar w:fldCharType="begin"/>
          </w:r>
          <w:r>
            <w:rPr>
              <w:highlight w:val="none"/>
            </w:rPr>
            <w:instrText xml:space="preserve"> HYPERLINK \l _Toc13761 </w:instrText>
          </w:r>
          <w:r>
            <w:rPr>
              <w:highlight w:val="none"/>
            </w:rPr>
            <w:fldChar w:fldCharType="separate"/>
          </w:r>
          <w:r>
            <w:rPr>
              <w:rFonts w:hint="eastAsia"/>
              <w:highlight w:val="none"/>
            </w:rPr>
            <w:t>附表十：异议函</w:t>
          </w:r>
          <w:r>
            <w:rPr>
              <w:highlight w:val="none"/>
            </w:rPr>
            <w:tab/>
          </w:r>
          <w:r>
            <w:rPr>
              <w:highlight w:val="none"/>
            </w:rPr>
            <w:fldChar w:fldCharType="begin"/>
          </w:r>
          <w:r>
            <w:rPr>
              <w:highlight w:val="none"/>
            </w:rPr>
            <w:instrText xml:space="preserve"> PAGEREF _Toc13761 \h </w:instrText>
          </w:r>
          <w:r>
            <w:rPr>
              <w:highlight w:val="none"/>
            </w:rPr>
            <w:fldChar w:fldCharType="separate"/>
          </w:r>
          <w:r>
            <w:rPr>
              <w:highlight w:val="none"/>
            </w:rPr>
            <w:t>49</w:t>
          </w:r>
          <w:r>
            <w:rPr>
              <w:highlight w:val="none"/>
            </w:rPr>
            <w:fldChar w:fldCharType="end"/>
          </w:r>
          <w:r>
            <w:rPr>
              <w:color w:val="auto"/>
              <w:highlight w:val="none"/>
            </w:rPr>
            <w:fldChar w:fldCharType="end"/>
          </w:r>
        </w:p>
        <w:p w14:paraId="411FFF23">
          <w:pPr>
            <w:pStyle w:val="19"/>
            <w:tabs>
              <w:tab w:val="right" w:leader="dot" w:pos="8306"/>
            </w:tabs>
            <w:rPr>
              <w:highlight w:val="none"/>
            </w:rPr>
          </w:pPr>
          <w:r>
            <w:rPr>
              <w:color w:val="auto"/>
              <w:highlight w:val="none"/>
            </w:rPr>
            <w:fldChar w:fldCharType="begin"/>
          </w:r>
          <w:r>
            <w:rPr>
              <w:highlight w:val="none"/>
            </w:rPr>
            <w:instrText xml:space="preserve"> HYPERLINK \l _Toc8541 </w:instrText>
          </w:r>
          <w:r>
            <w:rPr>
              <w:highlight w:val="none"/>
            </w:rPr>
            <w:fldChar w:fldCharType="separate"/>
          </w:r>
          <w:r>
            <w:rPr>
              <w:rFonts w:hint="eastAsia"/>
              <w:highlight w:val="none"/>
            </w:rPr>
            <w:t>附表十一：异议答复函</w:t>
          </w:r>
          <w:r>
            <w:rPr>
              <w:highlight w:val="none"/>
            </w:rPr>
            <w:tab/>
          </w:r>
          <w:r>
            <w:rPr>
              <w:highlight w:val="none"/>
            </w:rPr>
            <w:fldChar w:fldCharType="begin"/>
          </w:r>
          <w:r>
            <w:rPr>
              <w:highlight w:val="none"/>
            </w:rPr>
            <w:instrText xml:space="preserve"> PAGEREF _Toc8541 \h </w:instrText>
          </w:r>
          <w:r>
            <w:rPr>
              <w:highlight w:val="none"/>
            </w:rPr>
            <w:fldChar w:fldCharType="separate"/>
          </w:r>
          <w:r>
            <w:rPr>
              <w:highlight w:val="none"/>
            </w:rPr>
            <w:t>50</w:t>
          </w:r>
          <w:r>
            <w:rPr>
              <w:highlight w:val="none"/>
            </w:rPr>
            <w:fldChar w:fldCharType="end"/>
          </w:r>
          <w:r>
            <w:rPr>
              <w:color w:val="auto"/>
              <w:highlight w:val="none"/>
            </w:rPr>
            <w:fldChar w:fldCharType="end"/>
          </w:r>
        </w:p>
        <w:p w14:paraId="1AAEDC8D">
          <w:pPr>
            <w:pStyle w:val="19"/>
            <w:tabs>
              <w:tab w:val="right" w:leader="dot" w:pos="8306"/>
            </w:tabs>
            <w:rPr>
              <w:highlight w:val="none"/>
            </w:rPr>
          </w:pPr>
          <w:r>
            <w:rPr>
              <w:color w:val="auto"/>
              <w:highlight w:val="none"/>
            </w:rPr>
            <w:fldChar w:fldCharType="begin"/>
          </w:r>
          <w:r>
            <w:rPr>
              <w:highlight w:val="none"/>
            </w:rPr>
            <w:instrText xml:space="preserve"> HYPERLINK \l _Toc3265 </w:instrText>
          </w:r>
          <w:r>
            <w:rPr>
              <w:highlight w:val="none"/>
            </w:rPr>
            <w:fldChar w:fldCharType="separate"/>
          </w:r>
          <w:r>
            <w:rPr>
              <w:rFonts w:hint="eastAsia" w:cs="黑体"/>
              <w:highlight w:val="none"/>
            </w:rPr>
            <w:t>附表十二：授权委托书</w:t>
          </w:r>
          <w:r>
            <w:rPr>
              <w:highlight w:val="none"/>
            </w:rPr>
            <w:tab/>
          </w:r>
          <w:r>
            <w:rPr>
              <w:highlight w:val="none"/>
            </w:rPr>
            <w:fldChar w:fldCharType="begin"/>
          </w:r>
          <w:r>
            <w:rPr>
              <w:highlight w:val="none"/>
            </w:rPr>
            <w:instrText xml:space="preserve"> PAGEREF _Toc3265 \h </w:instrText>
          </w:r>
          <w:r>
            <w:rPr>
              <w:highlight w:val="none"/>
            </w:rPr>
            <w:fldChar w:fldCharType="separate"/>
          </w:r>
          <w:r>
            <w:rPr>
              <w:highlight w:val="none"/>
            </w:rPr>
            <w:t>51</w:t>
          </w:r>
          <w:r>
            <w:rPr>
              <w:highlight w:val="none"/>
            </w:rPr>
            <w:fldChar w:fldCharType="end"/>
          </w:r>
          <w:r>
            <w:rPr>
              <w:color w:val="auto"/>
              <w:highlight w:val="none"/>
            </w:rPr>
            <w:fldChar w:fldCharType="end"/>
          </w:r>
        </w:p>
        <w:p w14:paraId="1697A096">
          <w:pPr>
            <w:pStyle w:val="27"/>
            <w:tabs>
              <w:tab w:val="right" w:leader="dot" w:pos="8306"/>
            </w:tabs>
            <w:rPr>
              <w:highlight w:val="none"/>
            </w:rPr>
          </w:pPr>
          <w:r>
            <w:rPr>
              <w:color w:val="auto"/>
              <w:highlight w:val="none"/>
            </w:rPr>
            <w:fldChar w:fldCharType="begin"/>
          </w:r>
          <w:r>
            <w:rPr>
              <w:highlight w:val="none"/>
            </w:rPr>
            <w:instrText xml:space="preserve"> HYPERLINK \l _Toc855 </w:instrText>
          </w:r>
          <w:r>
            <w:rPr>
              <w:highlight w:val="none"/>
            </w:rPr>
            <w:fldChar w:fldCharType="separate"/>
          </w:r>
          <w:r>
            <w:rPr>
              <w:rFonts w:hint="eastAsia"/>
              <w:highlight w:val="none"/>
            </w:rPr>
            <w:t>第三章 评标办法（综合评估法）</w:t>
          </w:r>
          <w:r>
            <w:rPr>
              <w:highlight w:val="none"/>
            </w:rPr>
            <w:tab/>
          </w:r>
          <w:r>
            <w:rPr>
              <w:highlight w:val="none"/>
            </w:rPr>
            <w:fldChar w:fldCharType="begin"/>
          </w:r>
          <w:r>
            <w:rPr>
              <w:highlight w:val="none"/>
            </w:rPr>
            <w:instrText xml:space="preserve"> PAGEREF _Toc855 \h </w:instrText>
          </w:r>
          <w:r>
            <w:rPr>
              <w:highlight w:val="none"/>
            </w:rPr>
            <w:fldChar w:fldCharType="separate"/>
          </w:r>
          <w:r>
            <w:rPr>
              <w:highlight w:val="none"/>
            </w:rPr>
            <w:t>52</w:t>
          </w:r>
          <w:r>
            <w:rPr>
              <w:highlight w:val="none"/>
            </w:rPr>
            <w:fldChar w:fldCharType="end"/>
          </w:r>
          <w:r>
            <w:rPr>
              <w:color w:val="auto"/>
              <w:highlight w:val="none"/>
            </w:rPr>
            <w:fldChar w:fldCharType="end"/>
          </w:r>
        </w:p>
        <w:p w14:paraId="5FBBAE92">
          <w:pPr>
            <w:pStyle w:val="31"/>
            <w:tabs>
              <w:tab w:val="right" w:leader="dot" w:pos="8306"/>
            </w:tabs>
            <w:rPr>
              <w:highlight w:val="none"/>
            </w:rPr>
          </w:pPr>
          <w:r>
            <w:rPr>
              <w:color w:val="auto"/>
              <w:highlight w:val="none"/>
            </w:rPr>
            <w:fldChar w:fldCharType="begin"/>
          </w:r>
          <w:r>
            <w:rPr>
              <w:highlight w:val="none"/>
            </w:rPr>
            <w:instrText xml:space="preserve"> HYPERLINK \l _Toc27393 </w:instrText>
          </w:r>
          <w:r>
            <w:rPr>
              <w:highlight w:val="none"/>
            </w:rPr>
            <w:fldChar w:fldCharType="separate"/>
          </w:r>
          <w:r>
            <w:rPr>
              <w:rFonts w:hint="eastAsia"/>
              <w:highlight w:val="none"/>
            </w:rPr>
            <w:t>评标办法前附表</w:t>
          </w:r>
          <w:r>
            <w:rPr>
              <w:highlight w:val="none"/>
            </w:rPr>
            <w:tab/>
          </w:r>
          <w:r>
            <w:rPr>
              <w:highlight w:val="none"/>
            </w:rPr>
            <w:fldChar w:fldCharType="begin"/>
          </w:r>
          <w:r>
            <w:rPr>
              <w:highlight w:val="none"/>
            </w:rPr>
            <w:instrText xml:space="preserve"> PAGEREF _Toc27393 \h </w:instrText>
          </w:r>
          <w:r>
            <w:rPr>
              <w:highlight w:val="none"/>
            </w:rPr>
            <w:fldChar w:fldCharType="separate"/>
          </w:r>
          <w:r>
            <w:rPr>
              <w:highlight w:val="none"/>
            </w:rPr>
            <w:t>52</w:t>
          </w:r>
          <w:r>
            <w:rPr>
              <w:highlight w:val="none"/>
            </w:rPr>
            <w:fldChar w:fldCharType="end"/>
          </w:r>
          <w:r>
            <w:rPr>
              <w:color w:val="auto"/>
              <w:highlight w:val="none"/>
            </w:rPr>
            <w:fldChar w:fldCharType="end"/>
          </w:r>
        </w:p>
        <w:p w14:paraId="7109EB8E">
          <w:pPr>
            <w:pStyle w:val="31"/>
            <w:tabs>
              <w:tab w:val="right" w:leader="dot" w:pos="8306"/>
            </w:tabs>
            <w:rPr>
              <w:highlight w:val="none"/>
            </w:rPr>
          </w:pPr>
          <w:r>
            <w:rPr>
              <w:color w:val="auto"/>
              <w:highlight w:val="none"/>
            </w:rPr>
            <w:fldChar w:fldCharType="begin"/>
          </w:r>
          <w:r>
            <w:rPr>
              <w:highlight w:val="none"/>
            </w:rPr>
            <w:instrText xml:space="preserve"> HYPERLINK \l _Toc12465 </w:instrText>
          </w:r>
          <w:r>
            <w:rPr>
              <w:highlight w:val="none"/>
            </w:rPr>
            <w:fldChar w:fldCharType="separate"/>
          </w:r>
          <w:r>
            <w:rPr>
              <w:rFonts w:hint="eastAsia"/>
              <w:highlight w:val="none"/>
            </w:rPr>
            <w:t>评标办法正文部分</w:t>
          </w:r>
          <w:r>
            <w:rPr>
              <w:highlight w:val="none"/>
            </w:rPr>
            <w:tab/>
          </w:r>
          <w:r>
            <w:rPr>
              <w:highlight w:val="none"/>
            </w:rPr>
            <w:fldChar w:fldCharType="begin"/>
          </w:r>
          <w:r>
            <w:rPr>
              <w:highlight w:val="none"/>
            </w:rPr>
            <w:instrText xml:space="preserve"> PAGEREF _Toc12465 \h </w:instrText>
          </w:r>
          <w:r>
            <w:rPr>
              <w:highlight w:val="none"/>
            </w:rPr>
            <w:fldChar w:fldCharType="separate"/>
          </w:r>
          <w:r>
            <w:rPr>
              <w:highlight w:val="none"/>
            </w:rPr>
            <w:t>55</w:t>
          </w:r>
          <w:r>
            <w:rPr>
              <w:highlight w:val="none"/>
            </w:rPr>
            <w:fldChar w:fldCharType="end"/>
          </w:r>
          <w:r>
            <w:rPr>
              <w:color w:val="auto"/>
              <w:highlight w:val="none"/>
            </w:rPr>
            <w:fldChar w:fldCharType="end"/>
          </w:r>
        </w:p>
        <w:p w14:paraId="6C489BB7">
          <w:pPr>
            <w:pStyle w:val="19"/>
            <w:tabs>
              <w:tab w:val="right" w:leader="dot" w:pos="8306"/>
            </w:tabs>
            <w:rPr>
              <w:highlight w:val="none"/>
            </w:rPr>
          </w:pPr>
          <w:r>
            <w:rPr>
              <w:color w:val="auto"/>
              <w:highlight w:val="none"/>
            </w:rPr>
            <w:fldChar w:fldCharType="begin"/>
          </w:r>
          <w:r>
            <w:rPr>
              <w:highlight w:val="none"/>
            </w:rPr>
            <w:instrText xml:space="preserve"> HYPERLINK \l _Toc3269 </w:instrText>
          </w:r>
          <w:r>
            <w:rPr>
              <w:highlight w:val="none"/>
            </w:rPr>
            <w:fldChar w:fldCharType="separate"/>
          </w:r>
          <w:r>
            <w:rPr>
              <w:rFonts w:hint="eastAsia" w:ascii="Times New Roman" w:hAnsi="Times New Roman"/>
              <w:szCs w:val="32"/>
              <w:highlight w:val="none"/>
            </w:rPr>
            <w:t>1</w:t>
          </w:r>
          <w:r>
            <w:rPr>
              <w:rFonts w:hint="eastAsia"/>
              <w:szCs w:val="32"/>
              <w:highlight w:val="none"/>
            </w:rPr>
            <w:t>. 评标方法</w:t>
          </w:r>
          <w:r>
            <w:rPr>
              <w:highlight w:val="none"/>
            </w:rPr>
            <w:tab/>
          </w:r>
          <w:r>
            <w:rPr>
              <w:highlight w:val="none"/>
            </w:rPr>
            <w:fldChar w:fldCharType="begin"/>
          </w:r>
          <w:r>
            <w:rPr>
              <w:highlight w:val="none"/>
            </w:rPr>
            <w:instrText xml:space="preserve"> PAGEREF _Toc3269 \h </w:instrText>
          </w:r>
          <w:r>
            <w:rPr>
              <w:highlight w:val="none"/>
            </w:rPr>
            <w:fldChar w:fldCharType="separate"/>
          </w:r>
          <w:r>
            <w:rPr>
              <w:highlight w:val="none"/>
            </w:rPr>
            <w:t>55</w:t>
          </w:r>
          <w:r>
            <w:rPr>
              <w:highlight w:val="none"/>
            </w:rPr>
            <w:fldChar w:fldCharType="end"/>
          </w:r>
          <w:r>
            <w:rPr>
              <w:color w:val="auto"/>
              <w:highlight w:val="none"/>
            </w:rPr>
            <w:fldChar w:fldCharType="end"/>
          </w:r>
        </w:p>
        <w:p w14:paraId="02140278">
          <w:pPr>
            <w:pStyle w:val="19"/>
            <w:tabs>
              <w:tab w:val="right" w:leader="dot" w:pos="8306"/>
            </w:tabs>
            <w:rPr>
              <w:highlight w:val="none"/>
            </w:rPr>
          </w:pPr>
          <w:r>
            <w:rPr>
              <w:color w:val="auto"/>
              <w:highlight w:val="none"/>
            </w:rPr>
            <w:fldChar w:fldCharType="begin"/>
          </w:r>
          <w:r>
            <w:rPr>
              <w:highlight w:val="none"/>
            </w:rPr>
            <w:instrText xml:space="preserve"> HYPERLINK \l _Toc18322 </w:instrText>
          </w:r>
          <w:r>
            <w:rPr>
              <w:highlight w:val="none"/>
            </w:rPr>
            <w:fldChar w:fldCharType="separate"/>
          </w:r>
          <w:r>
            <w:rPr>
              <w:rFonts w:hint="eastAsia" w:ascii="Times New Roman" w:hAnsi="Times New Roman"/>
              <w:szCs w:val="32"/>
              <w:highlight w:val="none"/>
            </w:rPr>
            <w:t>2</w:t>
          </w:r>
          <w:r>
            <w:rPr>
              <w:rFonts w:hint="eastAsia"/>
              <w:szCs w:val="32"/>
              <w:highlight w:val="none"/>
            </w:rPr>
            <w:t>. 评审标准</w:t>
          </w:r>
          <w:r>
            <w:rPr>
              <w:highlight w:val="none"/>
            </w:rPr>
            <w:tab/>
          </w:r>
          <w:r>
            <w:rPr>
              <w:highlight w:val="none"/>
            </w:rPr>
            <w:fldChar w:fldCharType="begin"/>
          </w:r>
          <w:r>
            <w:rPr>
              <w:highlight w:val="none"/>
            </w:rPr>
            <w:instrText xml:space="preserve"> PAGEREF _Toc18322 \h </w:instrText>
          </w:r>
          <w:r>
            <w:rPr>
              <w:highlight w:val="none"/>
            </w:rPr>
            <w:fldChar w:fldCharType="separate"/>
          </w:r>
          <w:r>
            <w:rPr>
              <w:highlight w:val="none"/>
            </w:rPr>
            <w:t>55</w:t>
          </w:r>
          <w:r>
            <w:rPr>
              <w:highlight w:val="none"/>
            </w:rPr>
            <w:fldChar w:fldCharType="end"/>
          </w:r>
          <w:r>
            <w:rPr>
              <w:color w:val="auto"/>
              <w:highlight w:val="none"/>
            </w:rPr>
            <w:fldChar w:fldCharType="end"/>
          </w:r>
        </w:p>
        <w:p w14:paraId="7695892E">
          <w:pPr>
            <w:pStyle w:val="19"/>
            <w:tabs>
              <w:tab w:val="right" w:leader="dot" w:pos="8306"/>
            </w:tabs>
            <w:rPr>
              <w:highlight w:val="none"/>
            </w:rPr>
          </w:pPr>
          <w:r>
            <w:rPr>
              <w:color w:val="auto"/>
              <w:highlight w:val="none"/>
            </w:rPr>
            <w:fldChar w:fldCharType="begin"/>
          </w:r>
          <w:r>
            <w:rPr>
              <w:highlight w:val="none"/>
            </w:rPr>
            <w:instrText xml:space="preserve"> HYPERLINK \l _Toc26308 </w:instrText>
          </w:r>
          <w:r>
            <w:rPr>
              <w:highlight w:val="none"/>
            </w:rPr>
            <w:fldChar w:fldCharType="separate"/>
          </w:r>
          <w:r>
            <w:rPr>
              <w:rFonts w:hint="eastAsia"/>
              <w:highlight w:val="none"/>
            </w:rPr>
            <w:t>2.1 初步评审标准</w:t>
          </w:r>
          <w:r>
            <w:rPr>
              <w:highlight w:val="none"/>
            </w:rPr>
            <w:tab/>
          </w:r>
          <w:r>
            <w:rPr>
              <w:highlight w:val="none"/>
            </w:rPr>
            <w:fldChar w:fldCharType="begin"/>
          </w:r>
          <w:r>
            <w:rPr>
              <w:highlight w:val="none"/>
            </w:rPr>
            <w:instrText xml:space="preserve"> PAGEREF _Toc26308 \h </w:instrText>
          </w:r>
          <w:r>
            <w:rPr>
              <w:highlight w:val="none"/>
            </w:rPr>
            <w:fldChar w:fldCharType="separate"/>
          </w:r>
          <w:r>
            <w:rPr>
              <w:highlight w:val="none"/>
            </w:rPr>
            <w:t>55</w:t>
          </w:r>
          <w:r>
            <w:rPr>
              <w:highlight w:val="none"/>
            </w:rPr>
            <w:fldChar w:fldCharType="end"/>
          </w:r>
          <w:r>
            <w:rPr>
              <w:color w:val="auto"/>
              <w:highlight w:val="none"/>
            </w:rPr>
            <w:fldChar w:fldCharType="end"/>
          </w:r>
        </w:p>
        <w:p w14:paraId="4866E898">
          <w:pPr>
            <w:pStyle w:val="19"/>
            <w:tabs>
              <w:tab w:val="right" w:leader="dot" w:pos="8306"/>
            </w:tabs>
            <w:rPr>
              <w:highlight w:val="none"/>
            </w:rPr>
          </w:pPr>
          <w:r>
            <w:rPr>
              <w:color w:val="auto"/>
              <w:highlight w:val="none"/>
            </w:rPr>
            <w:fldChar w:fldCharType="begin"/>
          </w:r>
          <w:r>
            <w:rPr>
              <w:highlight w:val="none"/>
            </w:rPr>
            <w:instrText xml:space="preserve"> HYPERLINK \l _Toc15473 </w:instrText>
          </w:r>
          <w:r>
            <w:rPr>
              <w:highlight w:val="none"/>
            </w:rPr>
            <w:fldChar w:fldCharType="separate"/>
          </w:r>
          <w:r>
            <w:rPr>
              <w:rFonts w:hint="eastAsia"/>
              <w:highlight w:val="none"/>
            </w:rPr>
            <w:t>2.2 分值构成与评分标准</w:t>
          </w:r>
          <w:r>
            <w:rPr>
              <w:highlight w:val="none"/>
            </w:rPr>
            <w:tab/>
          </w:r>
          <w:r>
            <w:rPr>
              <w:highlight w:val="none"/>
            </w:rPr>
            <w:fldChar w:fldCharType="begin"/>
          </w:r>
          <w:r>
            <w:rPr>
              <w:highlight w:val="none"/>
            </w:rPr>
            <w:instrText xml:space="preserve"> PAGEREF _Toc15473 \h </w:instrText>
          </w:r>
          <w:r>
            <w:rPr>
              <w:highlight w:val="none"/>
            </w:rPr>
            <w:fldChar w:fldCharType="separate"/>
          </w:r>
          <w:r>
            <w:rPr>
              <w:highlight w:val="none"/>
            </w:rPr>
            <w:t>55</w:t>
          </w:r>
          <w:r>
            <w:rPr>
              <w:highlight w:val="none"/>
            </w:rPr>
            <w:fldChar w:fldCharType="end"/>
          </w:r>
          <w:r>
            <w:rPr>
              <w:color w:val="auto"/>
              <w:highlight w:val="none"/>
            </w:rPr>
            <w:fldChar w:fldCharType="end"/>
          </w:r>
        </w:p>
        <w:p w14:paraId="24D1B291">
          <w:pPr>
            <w:pStyle w:val="19"/>
            <w:tabs>
              <w:tab w:val="right" w:leader="dot" w:pos="8306"/>
            </w:tabs>
            <w:rPr>
              <w:highlight w:val="none"/>
            </w:rPr>
          </w:pPr>
          <w:r>
            <w:rPr>
              <w:color w:val="auto"/>
              <w:highlight w:val="none"/>
            </w:rPr>
            <w:fldChar w:fldCharType="begin"/>
          </w:r>
          <w:r>
            <w:rPr>
              <w:highlight w:val="none"/>
            </w:rPr>
            <w:instrText xml:space="preserve"> HYPERLINK \l _Toc23336 </w:instrText>
          </w:r>
          <w:r>
            <w:rPr>
              <w:highlight w:val="none"/>
            </w:rPr>
            <w:fldChar w:fldCharType="separate"/>
          </w:r>
          <w:r>
            <w:rPr>
              <w:rFonts w:hint="eastAsia" w:ascii="Times New Roman" w:hAnsi="Times New Roman"/>
              <w:szCs w:val="32"/>
              <w:highlight w:val="none"/>
            </w:rPr>
            <w:t>3</w:t>
          </w:r>
          <w:r>
            <w:rPr>
              <w:rFonts w:hint="eastAsia"/>
              <w:szCs w:val="32"/>
              <w:highlight w:val="none"/>
            </w:rPr>
            <w:t>. 评标程序</w:t>
          </w:r>
          <w:r>
            <w:rPr>
              <w:highlight w:val="none"/>
            </w:rPr>
            <w:tab/>
          </w:r>
          <w:r>
            <w:rPr>
              <w:highlight w:val="none"/>
            </w:rPr>
            <w:fldChar w:fldCharType="begin"/>
          </w:r>
          <w:r>
            <w:rPr>
              <w:highlight w:val="none"/>
            </w:rPr>
            <w:instrText xml:space="preserve"> PAGEREF _Toc23336 \h </w:instrText>
          </w:r>
          <w:r>
            <w:rPr>
              <w:highlight w:val="none"/>
            </w:rPr>
            <w:fldChar w:fldCharType="separate"/>
          </w:r>
          <w:r>
            <w:rPr>
              <w:highlight w:val="none"/>
            </w:rPr>
            <w:t>56</w:t>
          </w:r>
          <w:r>
            <w:rPr>
              <w:highlight w:val="none"/>
            </w:rPr>
            <w:fldChar w:fldCharType="end"/>
          </w:r>
          <w:r>
            <w:rPr>
              <w:color w:val="auto"/>
              <w:highlight w:val="none"/>
            </w:rPr>
            <w:fldChar w:fldCharType="end"/>
          </w:r>
        </w:p>
        <w:p w14:paraId="1A427F64">
          <w:pPr>
            <w:pStyle w:val="19"/>
            <w:tabs>
              <w:tab w:val="right" w:leader="dot" w:pos="8306"/>
            </w:tabs>
            <w:rPr>
              <w:highlight w:val="none"/>
            </w:rPr>
          </w:pPr>
          <w:r>
            <w:rPr>
              <w:color w:val="auto"/>
              <w:highlight w:val="none"/>
            </w:rPr>
            <w:fldChar w:fldCharType="begin"/>
          </w:r>
          <w:r>
            <w:rPr>
              <w:highlight w:val="none"/>
            </w:rPr>
            <w:instrText xml:space="preserve"> HYPERLINK \l _Toc32104 </w:instrText>
          </w:r>
          <w:r>
            <w:rPr>
              <w:highlight w:val="none"/>
            </w:rPr>
            <w:fldChar w:fldCharType="separate"/>
          </w:r>
          <w:r>
            <w:rPr>
              <w:rFonts w:hint="eastAsia"/>
              <w:highlight w:val="none"/>
            </w:rPr>
            <w:t>3.1 评标准备</w:t>
          </w:r>
          <w:r>
            <w:rPr>
              <w:highlight w:val="none"/>
            </w:rPr>
            <w:tab/>
          </w:r>
          <w:r>
            <w:rPr>
              <w:highlight w:val="none"/>
            </w:rPr>
            <w:fldChar w:fldCharType="begin"/>
          </w:r>
          <w:r>
            <w:rPr>
              <w:highlight w:val="none"/>
            </w:rPr>
            <w:instrText xml:space="preserve"> PAGEREF _Toc32104 \h </w:instrText>
          </w:r>
          <w:r>
            <w:rPr>
              <w:highlight w:val="none"/>
            </w:rPr>
            <w:fldChar w:fldCharType="separate"/>
          </w:r>
          <w:r>
            <w:rPr>
              <w:highlight w:val="none"/>
            </w:rPr>
            <w:t>56</w:t>
          </w:r>
          <w:r>
            <w:rPr>
              <w:highlight w:val="none"/>
            </w:rPr>
            <w:fldChar w:fldCharType="end"/>
          </w:r>
          <w:r>
            <w:rPr>
              <w:color w:val="auto"/>
              <w:highlight w:val="none"/>
            </w:rPr>
            <w:fldChar w:fldCharType="end"/>
          </w:r>
        </w:p>
        <w:p w14:paraId="4286E320">
          <w:pPr>
            <w:pStyle w:val="19"/>
            <w:tabs>
              <w:tab w:val="right" w:leader="dot" w:pos="8306"/>
            </w:tabs>
            <w:rPr>
              <w:highlight w:val="none"/>
            </w:rPr>
          </w:pPr>
          <w:r>
            <w:rPr>
              <w:color w:val="auto"/>
              <w:highlight w:val="none"/>
            </w:rPr>
            <w:fldChar w:fldCharType="begin"/>
          </w:r>
          <w:r>
            <w:rPr>
              <w:highlight w:val="none"/>
            </w:rPr>
            <w:instrText xml:space="preserve"> HYPERLINK \l _Toc16492 </w:instrText>
          </w:r>
          <w:r>
            <w:rPr>
              <w:highlight w:val="none"/>
            </w:rPr>
            <w:fldChar w:fldCharType="separate"/>
          </w:r>
          <w:r>
            <w:rPr>
              <w:rFonts w:hint="eastAsia"/>
              <w:highlight w:val="none"/>
            </w:rPr>
            <w:t>3.2暗标评审</w:t>
          </w:r>
          <w:r>
            <w:rPr>
              <w:highlight w:val="none"/>
            </w:rPr>
            <w:tab/>
          </w:r>
          <w:r>
            <w:rPr>
              <w:highlight w:val="none"/>
            </w:rPr>
            <w:fldChar w:fldCharType="begin"/>
          </w:r>
          <w:r>
            <w:rPr>
              <w:highlight w:val="none"/>
            </w:rPr>
            <w:instrText xml:space="preserve"> PAGEREF _Toc16492 \h </w:instrText>
          </w:r>
          <w:r>
            <w:rPr>
              <w:highlight w:val="none"/>
            </w:rPr>
            <w:fldChar w:fldCharType="separate"/>
          </w:r>
          <w:r>
            <w:rPr>
              <w:highlight w:val="none"/>
            </w:rPr>
            <w:t>56</w:t>
          </w:r>
          <w:r>
            <w:rPr>
              <w:highlight w:val="none"/>
            </w:rPr>
            <w:fldChar w:fldCharType="end"/>
          </w:r>
          <w:r>
            <w:rPr>
              <w:color w:val="auto"/>
              <w:highlight w:val="none"/>
            </w:rPr>
            <w:fldChar w:fldCharType="end"/>
          </w:r>
        </w:p>
        <w:p w14:paraId="35027D36">
          <w:pPr>
            <w:pStyle w:val="19"/>
            <w:tabs>
              <w:tab w:val="right" w:leader="dot" w:pos="8306"/>
            </w:tabs>
            <w:rPr>
              <w:highlight w:val="none"/>
            </w:rPr>
          </w:pPr>
          <w:r>
            <w:rPr>
              <w:color w:val="auto"/>
              <w:highlight w:val="none"/>
            </w:rPr>
            <w:fldChar w:fldCharType="begin"/>
          </w:r>
          <w:r>
            <w:rPr>
              <w:highlight w:val="none"/>
            </w:rPr>
            <w:instrText xml:space="preserve"> HYPERLINK \l _Toc19273 </w:instrText>
          </w:r>
          <w:r>
            <w:rPr>
              <w:highlight w:val="none"/>
            </w:rPr>
            <w:fldChar w:fldCharType="separate"/>
          </w:r>
          <w:r>
            <w:rPr>
              <w:rFonts w:hint="eastAsia"/>
              <w:highlight w:val="none"/>
            </w:rPr>
            <w:t>3.</w:t>
          </w:r>
          <w:r>
            <w:rPr>
              <w:rFonts w:hint="eastAsia"/>
              <w:highlight w:val="none"/>
              <w:lang w:val="en-US" w:eastAsia="zh-CN"/>
            </w:rPr>
            <w:t>3</w:t>
          </w:r>
          <w:r>
            <w:rPr>
              <w:rFonts w:hint="eastAsia"/>
              <w:highlight w:val="none"/>
            </w:rPr>
            <w:t xml:space="preserve"> 初步评审</w:t>
          </w:r>
          <w:r>
            <w:rPr>
              <w:highlight w:val="none"/>
            </w:rPr>
            <w:tab/>
          </w:r>
          <w:r>
            <w:rPr>
              <w:highlight w:val="none"/>
            </w:rPr>
            <w:fldChar w:fldCharType="begin"/>
          </w:r>
          <w:r>
            <w:rPr>
              <w:highlight w:val="none"/>
            </w:rPr>
            <w:instrText xml:space="preserve"> PAGEREF _Toc19273 \h </w:instrText>
          </w:r>
          <w:r>
            <w:rPr>
              <w:highlight w:val="none"/>
            </w:rPr>
            <w:fldChar w:fldCharType="separate"/>
          </w:r>
          <w:r>
            <w:rPr>
              <w:highlight w:val="none"/>
            </w:rPr>
            <w:t>56</w:t>
          </w:r>
          <w:r>
            <w:rPr>
              <w:highlight w:val="none"/>
            </w:rPr>
            <w:fldChar w:fldCharType="end"/>
          </w:r>
          <w:r>
            <w:rPr>
              <w:color w:val="auto"/>
              <w:highlight w:val="none"/>
            </w:rPr>
            <w:fldChar w:fldCharType="end"/>
          </w:r>
        </w:p>
        <w:p w14:paraId="35AB2B47">
          <w:pPr>
            <w:pStyle w:val="19"/>
            <w:tabs>
              <w:tab w:val="right" w:leader="dot" w:pos="8306"/>
            </w:tabs>
            <w:rPr>
              <w:highlight w:val="none"/>
            </w:rPr>
          </w:pPr>
          <w:r>
            <w:rPr>
              <w:color w:val="auto"/>
              <w:highlight w:val="none"/>
            </w:rPr>
            <w:fldChar w:fldCharType="begin"/>
          </w:r>
          <w:r>
            <w:rPr>
              <w:highlight w:val="none"/>
            </w:rPr>
            <w:instrText xml:space="preserve"> HYPERLINK \l _Toc31593 </w:instrText>
          </w:r>
          <w:r>
            <w:rPr>
              <w:highlight w:val="none"/>
            </w:rPr>
            <w:fldChar w:fldCharType="separate"/>
          </w:r>
          <w:r>
            <w:rPr>
              <w:rFonts w:hint="eastAsia"/>
              <w:highlight w:val="none"/>
            </w:rPr>
            <w:t>3.</w:t>
          </w:r>
          <w:r>
            <w:rPr>
              <w:rFonts w:hint="eastAsia"/>
              <w:highlight w:val="none"/>
              <w:lang w:val="en-US" w:eastAsia="zh-CN"/>
            </w:rPr>
            <w:t>4</w:t>
          </w:r>
          <w:r>
            <w:rPr>
              <w:rFonts w:hint="eastAsia"/>
              <w:highlight w:val="none"/>
            </w:rPr>
            <w:t xml:space="preserve"> 详细评审</w:t>
          </w:r>
          <w:r>
            <w:rPr>
              <w:highlight w:val="none"/>
            </w:rPr>
            <w:tab/>
          </w:r>
          <w:r>
            <w:rPr>
              <w:highlight w:val="none"/>
            </w:rPr>
            <w:fldChar w:fldCharType="begin"/>
          </w:r>
          <w:r>
            <w:rPr>
              <w:highlight w:val="none"/>
            </w:rPr>
            <w:instrText xml:space="preserve"> PAGEREF _Toc31593 \h </w:instrText>
          </w:r>
          <w:r>
            <w:rPr>
              <w:highlight w:val="none"/>
            </w:rPr>
            <w:fldChar w:fldCharType="separate"/>
          </w:r>
          <w:r>
            <w:rPr>
              <w:highlight w:val="none"/>
            </w:rPr>
            <w:t>58</w:t>
          </w:r>
          <w:r>
            <w:rPr>
              <w:highlight w:val="none"/>
            </w:rPr>
            <w:fldChar w:fldCharType="end"/>
          </w:r>
          <w:r>
            <w:rPr>
              <w:color w:val="auto"/>
              <w:highlight w:val="none"/>
            </w:rPr>
            <w:fldChar w:fldCharType="end"/>
          </w:r>
        </w:p>
        <w:p w14:paraId="5F55F94B">
          <w:pPr>
            <w:pStyle w:val="19"/>
            <w:tabs>
              <w:tab w:val="right" w:leader="dot" w:pos="8306"/>
            </w:tabs>
            <w:rPr>
              <w:highlight w:val="none"/>
            </w:rPr>
          </w:pPr>
          <w:r>
            <w:rPr>
              <w:color w:val="auto"/>
              <w:highlight w:val="none"/>
            </w:rPr>
            <w:fldChar w:fldCharType="begin"/>
          </w:r>
          <w:r>
            <w:rPr>
              <w:highlight w:val="none"/>
            </w:rPr>
            <w:instrText xml:space="preserve"> HYPERLINK \l _Toc21396 </w:instrText>
          </w:r>
          <w:r>
            <w:rPr>
              <w:highlight w:val="none"/>
            </w:rPr>
            <w:fldChar w:fldCharType="separate"/>
          </w:r>
          <w:r>
            <w:rPr>
              <w:rFonts w:hint="eastAsia"/>
              <w:highlight w:val="none"/>
            </w:rPr>
            <w:t>3.</w:t>
          </w:r>
          <w:r>
            <w:rPr>
              <w:rFonts w:hint="eastAsia"/>
              <w:highlight w:val="none"/>
              <w:lang w:val="en-US" w:eastAsia="zh-CN"/>
            </w:rPr>
            <w:t xml:space="preserve">5 </w:t>
          </w:r>
          <w:r>
            <w:rPr>
              <w:rFonts w:hint="eastAsia"/>
              <w:highlight w:val="none"/>
            </w:rPr>
            <w:t>投标文件的澄清和补正</w:t>
          </w:r>
          <w:r>
            <w:rPr>
              <w:highlight w:val="none"/>
            </w:rPr>
            <w:tab/>
          </w:r>
          <w:r>
            <w:rPr>
              <w:highlight w:val="none"/>
            </w:rPr>
            <w:fldChar w:fldCharType="begin"/>
          </w:r>
          <w:r>
            <w:rPr>
              <w:highlight w:val="none"/>
            </w:rPr>
            <w:instrText xml:space="preserve"> PAGEREF _Toc21396 \h </w:instrText>
          </w:r>
          <w:r>
            <w:rPr>
              <w:highlight w:val="none"/>
            </w:rPr>
            <w:fldChar w:fldCharType="separate"/>
          </w:r>
          <w:r>
            <w:rPr>
              <w:highlight w:val="none"/>
            </w:rPr>
            <w:t>58</w:t>
          </w:r>
          <w:r>
            <w:rPr>
              <w:highlight w:val="none"/>
            </w:rPr>
            <w:fldChar w:fldCharType="end"/>
          </w:r>
          <w:r>
            <w:rPr>
              <w:color w:val="auto"/>
              <w:highlight w:val="none"/>
            </w:rPr>
            <w:fldChar w:fldCharType="end"/>
          </w:r>
        </w:p>
        <w:p w14:paraId="2197AF73">
          <w:pPr>
            <w:pStyle w:val="19"/>
            <w:tabs>
              <w:tab w:val="right" w:leader="dot" w:pos="8306"/>
            </w:tabs>
            <w:rPr>
              <w:highlight w:val="none"/>
            </w:rPr>
          </w:pPr>
          <w:r>
            <w:rPr>
              <w:color w:val="auto"/>
              <w:highlight w:val="none"/>
            </w:rPr>
            <w:fldChar w:fldCharType="begin"/>
          </w:r>
          <w:r>
            <w:rPr>
              <w:highlight w:val="none"/>
            </w:rPr>
            <w:instrText xml:space="preserve"> HYPERLINK \l _Toc16735 </w:instrText>
          </w:r>
          <w:r>
            <w:rPr>
              <w:highlight w:val="none"/>
            </w:rPr>
            <w:fldChar w:fldCharType="separate"/>
          </w:r>
          <w:r>
            <w:rPr>
              <w:rFonts w:hint="eastAsia"/>
              <w:highlight w:val="none"/>
            </w:rPr>
            <w:t>3.</w:t>
          </w:r>
          <w:r>
            <w:rPr>
              <w:rFonts w:hint="eastAsia"/>
              <w:highlight w:val="none"/>
              <w:lang w:val="en-US" w:eastAsia="zh-CN"/>
            </w:rPr>
            <w:t>6</w:t>
          </w:r>
          <w:r>
            <w:rPr>
              <w:rFonts w:hint="eastAsia"/>
              <w:highlight w:val="none"/>
            </w:rPr>
            <w:t xml:space="preserve"> 评标结果</w:t>
          </w:r>
          <w:r>
            <w:rPr>
              <w:highlight w:val="none"/>
            </w:rPr>
            <w:tab/>
          </w:r>
          <w:r>
            <w:rPr>
              <w:highlight w:val="none"/>
            </w:rPr>
            <w:fldChar w:fldCharType="begin"/>
          </w:r>
          <w:r>
            <w:rPr>
              <w:highlight w:val="none"/>
            </w:rPr>
            <w:instrText xml:space="preserve"> PAGEREF _Toc16735 \h </w:instrText>
          </w:r>
          <w:r>
            <w:rPr>
              <w:highlight w:val="none"/>
            </w:rPr>
            <w:fldChar w:fldCharType="separate"/>
          </w:r>
          <w:r>
            <w:rPr>
              <w:highlight w:val="none"/>
            </w:rPr>
            <w:t>59</w:t>
          </w:r>
          <w:r>
            <w:rPr>
              <w:highlight w:val="none"/>
            </w:rPr>
            <w:fldChar w:fldCharType="end"/>
          </w:r>
          <w:r>
            <w:rPr>
              <w:color w:val="auto"/>
              <w:highlight w:val="none"/>
            </w:rPr>
            <w:fldChar w:fldCharType="end"/>
          </w:r>
        </w:p>
        <w:p w14:paraId="50D98E31">
          <w:pPr>
            <w:pStyle w:val="31"/>
            <w:tabs>
              <w:tab w:val="right" w:leader="dot" w:pos="8306"/>
            </w:tabs>
            <w:rPr>
              <w:highlight w:val="none"/>
            </w:rPr>
          </w:pPr>
          <w:r>
            <w:rPr>
              <w:color w:val="auto"/>
              <w:highlight w:val="none"/>
            </w:rPr>
            <w:fldChar w:fldCharType="begin"/>
          </w:r>
          <w:r>
            <w:rPr>
              <w:highlight w:val="none"/>
            </w:rPr>
            <w:instrText xml:space="preserve"> HYPERLINK \l _Toc17732 </w:instrText>
          </w:r>
          <w:r>
            <w:rPr>
              <w:highlight w:val="none"/>
            </w:rPr>
            <w:fldChar w:fldCharType="separate"/>
          </w:r>
          <w:r>
            <w:rPr>
              <w:rFonts w:hint="eastAsia"/>
              <w:szCs w:val="24"/>
              <w:highlight w:val="none"/>
            </w:rPr>
            <w:t>附件A:评标详细程序</w:t>
          </w:r>
          <w:r>
            <w:rPr>
              <w:highlight w:val="none"/>
            </w:rPr>
            <w:tab/>
          </w:r>
          <w:r>
            <w:rPr>
              <w:highlight w:val="none"/>
            </w:rPr>
            <w:fldChar w:fldCharType="begin"/>
          </w:r>
          <w:r>
            <w:rPr>
              <w:highlight w:val="none"/>
            </w:rPr>
            <w:instrText xml:space="preserve"> PAGEREF _Toc17732 \h </w:instrText>
          </w:r>
          <w:r>
            <w:rPr>
              <w:highlight w:val="none"/>
            </w:rPr>
            <w:fldChar w:fldCharType="separate"/>
          </w:r>
          <w:r>
            <w:rPr>
              <w:highlight w:val="none"/>
            </w:rPr>
            <w:t>60</w:t>
          </w:r>
          <w:r>
            <w:rPr>
              <w:highlight w:val="none"/>
            </w:rPr>
            <w:fldChar w:fldCharType="end"/>
          </w:r>
          <w:r>
            <w:rPr>
              <w:color w:val="auto"/>
              <w:highlight w:val="none"/>
            </w:rPr>
            <w:fldChar w:fldCharType="end"/>
          </w:r>
        </w:p>
        <w:p w14:paraId="16B23DA3">
          <w:pPr>
            <w:pStyle w:val="19"/>
            <w:tabs>
              <w:tab w:val="right" w:leader="dot" w:pos="8306"/>
            </w:tabs>
            <w:rPr>
              <w:highlight w:val="none"/>
            </w:rPr>
          </w:pPr>
          <w:r>
            <w:rPr>
              <w:color w:val="auto"/>
              <w:highlight w:val="none"/>
            </w:rPr>
            <w:fldChar w:fldCharType="begin"/>
          </w:r>
          <w:r>
            <w:rPr>
              <w:highlight w:val="none"/>
            </w:rPr>
            <w:instrText xml:space="preserve"> HYPERLINK \l _Toc312 </w:instrText>
          </w:r>
          <w:r>
            <w:rPr>
              <w:highlight w:val="none"/>
            </w:rPr>
            <w:fldChar w:fldCharType="separate"/>
          </w:r>
          <w:r>
            <w:rPr>
              <w:rFonts w:hint="eastAsia"/>
              <w:highlight w:val="none"/>
            </w:rPr>
            <w:t>A0.总  则</w:t>
          </w:r>
          <w:r>
            <w:rPr>
              <w:highlight w:val="none"/>
            </w:rPr>
            <w:tab/>
          </w:r>
          <w:r>
            <w:rPr>
              <w:highlight w:val="none"/>
            </w:rPr>
            <w:fldChar w:fldCharType="begin"/>
          </w:r>
          <w:r>
            <w:rPr>
              <w:highlight w:val="none"/>
            </w:rPr>
            <w:instrText xml:space="preserve"> PAGEREF _Toc312 \h </w:instrText>
          </w:r>
          <w:r>
            <w:rPr>
              <w:highlight w:val="none"/>
            </w:rPr>
            <w:fldChar w:fldCharType="separate"/>
          </w:r>
          <w:r>
            <w:rPr>
              <w:highlight w:val="none"/>
            </w:rPr>
            <w:t>60</w:t>
          </w:r>
          <w:r>
            <w:rPr>
              <w:highlight w:val="none"/>
            </w:rPr>
            <w:fldChar w:fldCharType="end"/>
          </w:r>
          <w:r>
            <w:rPr>
              <w:color w:val="auto"/>
              <w:highlight w:val="none"/>
            </w:rPr>
            <w:fldChar w:fldCharType="end"/>
          </w:r>
        </w:p>
        <w:p w14:paraId="6312BF94">
          <w:pPr>
            <w:pStyle w:val="19"/>
            <w:tabs>
              <w:tab w:val="right" w:leader="dot" w:pos="8306"/>
            </w:tabs>
            <w:rPr>
              <w:highlight w:val="none"/>
            </w:rPr>
          </w:pPr>
          <w:r>
            <w:rPr>
              <w:color w:val="auto"/>
              <w:highlight w:val="none"/>
            </w:rPr>
            <w:fldChar w:fldCharType="begin"/>
          </w:r>
          <w:r>
            <w:rPr>
              <w:highlight w:val="none"/>
            </w:rPr>
            <w:instrText xml:space="preserve"> HYPERLINK \l _Toc10282 </w:instrText>
          </w:r>
          <w:r>
            <w:rPr>
              <w:highlight w:val="none"/>
            </w:rPr>
            <w:fldChar w:fldCharType="separate"/>
          </w:r>
          <w:r>
            <w:rPr>
              <w:rFonts w:hint="eastAsia"/>
              <w:highlight w:val="none"/>
            </w:rPr>
            <w:t>A1.基本程序</w:t>
          </w:r>
          <w:r>
            <w:rPr>
              <w:highlight w:val="none"/>
            </w:rPr>
            <w:tab/>
          </w:r>
          <w:r>
            <w:rPr>
              <w:highlight w:val="none"/>
            </w:rPr>
            <w:fldChar w:fldCharType="begin"/>
          </w:r>
          <w:r>
            <w:rPr>
              <w:highlight w:val="none"/>
            </w:rPr>
            <w:instrText xml:space="preserve"> PAGEREF _Toc10282 \h </w:instrText>
          </w:r>
          <w:r>
            <w:rPr>
              <w:highlight w:val="none"/>
            </w:rPr>
            <w:fldChar w:fldCharType="separate"/>
          </w:r>
          <w:r>
            <w:rPr>
              <w:highlight w:val="none"/>
            </w:rPr>
            <w:t>60</w:t>
          </w:r>
          <w:r>
            <w:rPr>
              <w:highlight w:val="none"/>
            </w:rPr>
            <w:fldChar w:fldCharType="end"/>
          </w:r>
          <w:r>
            <w:rPr>
              <w:color w:val="auto"/>
              <w:highlight w:val="none"/>
            </w:rPr>
            <w:fldChar w:fldCharType="end"/>
          </w:r>
        </w:p>
        <w:p w14:paraId="11156EFC">
          <w:pPr>
            <w:pStyle w:val="19"/>
            <w:tabs>
              <w:tab w:val="right" w:leader="dot" w:pos="8306"/>
            </w:tabs>
            <w:rPr>
              <w:highlight w:val="none"/>
            </w:rPr>
          </w:pPr>
          <w:r>
            <w:rPr>
              <w:color w:val="auto"/>
              <w:highlight w:val="none"/>
            </w:rPr>
            <w:fldChar w:fldCharType="begin"/>
          </w:r>
          <w:r>
            <w:rPr>
              <w:highlight w:val="none"/>
            </w:rPr>
            <w:instrText xml:space="preserve"> HYPERLINK \l _Toc19930 </w:instrText>
          </w:r>
          <w:r>
            <w:rPr>
              <w:highlight w:val="none"/>
            </w:rPr>
            <w:fldChar w:fldCharType="separate"/>
          </w:r>
          <w:r>
            <w:rPr>
              <w:rFonts w:hint="eastAsia"/>
              <w:highlight w:val="none"/>
            </w:rPr>
            <w:t>A2.评标准备</w:t>
          </w:r>
          <w:r>
            <w:rPr>
              <w:highlight w:val="none"/>
            </w:rPr>
            <w:tab/>
          </w:r>
          <w:r>
            <w:rPr>
              <w:highlight w:val="none"/>
            </w:rPr>
            <w:fldChar w:fldCharType="begin"/>
          </w:r>
          <w:r>
            <w:rPr>
              <w:highlight w:val="none"/>
            </w:rPr>
            <w:instrText xml:space="preserve"> PAGEREF _Toc19930 \h </w:instrText>
          </w:r>
          <w:r>
            <w:rPr>
              <w:highlight w:val="none"/>
            </w:rPr>
            <w:fldChar w:fldCharType="separate"/>
          </w:r>
          <w:r>
            <w:rPr>
              <w:highlight w:val="none"/>
            </w:rPr>
            <w:t>60</w:t>
          </w:r>
          <w:r>
            <w:rPr>
              <w:highlight w:val="none"/>
            </w:rPr>
            <w:fldChar w:fldCharType="end"/>
          </w:r>
          <w:r>
            <w:rPr>
              <w:color w:val="auto"/>
              <w:highlight w:val="none"/>
            </w:rPr>
            <w:fldChar w:fldCharType="end"/>
          </w:r>
        </w:p>
        <w:p w14:paraId="6F72B04E">
          <w:pPr>
            <w:pStyle w:val="19"/>
            <w:tabs>
              <w:tab w:val="right" w:leader="dot" w:pos="8306"/>
            </w:tabs>
            <w:rPr>
              <w:highlight w:val="none"/>
            </w:rPr>
          </w:pPr>
          <w:r>
            <w:rPr>
              <w:color w:val="auto"/>
              <w:highlight w:val="none"/>
            </w:rPr>
            <w:fldChar w:fldCharType="begin"/>
          </w:r>
          <w:r>
            <w:rPr>
              <w:highlight w:val="none"/>
            </w:rPr>
            <w:instrText xml:space="preserve"> HYPERLINK \l _Toc19559 </w:instrText>
          </w:r>
          <w:r>
            <w:rPr>
              <w:highlight w:val="none"/>
            </w:rPr>
            <w:fldChar w:fldCharType="separate"/>
          </w:r>
          <w:r>
            <w:rPr>
              <w:rFonts w:hint="eastAsia"/>
              <w:szCs w:val="21"/>
              <w:highlight w:val="none"/>
            </w:rPr>
            <w:t>A2.1评标委员会成员签到</w:t>
          </w:r>
          <w:r>
            <w:rPr>
              <w:highlight w:val="none"/>
            </w:rPr>
            <w:tab/>
          </w:r>
          <w:r>
            <w:rPr>
              <w:highlight w:val="none"/>
            </w:rPr>
            <w:fldChar w:fldCharType="begin"/>
          </w:r>
          <w:r>
            <w:rPr>
              <w:highlight w:val="none"/>
            </w:rPr>
            <w:instrText xml:space="preserve"> PAGEREF _Toc19559 \h </w:instrText>
          </w:r>
          <w:r>
            <w:rPr>
              <w:highlight w:val="none"/>
            </w:rPr>
            <w:fldChar w:fldCharType="separate"/>
          </w:r>
          <w:r>
            <w:rPr>
              <w:highlight w:val="none"/>
            </w:rPr>
            <w:t>60</w:t>
          </w:r>
          <w:r>
            <w:rPr>
              <w:highlight w:val="none"/>
            </w:rPr>
            <w:fldChar w:fldCharType="end"/>
          </w:r>
          <w:r>
            <w:rPr>
              <w:color w:val="auto"/>
              <w:highlight w:val="none"/>
            </w:rPr>
            <w:fldChar w:fldCharType="end"/>
          </w:r>
        </w:p>
        <w:p w14:paraId="59F341CB">
          <w:pPr>
            <w:pStyle w:val="19"/>
            <w:tabs>
              <w:tab w:val="right" w:leader="dot" w:pos="8306"/>
            </w:tabs>
            <w:rPr>
              <w:highlight w:val="none"/>
            </w:rPr>
          </w:pPr>
          <w:r>
            <w:rPr>
              <w:color w:val="auto"/>
              <w:highlight w:val="none"/>
            </w:rPr>
            <w:fldChar w:fldCharType="begin"/>
          </w:r>
          <w:r>
            <w:rPr>
              <w:highlight w:val="none"/>
            </w:rPr>
            <w:instrText xml:space="preserve"> HYPERLINK \l _Toc1110 </w:instrText>
          </w:r>
          <w:r>
            <w:rPr>
              <w:highlight w:val="none"/>
            </w:rPr>
            <w:fldChar w:fldCharType="separate"/>
          </w:r>
          <w:r>
            <w:rPr>
              <w:rFonts w:hint="eastAsia"/>
              <w:szCs w:val="21"/>
              <w:highlight w:val="none"/>
            </w:rPr>
            <w:t>A2.2评标委员会的分工</w:t>
          </w:r>
          <w:r>
            <w:rPr>
              <w:highlight w:val="none"/>
            </w:rPr>
            <w:tab/>
          </w:r>
          <w:r>
            <w:rPr>
              <w:highlight w:val="none"/>
            </w:rPr>
            <w:fldChar w:fldCharType="begin"/>
          </w:r>
          <w:r>
            <w:rPr>
              <w:highlight w:val="none"/>
            </w:rPr>
            <w:instrText xml:space="preserve"> PAGEREF _Toc1110 \h </w:instrText>
          </w:r>
          <w:r>
            <w:rPr>
              <w:highlight w:val="none"/>
            </w:rPr>
            <w:fldChar w:fldCharType="separate"/>
          </w:r>
          <w:r>
            <w:rPr>
              <w:highlight w:val="none"/>
            </w:rPr>
            <w:t>60</w:t>
          </w:r>
          <w:r>
            <w:rPr>
              <w:highlight w:val="none"/>
            </w:rPr>
            <w:fldChar w:fldCharType="end"/>
          </w:r>
          <w:r>
            <w:rPr>
              <w:color w:val="auto"/>
              <w:highlight w:val="none"/>
            </w:rPr>
            <w:fldChar w:fldCharType="end"/>
          </w:r>
        </w:p>
        <w:p w14:paraId="7D15322E">
          <w:pPr>
            <w:pStyle w:val="19"/>
            <w:tabs>
              <w:tab w:val="right" w:leader="dot" w:pos="8306"/>
            </w:tabs>
            <w:rPr>
              <w:highlight w:val="none"/>
            </w:rPr>
          </w:pPr>
          <w:r>
            <w:rPr>
              <w:color w:val="auto"/>
              <w:highlight w:val="none"/>
            </w:rPr>
            <w:fldChar w:fldCharType="begin"/>
          </w:r>
          <w:r>
            <w:rPr>
              <w:highlight w:val="none"/>
            </w:rPr>
            <w:instrText xml:space="preserve"> HYPERLINK \l _Toc31350 </w:instrText>
          </w:r>
          <w:r>
            <w:rPr>
              <w:highlight w:val="none"/>
            </w:rPr>
            <w:fldChar w:fldCharType="separate"/>
          </w:r>
          <w:r>
            <w:rPr>
              <w:rFonts w:hint="eastAsia"/>
              <w:szCs w:val="21"/>
              <w:highlight w:val="none"/>
            </w:rPr>
            <w:t>A2.3熟悉文件资料</w:t>
          </w:r>
          <w:r>
            <w:rPr>
              <w:highlight w:val="none"/>
            </w:rPr>
            <w:tab/>
          </w:r>
          <w:r>
            <w:rPr>
              <w:highlight w:val="none"/>
            </w:rPr>
            <w:fldChar w:fldCharType="begin"/>
          </w:r>
          <w:r>
            <w:rPr>
              <w:highlight w:val="none"/>
            </w:rPr>
            <w:instrText xml:space="preserve"> PAGEREF _Toc31350 \h </w:instrText>
          </w:r>
          <w:r>
            <w:rPr>
              <w:highlight w:val="none"/>
            </w:rPr>
            <w:fldChar w:fldCharType="separate"/>
          </w:r>
          <w:r>
            <w:rPr>
              <w:highlight w:val="none"/>
            </w:rPr>
            <w:t>61</w:t>
          </w:r>
          <w:r>
            <w:rPr>
              <w:highlight w:val="none"/>
            </w:rPr>
            <w:fldChar w:fldCharType="end"/>
          </w:r>
          <w:r>
            <w:rPr>
              <w:color w:val="auto"/>
              <w:highlight w:val="none"/>
            </w:rPr>
            <w:fldChar w:fldCharType="end"/>
          </w:r>
        </w:p>
        <w:p w14:paraId="0E5009D9">
          <w:pPr>
            <w:pStyle w:val="19"/>
            <w:tabs>
              <w:tab w:val="right" w:leader="dot" w:pos="8306"/>
            </w:tabs>
            <w:rPr>
              <w:highlight w:val="none"/>
            </w:rPr>
          </w:pPr>
          <w:r>
            <w:rPr>
              <w:color w:val="auto"/>
              <w:highlight w:val="none"/>
            </w:rPr>
            <w:fldChar w:fldCharType="begin"/>
          </w:r>
          <w:r>
            <w:rPr>
              <w:highlight w:val="none"/>
            </w:rPr>
            <w:instrText xml:space="preserve"> HYPERLINK \l _Toc21566 </w:instrText>
          </w:r>
          <w:r>
            <w:rPr>
              <w:highlight w:val="none"/>
            </w:rPr>
            <w:fldChar w:fldCharType="separate"/>
          </w:r>
          <w:r>
            <w:rPr>
              <w:rFonts w:hint="eastAsia"/>
              <w:highlight w:val="none"/>
            </w:rPr>
            <w:t>A</w:t>
          </w:r>
          <w:r>
            <w:rPr>
              <w:rFonts w:hint="eastAsia"/>
              <w:highlight w:val="none"/>
              <w:lang w:val="en-US" w:eastAsia="zh-CN"/>
            </w:rPr>
            <w:t>3暗标</w:t>
          </w:r>
          <w:r>
            <w:rPr>
              <w:rFonts w:hint="eastAsia"/>
              <w:highlight w:val="none"/>
            </w:rPr>
            <w:t>评审</w:t>
          </w:r>
          <w:r>
            <w:rPr>
              <w:highlight w:val="none"/>
            </w:rPr>
            <w:tab/>
          </w:r>
          <w:r>
            <w:rPr>
              <w:highlight w:val="none"/>
            </w:rPr>
            <w:fldChar w:fldCharType="begin"/>
          </w:r>
          <w:r>
            <w:rPr>
              <w:highlight w:val="none"/>
            </w:rPr>
            <w:instrText xml:space="preserve"> PAGEREF _Toc21566 \h </w:instrText>
          </w:r>
          <w:r>
            <w:rPr>
              <w:highlight w:val="none"/>
            </w:rPr>
            <w:fldChar w:fldCharType="separate"/>
          </w:r>
          <w:r>
            <w:rPr>
              <w:highlight w:val="none"/>
            </w:rPr>
            <w:t>61</w:t>
          </w:r>
          <w:r>
            <w:rPr>
              <w:highlight w:val="none"/>
            </w:rPr>
            <w:fldChar w:fldCharType="end"/>
          </w:r>
          <w:r>
            <w:rPr>
              <w:color w:val="auto"/>
              <w:highlight w:val="none"/>
            </w:rPr>
            <w:fldChar w:fldCharType="end"/>
          </w:r>
        </w:p>
        <w:p w14:paraId="22DB1DC7">
          <w:pPr>
            <w:pStyle w:val="19"/>
            <w:tabs>
              <w:tab w:val="right" w:leader="dot" w:pos="8306"/>
            </w:tabs>
            <w:rPr>
              <w:highlight w:val="none"/>
            </w:rPr>
          </w:pPr>
          <w:r>
            <w:rPr>
              <w:color w:val="auto"/>
              <w:highlight w:val="none"/>
            </w:rPr>
            <w:fldChar w:fldCharType="begin"/>
          </w:r>
          <w:r>
            <w:rPr>
              <w:highlight w:val="none"/>
            </w:rPr>
            <w:instrText xml:space="preserve"> HYPERLINK \l _Toc4248 </w:instrText>
          </w:r>
          <w:r>
            <w:rPr>
              <w:highlight w:val="none"/>
            </w:rPr>
            <w:fldChar w:fldCharType="separate"/>
          </w:r>
          <w:r>
            <w:rPr>
              <w:rFonts w:hint="eastAsia"/>
              <w:highlight w:val="none"/>
            </w:rPr>
            <w:t>A</w:t>
          </w:r>
          <w:r>
            <w:rPr>
              <w:rFonts w:hint="eastAsia"/>
              <w:highlight w:val="none"/>
              <w:lang w:val="en-US" w:eastAsia="zh-CN"/>
            </w:rPr>
            <w:t>4</w:t>
          </w:r>
          <w:r>
            <w:rPr>
              <w:rFonts w:hint="eastAsia"/>
              <w:highlight w:val="none"/>
            </w:rPr>
            <w:t>初步评审</w:t>
          </w:r>
          <w:r>
            <w:rPr>
              <w:highlight w:val="none"/>
            </w:rPr>
            <w:tab/>
          </w:r>
          <w:r>
            <w:rPr>
              <w:highlight w:val="none"/>
            </w:rPr>
            <w:fldChar w:fldCharType="begin"/>
          </w:r>
          <w:r>
            <w:rPr>
              <w:highlight w:val="none"/>
            </w:rPr>
            <w:instrText xml:space="preserve"> PAGEREF _Toc4248 \h </w:instrText>
          </w:r>
          <w:r>
            <w:rPr>
              <w:highlight w:val="none"/>
            </w:rPr>
            <w:fldChar w:fldCharType="separate"/>
          </w:r>
          <w:r>
            <w:rPr>
              <w:highlight w:val="none"/>
            </w:rPr>
            <w:t>61</w:t>
          </w:r>
          <w:r>
            <w:rPr>
              <w:highlight w:val="none"/>
            </w:rPr>
            <w:fldChar w:fldCharType="end"/>
          </w:r>
          <w:r>
            <w:rPr>
              <w:color w:val="auto"/>
              <w:highlight w:val="none"/>
            </w:rPr>
            <w:fldChar w:fldCharType="end"/>
          </w:r>
        </w:p>
        <w:p w14:paraId="07B5B192">
          <w:pPr>
            <w:pStyle w:val="19"/>
            <w:tabs>
              <w:tab w:val="right" w:leader="dot" w:pos="8306"/>
            </w:tabs>
            <w:rPr>
              <w:highlight w:val="none"/>
            </w:rPr>
          </w:pPr>
          <w:r>
            <w:rPr>
              <w:color w:val="auto"/>
              <w:highlight w:val="none"/>
            </w:rPr>
            <w:fldChar w:fldCharType="begin"/>
          </w:r>
          <w:r>
            <w:rPr>
              <w:highlight w:val="none"/>
            </w:rPr>
            <w:instrText xml:space="preserve"> HYPERLINK \l _Toc17379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.1形式评审</w:t>
          </w:r>
          <w:r>
            <w:rPr>
              <w:highlight w:val="none"/>
            </w:rPr>
            <w:tab/>
          </w:r>
          <w:r>
            <w:rPr>
              <w:highlight w:val="none"/>
            </w:rPr>
            <w:fldChar w:fldCharType="begin"/>
          </w:r>
          <w:r>
            <w:rPr>
              <w:highlight w:val="none"/>
            </w:rPr>
            <w:instrText xml:space="preserve"> PAGEREF _Toc17379 \h </w:instrText>
          </w:r>
          <w:r>
            <w:rPr>
              <w:highlight w:val="none"/>
            </w:rPr>
            <w:fldChar w:fldCharType="separate"/>
          </w:r>
          <w:r>
            <w:rPr>
              <w:highlight w:val="none"/>
            </w:rPr>
            <w:t>61</w:t>
          </w:r>
          <w:r>
            <w:rPr>
              <w:highlight w:val="none"/>
            </w:rPr>
            <w:fldChar w:fldCharType="end"/>
          </w:r>
          <w:r>
            <w:rPr>
              <w:color w:val="auto"/>
              <w:highlight w:val="none"/>
            </w:rPr>
            <w:fldChar w:fldCharType="end"/>
          </w:r>
        </w:p>
        <w:p w14:paraId="43353758">
          <w:pPr>
            <w:pStyle w:val="19"/>
            <w:tabs>
              <w:tab w:val="right" w:leader="dot" w:pos="8306"/>
            </w:tabs>
            <w:rPr>
              <w:highlight w:val="none"/>
            </w:rPr>
          </w:pPr>
          <w:r>
            <w:rPr>
              <w:color w:val="auto"/>
              <w:highlight w:val="none"/>
            </w:rPr>
            <w:fldChar w:fldCharType="begin"/>
          </w:r>
          <w:r>
            <w:rPr>
              <w:highlight w:val="none"/>
            </w:rPr>
            <w:instrText xml:space="preserve"> HYPERLINK \l _Toc24748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.2资格评审</w:t>
          </w:r>
          <w:r>
            <w:rPr>
              <w:highlight w:val="none"/>
            </w:rPr>
            <w:tab/>
          </w:r>
          <w:r>
            <w:rPr>
              <w:highlight w:val="none"/>
            </w:rPr>
            <w:fldChar w:fldCharType="begin"/>
          </w:r>
          <w:r>
            <w:rPr>
              <w:highlight w:val="none"/>
            </w:rPr>
            <w:instrText xml:space="preserve"> PAGEREF _Toc24748 \h </w:instrText>
          </w:r>
          <w:r>
            <w:rPr>
              <w:highlight w:val="none"/>
            </w:rPr>
            <w:fldChar w:fldCharType="separate"/>
          </w:r>
          <w:r>
            <w:rPr>
              <w:highlight w:val="none"/>
            </w:rPr>
            <w:t>61</w:t>
          </w:r>
          <w:r>
            <w:rPr>
              <w:highlight w:val="none"/>
            </w:rPr>
            <w:fldChar w:fldCharType="end"/>
          </w:r>
          <w:r>
            <w:rPr>
              <w:color w:val="auto"/>
              <w:highlight w:val="none"/>
            </w:rPr>
            <w:fldChar w:fldCharType="end"/>
          </w:r>
        </w:p>
        <w:p w14:paraId="5E235AE8">
          <w:pPr>
            <w:pStyle w:val="19"/>
            <w:tabs>
              <w:tab w:val="right" w:leader="dot" w:pos="8306"/>
            </w:tabs>
            <w:rPr>
              <w:highlight w:val="none"/>
            </w:rPr>
          </w:pPr>
          <w:r>
            <w:rPr>
              <w:color w:val="auto"/>
              <w:highlight w:val="none"/>
            </w:rPr>
            <w:fldChar w:fldCharType="begin"/>
          </w:r>
          <w:r>
            <w:rPr>
              <w:highlight w:val="none"/>
            </w:rPr>
            <w:instrText xml:space="preserve"> HYPERLINK \l _Toc22346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.3响应性评审</w:t>
          </w:r>
          <w:r>
            <w:rPr>
              <w:highlight w:val="none"/>
            </w:rPr>
            <w:tab/>
          </w:r>
          <w:r>
            <w:rPr>
              <w:highlight w:val="none"/>
            </w:rPr>
            <w:fldChar w:fldCharType="begin"/>
          </w:r>
          <w:r>
            <w:rPr>
              <w:highlight w:val="none"/>
            </w:rPr>
            <w:instrText xml:space="preserve"> PAGEREF _Toc22346 \h </w:instrText>
          </w:r>
          <w:r>
            <w:rPr>
              <w:highlight w:val="none"/>
            </w:rPr>
            <w:fldChar w:fldCharType="separate"/>
          </w:r>
          <w:r>
            <w:rPr>
              <w:highlight w:val="none"/>
            </w:rPr>
            <w:t>62</w:t>
          </w:r>
          <w:r>
            <w:rPr>
              <w:highlight w:val="none"/>
            </w:rPr>
            <w:fldChar w:fldCharType="end"/>
          </w:r>
          <w:r>
            <w:rPr>
              <w:color w:val="auto"/>
              <w:highlight w:val="none"/>
            </w:rPr>
            <w:fldChar w:fldCharType="end"/>
          </w:r>
        </w:p>
        <w:p w14:paraId="2A261AB7">
          <w:pPr>
            <w:pStyle w:val="19"/>
            <w:tabs>
              <w:tab w:val="right" w:leader="dot" w:pos="8306"/>
            </w:tabs>
            <w:rPr>
              <w:highlight w:val="none"/>
            </w:rPr>
          </w:pPr>
          <w:r>
            <w:rPr>
              <w:color w:val="auto"/>
              <w:highlight w:val="none"/>
            </w:rPr>
            <w:fldChar w:fldCharType="begin"/>
          </w:r>
          <w:r>
            <w:rPr>
              <w:highlight w:val="none"/>
            </w:rPr>
            <w:instrText xml:space="preserve"> HYPERLINK \l _Toc30753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4</w:t>
          </w:r>
          <w:r>
            <w:rPr>
              <w:rFonts w:hint="eastAsia"/>
              <w:szCs w:val="21"/>
              <w:highlight w:val="none"/>
            </w:rPr>
            <w:t>算术错误修正</w:t>
          </w:r>
          <w:r>
            <w:rPr>
              <w:highlight w:val="none"/>
            </w:rPr>
            <w:tab/>
          </w:r>
          <w:r>
            <w:rPr>
              <w:highlight w:val="none"/>
            </w:rPr>
            <w:fldChar w:fldCharType="begin"/>
          </w:r>
          <w:r>
            <w:rPr>
              <w:highlight w:val="none"/>
            </w:rPr>
            <w:instrText xml:space="preserve"> PAGEREF _Toc30753 \h </w:instrText>
          </w:r>
          <w:r>
            <w:rPr>
              <w:highlight w:val="none"/>
            </w:rPr>
            <w:fldChar w:fldCharType="separate"/>
          </w:r>
          <w:r>
            <w:rPr>
              <w:highlight w:val="none"/>
            </w:rPr>
            <w:t>62</w:t>
          </w:r>
          <w:r>
            <w:rPr>
              <w:highlight w:val="none"/>
            </w:rPr>
            <w:fldChar w:fldCharType="end"/>
          </w:r>
          <w:r>
            <w:rPr>
              <w:color w:val="auto"/>
              <w:highlight w:val="none"/>
            </w:rPr>
            <w:fldChar w:fldCharType="end"/>
          </w:r>
        </w:p>
        <w:p w14:paraId="7B875429">
          <w:pPr>
            <w:pStyle w:val="19"/>
            <w:tabs>
              <w:tab w:val="right" w:leader="dot" w:pos="8306"/>
            </w:tabs>
            <w:rPr>
              <w:highlight w:val="none"/>
            </w:rPr>
          </w:pPr>
          <w:r>
            <w:rPr>
              <w:color w:val="auto"/>
              <w:highlight w:val="none"/>
            </w:rPr>
            <w:fldChar w:fldCharType="begin"/>
          </w:r>
          <w:r>
            <w:rPr>
              <w:highlight w:val="none"/>
            </w:rPr>
            <w:instrText xml:space="preserve"> HYPERLINK \l _Toc8849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5</w:t>
          </w:r>
          <w:r>
            <w:rPr>
              <w:rFonts w:hint="eastAsia"/>
              <w:szCs w:val="21"/>
              <w:highlight w:val="none"/>
            </w:rPr>
            <w:t xml:space="preserve"> 判断投标报价是否低于成本</w:t>
          </w:r>
          <w:r>
            <w:rPr>
              <w:highlight w:val="none"/>
            </w:rPr>
            <w:tab/>
          </w:r>
          <w:r>
            <w:rPr>
              <w:highlight w:val="none"/>
            </w:rPr>
            <w:fldChar w:fldCharType="begin"/>
          </w:r>
          <w:r>
            <w:rPr>
              <w:highlight w:val="none"/>
            </w:rPr>
            <w:instrText xml:space="preserve"> PAGEREF _Toc8849 \h </w:instrText>
          </w:r>
          <w:r>
            <w:rPr>
              <w:highlight w:val="none"/>
            </w:rPr>
            <w:fldChar w:fldCharType="separate"/>
          </w:r>
          <w:r>
            <w:rPr>
              <w:highlight w:val="none"/>
            </w:rPr>
            <w:t>62</w:t>
          </w:r>
          <w:r>
            <w:rPr>
              <w:highlight w:val="none"/>
            </w:rPr>
            <w:fldChar w:fldCharType="end"/>
          </w:r>
          <w:r>
            <w:rPr>
              <w:color w:val="auto"/>
              <w:highlight w:val="none"/>
            </w:rPr>
            <w:fldChar w:fldCharType="end"/>
          </w:r>
        </w:p>
        <w:p w14:paraId="3AD2882A">
          <w:pPr>
            <w:pStyle w:val="19"/>
            <w:tabs>
              <w:tab w:val="right" w:leader="dot" w:pos="8306"/>
            </w:tabs>
            <w:rPr>
              <w:highlight w:val="none"/>
            </w:rPr>
          </w:pPr>
          <w:r>
            <w:rPr>
              <w:color w:val="auto"/>
              <w:highlight w:val="none"/>
            </w:rPr>
            <w:fldChar w:fldCharType="begin"/>
          </w:r>
          <w:r>
            <w:rPr>
              <w:highlight w:val="none"/>
            </w:rPr>
            <w:instrText xml:space="preserve"> HYPERLINK \l _Toc28151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6</w:t>
          </w:r>
          <w:r>
            <w:rPr>
              <w:rFonts w:hint="eastAsia"/>
              <w:szCs w:val="21"/>
              <w:highlight w:val="none"/>
            </w:rPr>
            <w:t xml:space="preserve"> 判断投标是否为应当被否决</w:t>
          </w:r>
          <w:r>
            <w:rPr>
              <w:highlight w:val="none"/>
            </w:rPr>
            <w:tab/>
          </w:r>
          <w:r>
            <w:rPr>
              <w:highlight w:val="none"/>
            </w:rPr>
            <w:fldChar w:fldCharType="begin"/>
          </w:r>
          <w:r>
            <w:rPr>
              <w:highlight w:val="none"/>
            </w:rPr>
            <w:instrText xml:space="preserve"> PAGEREF _Toc28151 \h </w:instrText>
          </w:r>
          <w:r>
            <w:rPr>
              <w:highlight w:val="none"/>
            </w:rPr>
            <w:fldChar w:fldCharType="separate"/>
          </w:r>
          <w:r>
            <w:rPr>
              <w:highlight w:val="none"/>
            </w:rPr>
            <w:t>62</w:t>
          </w:r>
          <w:r>
            <w:rPr>
              <w:highlight w:val="none"/>
            </w:rPr>
            <w:fldChar w:fldCharType="end"/>
          </w:r>
          <w:r>
            <w:rPr>
              <w:color w:val="auto"/>
              <w:highlight w:val="none"/>
            </w:rPr>
            <w:fldChar w:fldCharType="end"/>
          </w:r>
        </w:p>
        <w:p w14:paraId="3CCFDA55">
          <w:pPr>
            <w:pStyle w:val="19"/>
            <w:tabs>
              <w:tab w:val="right" w:leader="dot" w:pos="8306"/>
            </w:tabs>
            <w:rPr>
              <w:highlight w:val="none"/>
            </w:rPr>
          </w:pPr>
          <w:r>
            <w:rPr>
              <w:color w:val="auto"/>
              <w:highlight w:val="none"/>
            </w:rPr>
            <w:fldChar w:fldCharType="begin"/>
          </w:r>
          <w:r>
            <w:rPr>
              <w:highlight w:val="none"/>
            </w:rPr>
            <w:instrText xml:space="preserve"> HYPERLINK \l _Toc29052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7</w:t>
          </w:r>
          <w:r>
            <w:rPr>
              <w:rFonts w:hint="eastAsia"/>
              <w:szCs w:val="21"/>
              <w:highlight w:val="none"/>
            </w:rPr>
            <w:t xml:space="preserve"> 澄清、说明或补正</w:t>
          </w:r>
          <w:r>
            <w:rPr>
              <w:highlight w:val="none"/>
            </w:rPr>
            <w:tab/>
          </w:r>
          <w:r>
            <w:rPr>
              <w:highlight w:val="none"/>
            </w:rPr>
            <w:fldChar w:fldCharType="begin"/>
          </w:r>
          <w:r>
            <w:rPr>
              <w:highlight w:val="none"/>
            </w:rPr>
            <w:instrText xml:space="preserve"> PAGEREF _Toc29052 \h </w:instrText>
          </w:r>
          <w:r>
            <w:rPr>
              <w:highlight w:val="none"/>
            </w:rPr>
            <w:fldChar w:fldCharType="separate"/>
          </w:r>
          <w:r>
            <w:rPr>
              <w:highlight w:val="none"/>
            </w:rPr>
            <w:t>62</w:t>
          </w:r>
          <w:r>
            <w:rPr>
              <w:highlight w:val="none"/>
            </w:rPr>
            <w:fldChar w:fldCharType="end"/>
          </w:r>
          <w:r>
            <w:rPr>
              <w:color w:val="auto"/>
              <w:highlight w:val="none"/>
            </w:rPr>
            <w:fldChar w:fldCharType="end"/>
          </w:r>
        </w:p>
        <w:p w14:paraId="4868E845">
          <w:pPr>
            <w:pStyle w:val="19"/>
            <w:tabs>
              <w:tab w:val="right" w:leader="dot" w:pos="8306"/>
            </w:tabs>
            <w:rPr>
              <w:highlight w:val="none"/>
            </w:rPr>
          </w:pPr>
          <w:r>
            <w:rPr>
              <w:color w:val="auto"/>
              <w:highlight w:val="none"/>
            </w:rPr>
            <w:fldChar w:fldCharType="begin"/>
          </w:r>
          <w:r>
            <w:rPr>
              <w:highlight w:val="none"/>
            </w:rPr>
            <w:instrText xml:space="preserve"> HYPERLINK \l _Toc27768 </w:instrText>
          </w:r>
          <w:r>
            <w:rPr>
              <w:highlight w:val="none"/>
            </w:rPr>
            <w:fldChar w:fldCharType="separate"/>
          </w:r>
          <w:r>
            <w:rPr>
              <w:rFonts w:hint="eastAsia"/>
              <w:highlight w:val="none"/>
            </w:rPr>
            <w:t>A</w:t>
          </w:r>
          <w:r>
            <w:rPr>
              <w:rFonts w:hint="eastAsia"/>
              <w:highlight w:val="none"/>
              <w:lang w:val="en-US" w:eastAsia="zh-CN"/>
            </w:rPr>
            <w:t>5</w:t>
          </w:r>
          <w:r>
            <w:rPr>
              <w:rFonts w:hint="eastAsia"/>
              <w:highlight w:val="none"/>
            </w:rPr>
            <w:t>．详细评审</w:t>
          </w:r>
          <w:r>
            <w:rPr>
              <w:highlight w:val="none"/>
            </w:rPr>
            <w:tab/>
          </w:r>
          <w:r>
            <w:rPr>
              <w:highlight w:val="none"/>
            </w:rPr>
            <w:fldChar w:fldCharType="begin"/>
          </w:r>
          <w:r>
            <w:rPr>
              <w:highlight w:val="none"/>
            </w:rPr>
            <w:instrText xml:space="preserve"> PAGEREF _Toc27768 \h </w:instrText>
          </w:r>
          <w:r>
            <w:rPr>
              <w:highlight w:val="none"/>
            </w:rPr>
            <w:fldChar w:fldCharType="separate"/>
          </w:r>
          <w:r>
            <w:rPr>
              <w:highlight w:val="none"/>
            </w:rPr>
            <w:t>63</w:t>
          </w:r>
          <w:r>
            <w:rPr>
              <w:highlight w:val="none"/>
            </w:rPr>
            <w:fldChar w:fldCharType="end"/>
          </w:r>
          <w:r>
            <w:rPr>
              <w:color w:val="auto"/>
              <w:highlight w:val="none"/>
            </w:rPr>
            <w:fldChar w:fldCharType="end"/>
          </w:r>
        </w:p>
        <w:p w14:paraId="04BC7340">
          <w:pPr>
            <w:pStyle w:val="19"/>
            <w:tabs>
              <w:tab w:val="right" w:leader="dot" w:pos="8306"/>
            </w:tabs>
            <w:rPr>
              <w:highlight w:val="none"/>
            </w:rPr>
          </w:pPr>
          <w:r>
            <w:rPr>
              <w:color w:val="auto"/>
              <w:highlight w:val="none"/>
            </w:rPr>
            <w:fldChar w:fldCharType="begin"/>
          </w:r>
          <w:r>
            <w:rPr>
              <w:highlight w:val="none"/>
            </w:rPr>
            <w:instrText xml:space="preserve"> HYPERLINK \l _Toc31392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.1详细评审的程序</w:t>
          </w:r>
          <w:r>
            <w:rPr>
              <w:highlight w:val="none"/>
            </w:rPr>
            <w:tab/>
          </w:r>
          <w:r>
            <w:rPr>
              <w:highlight w:val="none"/>
            </w:rPr>
            <w:fldChar w:fldCharType="begin"/>
          </w:r>
          <w:r>
            <w:rPr>
              <w:highlight w:val="none"/>
            </w:rPr>
            <w:instrText xml:space="preserve"> PAGEREF _Toc31392 \h </w:instrText>
          </w:r>
          <w:r>
            <w:rPr>
              <w:highlight w:val="none"/>
            </w:rPr>
            <w:fldChar w:fldCharType="separate"/>
          </w:r>
          <w:r>
            <w:rPr>
              <w:highlight w:val="none"/>
            </w:rPr>
            <w:t>63</w:t>
          </w:r>
          <w:r>
            <w:rPr>
              <w:highlight w:val="none"/>
            </w:rPr>
            <w:fldChar w:fldCharType="end"/>
          </w:r>
          <w:r>
            <w:rPr>
              <w:color w:val="auto"/>
              <w:highlight w:val="none"/>
            </w:rPr>
            <w:fldChar w:fldCharType="end"/>
          </w:r>
        </w:p>
        <w:p w14:paraId="064D592E">
          <w:pPr>
            <w:pStyle w:val="19"/>
            <w:tabs>
              <w:tab w:val="right" w:leader="dot" w:pos="8306"/>
            </w:tabs>
            <w:rPr>
              <w:highlight w:val="none"/>
            </w:rPr>
          </w:pPr>
          <w:r>
            <w:rPr>
              <w:color w:val="auto"/>
              <w:highlight w:val="none"/>
            </w:rPr>
            <w:fldChar w:fldCharType="begin"/>
          </w:r>
          <w:r>
            <w:rPr>
              <w:highlight w:val="none"/>
            </w:rPr>
            <w:instrText xml:space="preserve"> HYPERLINK \l _Toc11776 </w:instrText>
          </w:r>
          <w:r>
            <w:rPr>
              <w:highlight w:val="none"/>
            </w:rPr>
            <w:fldChar w:fldCharType="separate"/>
          </w:r>
          <w:r>
            <w:rPr>
              <w:rFonts w:hint="eastAsia"/>
              <w:szCs w:val="21"/>
              <w:highlight w:val="none"/>
            </w:rPr>
            <w:t>A5.</w:t>
          </w:r>
          <w:r>
            <w:rPr>
              <w:rFonts w:hint="eastAsia"/>
              <w:szCs w:val="21"/>
              <w:highlight w:val="none"/>
              <w:lang w:val="en-US" w:eastAsia="zh-CN"/>
            </w:rPr>
            <w:t>2承包人建议书部分评</w:t>
          </w:r>
          <w:r>
            <w:rPr>
              <w:rFonts w:hint="eastAsia"/>
              <w:szCs w:val="21"/>
              <w:highlight w:val="none"/>
            </w:rPr>
            <w:t>分</w:t>
          </w:r>
          <w:r>
            <w:rPr>
              <w:highlight w:val="none"/>
            </w:rPr>
            <w:tab/>
          </w:r>
          <w:r>
            <w:rPr>
              <w:highlight w:val="none"/>
            </w:rPr>
            <w:fldChar w:fldCharType="begin"/>
          </w:r>
          <w:r>
            <w:rPr>
              <w:highlight w:val="none"/>
            </w:rPr>
            <w:instrText xml:space="preserve"> PAGEREF _Toc11776 \h </w:instrText>
          </w:r>
          <w:r>
            <w:rPr>
              <w:highlight w:val="none"/>
            </w:rPr>
            <w:fldChar w:fldCharType="separate"/>
          </w:r>
          <w:r>
            <w:rPr>
              <w:highlight w:val="none"/>
            </w:rPr>
            <w:t>63</w:t>
          </w:r>
          <w:r>
            <w:rPr>
              <w:highlight w:val="none"/>
            </w:rPr>
            <w:fldChar w:fldCharType="end"/>
          </w:r>
          <w:r>
            <w:rPr>
              <w:color w:val="auto"/>
              <w:highlight w:val="none"/>
            </w:rPr>
            <w:fldChar w:fldCharType="end"/>
          </w:r>
        </w:p>
        <w:p w14:paraId="674F414C">
          <w:pPr>
            <w:pStyle w:val="19"/>
            <w:tabs>
              <w:tab w:val="right" w:leader="dot" w:pos="8306"/>
            </w:tabs>
            <w:rPr>
              <w:highlight w:val="none"/>
            </w:rPr>
          </w:pPr>
          <w:r>
            <w:rPr>
              <w:color w:val="auto"/>
              <w:highlight w:val="none"/>
            </w:rPr>
            <w:fldChar w:fldCharType="begin"/>
          </w:r>
          <w:r>
            <w:rPr>
              <w:highlight w:val="none"/>
            </w:rPr>
            <w:instrText xml:space="preserve"> HYPERLINK \l _Toc10439 </w:instrText>
          </w:r>
          <w:r>
            <w:rPr>
              <w:highlight w:val="none"/>
            </w:rPr>
            <w:fldChar w:fldCharType="separate"/>
          </w:r>
          <w:r>
            <w:rPr>
              <w:rFonts w:hint="eastAsia"/>
              <w:szCs w:val="21"/>
              <w:highlight w:val="none"/>
            </w:rPr>
            <w:t>A5.</w:t>
          </w:r>
          <w:r>
            <w:rPr>
              <w:rFonts w:hint="eastAsia"/>
              <w:szCs w:val="21"/>
              <w:highlight w:val="none"/>
              <w:lang w:val="en-US" w:eastAsia="zh-CN"/>
            </w:rPr>
            <w:t>3</w:t>
          </w:r>
          <w:r>
            <w:rPr>
              <w:rFonts w:hint="eastAsia"/>
              <w:szCs w:val="21"/>
              <w:highlight w:val="none"/>
            </w:rPr>
            <w:t>资信业绩</w:t>
          </w:r>
          <w:r>
            <w:rPr>
              <w:rFonts w:hint="eastAsia"/>
              <w:szCs w:val="21"/>
              <w:highlight w:val="none"/>
              <w:lang w:val="en-US" w:eastAsia="zh-CN"/>
            </w:rPr>
            <w:t>部分评</w:t>
          </w:r>
          <w:r>
            <w:rPr>
              <w:rFonts w:hint="eastAsia"/>
              <w:szCs w:val="21"/>
              <w:highlight w:val="none"/>
            </w:rPr>
            <w:t>分</w:t>
          </w:r>
          <w:r>
            <w:rPr>
              <w:highlight w:val="none"/>
            </w:rPr>
            <w:tab/>
          </w:r>
          <w:r>
            <w:rPr>
              <w:highlight w:val="none"/>
            </w:rPr>
            <w:fldChar w:fldCharType="begin"/>
          </w:r>
          <w:r>
            <w:rPr>
              <w:highlight w:val="none"/>
            </w:rPr>
            <w:instrText xml:space="preserve"> PAGEREF _Toc10439 \h </w:instrText>
          </w:r>
          <w:r>
            <w:rPr>
              <w:highlight w:val="none"/>
            </w:rPr>
            <w:fldChar w:fldCharType="separate"/>
          </w:r>
          <w:r>
            <w:rPr>
              <w:highlight w:val="none"/>
            </w:rPr>
            <w:t>63</w:t>
          </w:r>
          <w:r>
            <w:rPr>
              <w:highlight w:val="none"/>
            </w:rPr>
            <w:fldChar w:fldCharType="end"/>
          </w:r>
          <w:r>
            <w:rPr>
              <w:color w:val="auto"/>
              <w:highlight w:val="none"/>
            </w:rPr>
            <w:fldChar w:fldCharType="end"/>
          </w:r>
        </w:p>
        <w:p w14:paraId="6504459D">
          <w:pPr>
            <w:pStyle w:val="19"/>
            <w:tabs>
              <w:tab w:val="right" w:leader="dot" w:pos="8306"/>
            </w:tabs>
            <w:rPr>
              <w:highlight w:val="none"/>
            </w:rPr>
          </w:pPr>
          <w:r>
            <w:rPr>
              <w:color w:val="auto"/>
              <w:highlight w:val="none"/>
            </w:rPr>
            <w:fldChar w:fldCharType="begin"/>
          </w:r>
          <w:r>
            <w:rPr>
              <w:highlight w:val="none"/>
            </w:rPr>
            <w:instrText xml:space="preserve"> HYPERLINK \l _Toc11888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4</w:t>
          </w:r>
          <w:r>
            <w:rPr>
              <w:rFonts w:hint="eastAsia"/>
              <w:szCs w:val="21"/>
              <w:highlight w:val="none"/>
            </w:rPr>
            <w:t xml:space="preserve"> 其他因素的评审和评分</w:t>
          </w:r>
          <w:r>
            <w:rPr>
              <w:highlight w:val="none"/>
            </w:rPr>
            <w:tab/>
          </w:r>
          <w:r>
            <w:rPr>
              <w:highlight w:val="none"/>
            </w:rPr>
            <w:fldChar w:fldCharType="begin"/>
          </w:r>
          <w:r>
            <w:rPr>
              <w:highlight w:val="none"/>
            </w:rPr>
            <w:instrText xml:space="preserve"> PAGEREF _Toc11888 \h </w:instrText>
          </w:r>
          <w:r>
            <w:rPr>
              <w:highlight w:val="none"/>
            </w:rPr>
            <w:fldChar w:fldCharType="separate"/>
          </w:r>
          <w:r>
            <w:rPr>
              <w:highlight w:val="none"/>
            </w:rPr>
            <w:t>63</w:t>
          </w:r>
          <w:r>
            <w:rPr>
              <w:highlight w:val="none"/>
            </w:rPr>
            <w:fldChar w:fldCharType="end"/>
          </w:r>
          <w:r>
            <w:rPr>
              <w:color w:val="auto"/>
              <w:highlight w:val="none"/>
            </w:rPr>
            <w:fldChar w:fldCharType="end"/>
          </w:r>
        </w:p>
        <w:p w14:paraId="21480654">
          <w:pPr>
            <w:pStyle w:val="19"/>
            <w:tabs>
              <w:tab w:val="right" w:leader="dot" w:pos="8306"/>
            </w:tabs>
            <w:rPr>
              <w:highlight w:val="none"/>
            </w:rPr>
          </w:pPr>
          <w:r>
            <w:rPr>
              <w:color w:val="auto"/>
              <w:highlight w:val="none"/>
            </w:rPr>
            <w:fldChar w:fldCharType="begin"/>
          </w:r>
          <w:r>
            <w:rPr>
              <w:highlight w:val="none"/>
            </w:rPr>
            <w:instrText xml:space="preserve"> HYPERLINK \l _Toc23910 </w:instrText>
          </w:r>
          <w:r>
            <w:rPr>
              <w:highlight w:val="none"/>
            </w:rPr>
            <w:fldChar w:fldCharType="separate"/>
          </w:r>
          <w:r>
            <w:rPr>
              <w:rFonts w:hint="eastAsia"/>
              <w:szCs w:val="21"/>
              <w:highlight w:val="none"/>
            </w:rPr>
            <w:t>A5.</w:t>
          </w:r>
          <w:r>
            <w:rPr>
              <w:rFonts w:hint="eastAsia"/>
              <w:szCs w:val="21"/>
              <w:highlight w:val="none"/>
              <w:lang w:val="en-US" w:eastAsia="zh-CN"/>
            </w:rPr>
            <w:t>5</w:t>
          </w:r>
          <w:r>
            <w:rPr>
              <w:rFonts w:hint="eastAsia"/>
              <w:szCs w:val="21"/>
              <w:highlight w:val="none"/>
            </w:rPr>
            <w:t>投标报价评审和评分</w:t>
          </w:r>
          <w:r>
            <w:rPr>
              <w:highlight w:val="none"/>
            </w:rPr>
            <w:tab/>
          </w:r>
          <w:r>
            <w:rPr>
              <w:highlight w:val="none"/>
            </w:rPr>
            <w:fldChar w:fldCharType="begin"/>
          </w:r>
          <w:r>
            <w:rPr>
              <w:highlight w:val="none"/>
            </w:rPr>
            <w:instrText xml:space="preserve"> PAGEREF _Toc23910 \h </w:instrText>
          </w:r>
          <w:r>
            <w:rPr>
              <w:highlight w:val="none"/>
            </w:rPr>
            <w:fldChar w:fldCharType="separate"/>
          </w:r>
          <w:r>
            <w:rPr>
              <w:highlight w:val="none"/>
            </w:rPr>
            <w:t>63</w:t>
          </w:r>
          <w:r>
            <w:rPr>
              <w:highlight w:val="none"/>
            </w:rPr>
            <w:fldChar w:fldCharType="end"/>
          </w:r>
          <w:r>
            <w:rPr>
              <w:color w:val="auto"/>
              <w:highlight w:val="none"/>
            </w:rPr>
            <w:fldChar w:fldCharType="end"/>
          </w:r>
        </w:p>
        <w:p w14:paraId="7B984837">
          <w:pPr>
            <w:pStyle w:val="19"/>
            <w:tabs>
              <w:tab w:val="right" w:leader="dot" w:pos="8306"/>
            </w:tabs>
            <w:rPr>
              <w:highlight w:val="none"/>
            </w:rPr>
          </w:pPr>
          <w:r>
            <w:rPr>
              <w:color w:val="auto"/>
              <w:highlight w:val="none"/>
            </w:rPr>
            <w:fldChar w:fldCharType="begin"/>
          </w:r>
          <w:r>
            <w:rPr>
              <w:highlight w:val="none"/>
            </w:rPr>
            <w:instrText xml:space="preserve"> HYPERLINK \l _Toc27361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6</w:t>
          </w:r>
          <w:r>
            <w:rPr>
              <w:rFonts w:hint="eastAsia"/>
              <w:szCs w:val="21"/>
              <w:highlight w:val="none"/>
            </w:rPr>
            <w:t xml:space="preserve"> 澄清、说明或补正</w:t>
          </w:r>
          <w:r>
            <w:rPr>
              <w:highlight w:val="none"/>
            </w:rPr>
            <w:tab/>
          </w:r>
          <w:r>
            <w:rPr>
              <w:highlight w:val="none"/>
            </w:rPr>
            <w:fldChar w:fldCharType="begin"/>
          </w:r>
          <w:r>
            <w:rPr>
              <w:highlight w:val="none"/>
            </w:rPr>
            <w:instrText xml:space="preserve"> PAGEREF _Toc27361 \h </w:instrText>
          </w:r>
          <w:r>
            <w:rPr>
              <w:highlight w:val="none"/>
            </w:rPr>
            <w:fldChar w:fldCharType="separate"/>
          </w:r>
          <w:r>
            <w:rPr>
              <w:highlight w:val="none"/>
            </w:rPr>
            <w:t>63</w:t>
          </w:r>
          <w:r>
            <w:rPr>
              <w:highlight w:val="none"/>
            </w:rPr>
            <w:fldChar w:fldCharType="end"/>
          </w:r>
          <w:r>
            <w:rPr>
              <w:color w:val="auto"/>
              <w:highlight w:val="none"/>
            </w:rPr>
            <w:fldChar w:fldCharType="end"/>
          </w:r>
        </w:p>
        <w:p w14:paraId="501704B2">
          <w:pPr>
            <w:pStyle w:val="19"/>
            <w:tabs>
              <w:tab w:val="right" w:leader="dot" w:pos="8306"/>
            </w:tabs>
            <w:rPr>
              <w:highlight w:val="none"/>
            </w:rPr>
          </w:pPr>
          <w:r>
            <w:rPr>
              <w:color w:val="auto"/>
              <w:highlight w:val="none"/>
            </w:rPr>
            <w:fldChar w:fldCharType="begin"/>
          </w:r>
          <w:r>
            <w:rPr>
              <w:highlight w:val="none"/>
            </w:rPr>
            <w:instrText xml:space="preserve"> HYPERLINK \l _Toc9417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7综合</w:t>
          </w:r>
          <w:r>
            <w:rPr>
              <w:rFonts w:hint="eastAsia"/>
              <w:szCs w:val="21"/>
              <w:highlight w:val="none"/>
            </w:rPr>
            <w:t>评分（评审）结果</w:t>
          </w:r>
          <w:r>
            <w:rPr>
              <w:highlight w:val="none"/>
            </w:rPr>
            <w:tab/>
          </w:r>
          <w:r>
            <w:rPr>
              <w:highlight w:val="none"/>
            </w:rPr>
            <w:fldChar w:fldCharType="begin"/>
          </w:r>
          <w:r>
            <w:rPr>
              <w:highlight w:val="none"/>
            </w:rPr>
            <w:instrText xml:space="preserve"> PAGEREF _Toc9417 \h </w:instrText>
          </w:r>
          <w:r>
            <w:rPr>
              <w:highlight w:val="none"/>
            </w:rPr>
            <w:fldChar w:fldCharType="separate"/>
          </w:r>
          <w:r>
            <w:rPr>
              <w:highlight w:val="none"/>
            </w:rPr>
            <w:t>64</w:t>
          </w:r>
          <w:r>
            <w:rPr>
              <w:highlight w:val="none"/>
            </w:rPr>
            <w:fldChar w:fldCharType="end"/>
          </w:r>
          <w:r>
            <w:rPr>
              <w:color w:val="auto"/>
              <w:highlight w:val="none"/>
            </w:rPr>
            <w:fldChar w:fldCharType="end"/>
          </w:r>
        </w:p>
        <w:p w14:paraId="53C447E4">
          <w:pPr>
            <w:pStyle w:val="19"/>
            <w:tabs>
              <w:tab w:val="right" w:leader="dot" w:pos="8306"/>
            </w:tabs>
            <w:rPr>
              <w:highlight w:val="none"/>
            </w:rPr>
          </w:pPr>
          <w:r>
            <w:rPr>
              <w:color w:val="auto"/>
              <w:highlight w:val="none"/>
            </w:rPr>
            <w:fldChar w:fldCharType="begin"/>
          </w:r>
          <w:r>
            <w:rPr>
              <w:highlight w:val="none"/>
            </w:rPr>
            <w:instrText xml:space="preserve"> HYPERLINK \l _Toc31676 </w:instrText>
          </w:r>
          <w:r>
            <w:rPr>
              <w:highlight w:val="none"/>
            </w:rPr>
            <w:fldChar w:fldCharType="separate"/>
          </w:r>
          <w:r>
            <w:rPr>
              <w:rFonts w:hint="eastAsia"/>
              <w:highlight w:val="none"/>
            </w:rPr>
            <w:t>A</w:t>
          </w:r>
          <w:r>
            <w:rPr>
              <w:rFonts w:hint="eastAsia"/>
              <w:highlight w:val="none"/>
              <w:lang w:val="en-US" w:eastAsia="zh-CN"/>
            </w:rPr>
            <w:t>6</w:t>
          </w:r>
          <w:r>
            <w:rPr>
              <w:rFonts w:hint="eastAsia"/>
              <w:highlight w:val="none"/>
            </w:rPr>
            <w:t>. 推荐中标候选人</w:t>
          </w:r>
          <w:r>
            <w:rPr>
              <w:highlight w:val="none"/>
            </w:rPr>
            <w:tab/>
          </w:r>
          <w:r>
            <w:rPr>
              <w:highlight w:val="none"/>
            </w:rPr>
            <w:fldChar w:fldCharType="begin"/>
          </w:r>
          <w:r>
            <w:rPr>
              <w:highlight w:val="none"/>
            </w:rPr>
            <w:instrText xml:space="preserve"> PAGEREF _Toc31676 \h </w:instrText>
          </w:r>
          <w:r>
            <w:rPr>
              <w:highlight w:val="none"/>
            </w:rPr>
            <w:fldChar w:fldCharType="separate"/>
          </w:r>
          <w:r>
            <w:rPr>
              <w:highlight w:val="none"/>
            </w:rPr>
            <w:t>64</w:t>
          </w:r>
          <w:r>
            <w:rPr>
              <w:highlight w:val="none"/>
            </w:rPr>
            <w:fldChar w:fldCharType="end"/>
          </w:r>
          <w:r>
            <w:rPr>
              <w:color w:val="auto"/>
              <w:highlight w:val="none"/>
            </w:rPr>
            <w:fldChar w:fldCharType="end"/>
          </w:r>
        </w:p>
        <w:p w14:paraId="22DC3E12">
          <w:pPr>
            <w:pStyle w:val="19"/>
            <w:tabs>
              <w:tab w:val="right" w:leader="dot" w:pos="8306"/>
            </w:tabs>
            <w:rPr>
              <w:highlight w:val="none"/>
            </w:rPr>
          </w:pPr>
          <w:r>
            <w:rPr>
              <w:color w:val="auto"/>
              <w:highlight w:val="none"/>
            </w:rPr>
            <w:fldChar w:fldCharType="begin"/>
          </w:r>
          <w:r>
            <w:rPr>
              <w:highlight w:val="none"/>
            </w:rPr>
            <w:instrText xml:space="preserve"> HYPERLINK \l _Toc9683 </w:instrText>
          </w:r>
          <w:r>
            <w:rPr>
              <w:highlight w:val="none"/>
            </w:rPr>
            <w:fldChar w:fldCharType="separate"/>
          </w:r>
          <w:r>
            <w:rPr>
              <w:rFonts w:hint="eastAsia"/>
              <w:szCs w:val="21"/>
              <w:highlight w:val="none"/>
            </w:rPr>
            <w:t>A</w:t>
          </w:r>
          <w:r>
            <w:rPr>
              <w:rFonts w:hint="eastAsia"/>
              <w:szCs w:val="21"/>
              <w:highlight w:val="none"/>
              <w:lang w:val="en-US" w:eastAsia="zh-CN"/>
            </w:rPr>
            <w:t>6</w:t>
          </w:r>
          <w:r>
            <w:rPr>
              <w:rFonts w:hint="eastAsia"/>
              <w:szCs w:val="21"/>
              <w:highlight w:val="none"/>
            </w:rPr>
            <w:t>.1 推荐中标候选人</w:t>
          </w:r>
          <w:r>
            <w:rPr>
              <w:highlight w:val="none"/>
            </w:rPr>
            <w:tab/>
          </w:r>
          <w:r>
            <w:rPr>
              <w:highlight w:val="none"/>
            </w:rPr>
            <w:fldChar w:fldCharType="begin"/>
          </w:r>
          <w:r>
            <w:rPr>
              <w:highlight w:val="none"/>
            </w:rPr>
            <w:instrText xml:space="preserve"> PAGEREF _Toc9683 \h </w:instrText>
          </w:r>
          <w:r>
            <w:rPr>
              <w:highlight w:val="none"/>
            </w:rPr>
            <w:fldChar w:fldCharType="separate"/>
          </w:r>
          <w:r>
            <w:rPr>
              <w:highlight w:val="none"/>
            </w:rPr>
            <w:t>64</w:t>
          </w:r>
          <w:r>
            <w:rPr>
              <w:highlight w:val="none"/>
            </w:rPr>
            <w:fldChar w:fldCharType="end"/>
          </w:r>
          <w:r>
            <w:rPr>
              <w:color w:val="auto"/>
              <w:highlight w:val="none"/>
            </w:rPr>
            <w:fldChar w:fldCharType="end"/>
          </w:r>
        </w:p>
        <w:p w14:paraId="5A82F554">
          <w:pPr>
            <w:pStyle w:val="19"/>
            <w:tabs>
              <w:tab w:val="right" w:leader="dot" w:pos="8306"/>
            </w:tabs>
            <w:rPr>
              <w:highlight w:val="none"/>
            </w:rPr>
          </w:pPr>
          <w:r>
            <w:rPr>
              <w:color w:val="auto"/>
              <w:highlight w:val="none"/>
            </w:rPr>
            <w:fldChar w:fldCharType="begin"/>
          </w:r>
          <w:r>
            <w:rPr>
              <w:highlight w:val="none"/>
            </w:rPr>
            <w:instrText xml:space="preserve"> HYPERLINK \l _Toc22776 </w:instrText>
          </w:r>
          <w:r>
            <w:rPr>
              <w:highlight w:val="none"/>
            </w:rPr>
            <w:fldChar w:fldCharType="separate"/>
          </w:r>
          <w:r>
            <w:rPr>
              <w:rFonts w:hint="eastAsia"/>
              <w:szCs w:val="21"/>
              <w:highlight w:val="none"/>
            </w:rPr>
            <w:t>A</w:t>
          </w:r>
          <w:r>
            <w:rPr>
              <w:rFonts w:hint="eastAsia"/>
              <w:szCs w:val="21"/>
              <w:highlight w:val="none"/>
              <w:lang w:val="en-US" w:eastAsia="zh-CN"/>
            </w:rPr>
            <w:t>6</w:t>
          </w:r>
          <w:r>
            <w:rPr>
              <w:rFonts w:hint="eastAsia"/>
              <w:szCs w:val="21"/>
              <w:highlight w:val="none"/>
            </w:rPr>
            <w:t>.</w:t>
          </w:r>
          <w:r>
            <w:rPr>
              <w:rFonts w:hint="eastAsia"/>
              <w:szCs w:val="21"/>
              <w:highlight w:val="none"/>
              <w:lang w:val="en-US" w:eastAsia="zh-CN"/>
            </w:rPr>
            <w:t>2</w:t>
          </w:r>
          <w:r>
            <w:rPr>
              <w:rFonts w:hint="eastAsia"/>
              <w:szCs w:val="21"/>
              <w:highlight w:val="none"/>
            </w:rPr>
            <w:t>编制评标报告</w:t>
          </w:r>
          <w:r>
            <w:rPr>
              <w:highlight w:val="none"/>
            </w:rPr>
            <w:tab/>
          </w:r>
          <w:r>
            <w:rPr>
              <w:highlight w:val="none"/>
            </w:rPr>
            <w:fldChar w:fldCharType="begin"/>
          </w:r>
          <w:r>
            <w:rPr>
              <w:highlight w:val="none"/>
            </w:rPr>
            <w:instrText xml:space="preserve"> PAGEREF _Toc22776 \h </w:instrText>
          </w:r>
          <w:r>
            <w:rPr>
              <w:highlight w:val="none"/>
            </w:rPr>
            <w:fldChar w:fldCharType="separate"/>
          </w:r>
          <w:r>
            <w:rPr>
              <w:highlight w:val="none"/>
            </w:rPr>
            <w:t>64</w:t>
          </w:r>
          <w:r>
            <w:rPr>
              <w:highlight w:val="none"/>
            </w:rPr>
            <w:fldChar w:fldCharType="end"/>
          </w:r>
          <w:r>
            <w:rPr>
              <w:color w:val="auto"/>
              <w:highlight w:val="none"/>
            </w:rPr>
            <w:fldChar w:fldCharType="end"/>
          </w:r>
        </w:p>
        <w:p w14:paraId="31355E09">
          <w:pPr>
            <w:pStyle w:val="19"/>
            <w:tabs>
              <w:tab w:val="right" w:leader="dot" w:pos="8306"/>
            </w:tabs>
            <w:rPr>
              <w:highlight w:val="none"/>
            </w:rPr>
          </w:pPr>
          <w:r>
            <w:rPr>
              <w:color w:val="auto"/>
              <w:highlight w:val="none"/>
            </w:rPr>
            <w:fldChar w:fldCharType="begin"/>
          </w:r>
          <w:r>
            <w:rPr>
              <w:highlight w:val="none"/>
            </w:rPr>
            <w:instrText xml:space="preserve"> HYPERLINK \l _Toc32387 </w:instrText>
          </w:r>
          <w:r>
            <w:rPr>
              <w:highlight w:val="none"/>
            </w:rPr>
            <w:fldChar w:fldCharType="separate"/>
          </w:r>
          <w:r>
            <w:rPr>
              <w:rFonts w:hint="eastAsia"/>
              <w:highlight w:val="none"/>
            </w:rPr>
            <w:t>A</w:t>
          </w:r>
          <w:r>
            <w:rPr>
              <w:rFonts w:hint="eastAsia"/>
              <w:highlight w:val="none"/>
              <w:lang w:val="en-US" w:eastAsia="zh-CN"/>
            </w:rPr>
            <w:t>7</w:t>
          </w:r>
          <w:r>
            <w:rPr>
              <w:rFonts w:hint="eastAsia"/>
              <w:highlight w:val="none"/>
            </w:rPr>
            <w:t>．特殊情况的处置程序</w:t>
          </w:r>
          <w:r>
            <w:rPr>
              <w:highlight w:val="none"/>
            </w:rPr>
            <w:tab/>
          </w:r>
          <w:r>
            <w:rPr>
              <w:highlight w:val="none"/>
            </w:rPr>
            <w:fldChar w:fldCharType="begin"/>
          </w:r>
          <w:r>
            <w:rPr>
              <w:highlight w:val="none"/>
            </w:rPr>
            <w:instrText xml:space="preserve"> PAGEREF _Toc32387 \h </w:instrText>
          </w:r>
          <w:r>
            <w:rPr>
              <w:highlight w:val="none"/>
            </w:rPr>
            <w:fldChar w:fldCharType="separate"/>
          </w:r>
          <w:r>
            <w:rPr>
              <w:highlight w:val="none"/>
            </w:rPr>
            <w:t>65</w:t>
          </w:r>
          <w:r>
            <w:rPr>
              <w:highlight w:val="none"/>
            </w:rPr>
            <w:fldChar w:fldCharType="end"/>
          </w:r>
          <w:r>
            <w:rPr>
              <w:color w:val="auto"/>
              <w:highlight w:val="none"/>
            </w:rPr>
            <w:fldChar w:fldCharType="end"/>
          </w:r>
        </w:p>
        <w:p w14:paraId="6EC6A1CB">
          <w:pPr>
            <w:pStyle w:val="19"/>
            <w:tabs>
              <w:tab w:val="right" w:leader="dot" w:pos="8306"/>
            </w:tabs>
            <w:rPr>
              <w:highlight w:val="none"/>
            </w:rPr>
          </w:pPr>
          <w:r>
            <w:rPr>
              <w:color w:val="auto"/>
              <w:highlight w:val="none"/>
            </w:rPr>
            <w:fldChar w:fldCharType="begin"/>
          </w:r>
          <w:r>
            <w:rPr>
              <w:highlight w:val="none"/>
            </w:rPr>
            <w:instrText xml:space="preserve"> HYPERLINK \l _Toc1982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1</w:t>
          </w:r>
          <w:r>
            <w:rPr>
              <w:rFonts w:hint="eastAsia"/>
              <w:szCs w:val="21"/>
              <w:highlight w:val="none"/>
            </w:rPr>
            <w:t>关于评标活动暂停</w:t>
          </w:r>
          <w:r>
            <w:rPr>
              <w:highlight w:val="none"/>
            </w:rPr>
            <w:tab/>
          </w:r>
          <w:r>
            <w:rPr>
              <w:highlight w:val="none"/>
            </w:rPr>
            <w:fldChar w:fldCharType="begin"/>
          </w:r>
          <w:r>
            <w:rPr>
              <w:highlight w:val="none"/>
            </w:rPr>
            <w:instrText xml:space="preserve"> PAGEREF _Toc1982 \h </w:instrText>
          </w:r>
          <w:r>
            <w:rPr>
              <w:highlight w:val="none"/>
            </w:rPr>
            <w:fldChar w:fldCharType="separate"/>
          </w:r>
          <w:r>
            <w:rPr>
              <w:highlight w:val="none"/>
            </w:rPr>
            <w:t>65</w:t>
          </w:r>
          <w:r>
            <w:rPr>
              <w:highlight w:val="none"/>
            </w:rPr>
            <w:fldChar w:fldCharType="end"/>
          </w:r>
          <w:r>
            <w:rPr>
              <w:color w:val="auto"/>
              <w:highlight w:val="none"/>
            </w:rPr>
            <w:fldChar w:fldCharType="end"/>
          </w:r>
        </w:p>
        <w:p w14:paraId="393D30EF">
          <w:pPr>
            <w:pStyle w:val="19"/>
            <w:tabs>
              <w:tab w:val="right" w:leader="dot" w:pos="8306"/>
            </w:tabs>
            <w:rPr>
              <w:highlight w:val="none"/>
            </w:rPr>
          </w:pPr>
          <w:r>
            <w:rPr>
              <w:color w:val="auto"/>
              <w:highlight w:val="none"/>
            </w:rPr>
            <w:fldChar w:fldCharType="begin"/>
          </w:r>
          <w:r>
            <w:rPr>
              <w:highlight w:val="none"/>
            </w:rPr>
            <w:instrText xml:space="preserve"> HYPERLINK \l _Toc26282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2</w:t>
          </w:r>
          <w:r>
            <w:rPr>
              <w:rFonts w:hint="eastAsia"/>
              <w:szCs w:val="21"/>
              <w:highlight w:val="none"/>
            </w:rPr>
            <w:t xml:space="preserve">  关于评标中途更换评标委员会成员</w:t>
          </w:r>
          <w:r>
            <w:rPr>
              <w:highlight w:val="none"/>
            </w:rPr>
            <w:tab/>
          </w:r>
          <w:r>
            <w:rPr>
              <w:highlight w:val="none"/>
            </w:rPr>
            <w:fldChar w:fldCharType="begin"/>
          </w:r>
          <w:r>
            <w:rPr>
              <w:highlight w:val="none"/>
            </w:rPr>
            <w:instrText xml:space="preserve"> PAGEREF _Toc26282 \h </w:instrText>
          </w:r>
          <w:r>
            <w:rPr>
              <w:highlight w:val="none"/>
            </w:rPr>
            <w:fldChar w:fldCharType="separate"/>
          </w:r>
          <w:r>
            <w:rPr>
              <w:highlight w:val="none"/>
            </w:rPr>
            <w:t>65</w:t>
          </w:r>
          <w:r>
            <w:rPr>
              <w:highlight w:val="none"/>
            </w:rPr>
            <w:fldChar w:fldCharType="end"/>
          </w:r>
          <w:r>
            <w:rPr>
              <w:color w:val="auto"/>
              <w:highlight w:val="none"/>
            </w:rPr>
            <w:fldChar w:fldCharType="end"/>
          </w:r>
        </w:p>
        <w:p w14:paraId="19ED2AE6">
          <w:pPr>
            <w:pStyle w:val="19"/>
            <w:tabs>
              <w:tab w:val="right" w:leader="dot" w:pos="8306"/>
            </w:tabs>
            <w:rPr>
              <w:highlight w:val="none"/>
            </w:rPr>
          </w:pPr>
          <w:r>
            <w:rPr>
              <w:color w:val="auto"/>
              <w:highlight w:val="none"/>
            </w:rPr>
            <w:fldChar w:fldCharType="begin"/>
          </w:r>
          <w:r>
            <w:rPr>
              <w:highlight w:val="none"/>
            </w:rPr>
            <w:instrText xml:space="preserve"> HYPERLINK \l _Toc24964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3</w:t>
          </w:r>
          <w:r>
            <w:rPr>
              <w:rFonts w:hint="eastAsia"/>
              <w:szCs w:val="21"/>
              <w:highlight w:val="none"/>
            </w:rPr>
            <w:t xml:space="preserve"> 评标争议处理</w:t>
          </w:r>
          <w:r>
            <w:rPr>
              <w:highlight w:val="none"/>
            </w:rPr>
            <w:tab/>
          </w:r>
          <w:r>
            <w:rPr>
              <w:highlight w:val="none"/>
            </w:rPr>
            <w:fldChar w:fldCharType="begin"/>
          </w:r>
          <w:r>
            <w:rPr>
              <w:highlight w:val="none"/>
            </w:rPr>
            <w:instrText xml:space="preserve"> PAGEREF _Toc24964 \h </w:instrText>
          </w:r>
          <w:r>
            <w:rPr>
              <w:highlight w:val="none"/>
            </w:rPr>
            <w:fldChar w:fldCharType="separate"/>
          </w:r>
          <w:r>
            <w:rPr>
              <w:highlight w:val="none"/>
            </w:rPr>
            <w:t>65</w:t>
          </w:r>
          <w:r>
            <w:rPr>
              <w:highlight w:val="none"/>
            </w:rPr>
            <w:fldChar w:fldCharType="end"/>
          </w:r>
          <w:r>
            <w:rPr>
              <w:color w:val="auto"/>
              <w:highlight w:val="none"/>
            </w:rPr>
            <w:fldChar w:fldCharType="end"/>
          </w:r>
        </w:p>
        <w:p w14:paraId="28C4B588">
          <w:pPr>
            <w:pStyle w:val="19"/>
            <w:tabs>
              <w:tab w:val="right" w:leader="dot" w:pos="8306"/>
            </w:tabs>
            <w:rPr>
              <w:highlight w:val="none"/>
            </w:rPr>
          </w:pPr>
          <w:r>
            <w:rPr>
              <w:color w:val="auto"/>
              <w:highlight w:val="none"/>
            </w:rPr>
            <w:fldChar w:fldCharType="begin"/>
          </w:r>
          <w:r>
            <w:rPr>
              <w:highlight w:val="none"/>
            </w:rPr>
            <w:instrText xml:space="preserve"> HYPERLINK \l _Toc21449 </w:instrText>
          </w:r>
          <w:r>
            <w:rPr>
              <w:highlight w:val="none"/>
            </w:rPr>
            <w:fldChar w:fldCharType="separate"/>
          </w:r>
          <w:r>
            <w:rPr>
              <w:rFonts w:hint="eastAsia"/>
              <w:highlight w:val="none"/>
            </w:rPr>
            <w:t>A</w:t>
          </w:r>
          <w:r>
            <w:rPr>
              <w:rFonts w:hint="eastAsia"/>
              <w:highlight w:val="none"/>
              <w:lang w:val="en-US" w:eastAsia="zh-CN"/>
            </w:rPr>
            <w:t>8</w:t>
          </w:r>
          <w:r>
            <w:rPr>
              <w:rFonts w:hint="eastAsia"/>
              <w:highlight w:val="none"/>
            </w:rPr>
            <w:t>.补充条款</w:t>
          </w:r>
          <w:r>
            <w:rPr>
              <w:highlight w:val="none"/>
            </w:rPr>
            <w:tab/>
          </w:r>
          <w:r>
            <w:rPr>
              <w:highlight w:val="none"/>
            </w:rPr>
            <w:fldChar w:fldCharType="begin"/>
          </w:r>
          <w:r>
            <w:rPr>
              <w:highlight w:val="none"/>
            </w:rPr>
            <w:instrText xml:space="preserve"> PAGEREF _Toc21449 \h </w:instrText>
          </w:r>
          <w:r>
            <w:rPr>
              <w:highlight w:val="none"/>
            </w:rPr>
            <w:fldChar w:fldCharType="separate"/>
          </w:r>
          <w:r>
            <w:rPr>
              <w:highlight w:val="none"/>
            </w:rPr>
            <w:t>65</w:t>
          </w:r>
          <w:r>
            <w:rPr>
              <w:highlight w:val="none"/>
            </w:rPr>
            <w:fldChar w:fldCharType="end"/>
          </w:r>
          <w:r>
            <w:rPr>
              <w:color w:val="auto"/>
              <w:highlight w:val="none"/>
            </w:rPr>
            <w:fldChar w:fldCharType="end"/>
          </w:r>
        </w:p>
        <w:p w14:paraId="00341643">
          <w:pPr>
            <w:pStyle w:val="19"/>
            <w:tabs>
              <w:tab w:val="right" w:leader="dot" w:pos="8306"/>
            </w:tabs>
            <w:rPr>
              <w:highlight w:val="none"/>
            </w:rPr>
          </w:pPr>
          <w:r>
            <w:rPr>
              <w:color w:val="auto"/>
              <w:highlight w:val="none"/>
            </w:rPr>
            <w:fldChar w:fldCharType="begin"/>
          </w:r>
          <w:r>
            <w:rPr>
              <w:highlight w:val="none"/>
            </w:rPr>
            <w:instrText xml:space="preserve"> HYPERLINK \l _Toc5998 </w:instrText>
          </w:r>
          <w:r>
            <w:rPr>
              <w:highlight w:val="none"/>
            </w:rPr>
            <w:fldChar w:fldCharType="separate"/>
          </w:r>
          <w:r>
            <w:rPr>
              <w:rFonts w:hint="eastAsia"/>
              <w:highlight w:val="none"/>
            </w:rPr>
            <w:t>附表A-1：评标委员会签到表</w:t>
          </w:r>
          <w:r>
            <w:rPr>
              <w:highlight w:val="none"/>
            </w:rPr>
            <w:tab/>
          </w:r>
          <w:r>
            <w:rPr>
              <w:highlight w:val="none"/>
            </w:rPr>
            <w:fldChar w:fldCharType="begin"/>
          </w:r>
          <w:r>
            <w:rPr>
              <w:highlight w:val="none"/>
            </w:rPr>
            <w:instrText xml:space="preserve"> PAGEREF _Toc5998 \h </w:instrText>
          </w:r>
          <w:r>
            <w:rPr>
              <w:highlight w:val="none"/>
            </w:rPr>
            <w:fldChar w:fldCharType="separate"/>
          </w:r>
          <w:r>
            <w:rPr>
              <w:highlight w:val="none"/>
            </w:rPr>
            <w:t>66</w:t>
          </w:r>
          <w:r>
            <w:rPr>
              <w:highlight w:val="none"/>
            </w:rPr>
            <w:fldChar w:fldCharType="end"/>
          </w:r>
          <w:r>
            <w:rPr>
              <w:color w:val="auto"/>
              <w:highlight w:val="none"/>
            </w:rPr>
            <w:fldChar w:fldCharType="end"/>
          </w:r>
        </w:p>
        <w:p w14:paraId="0315D1B4">
          <w:pPr>
            <w:pStyle w:val="19"/>
            <w:tabs>
              <w:tab w:val="right" w:leader="dot" w:pos="8306"/>
            </w:tabs>
            <w:rPr>
              <w:highlight w:val="none"/>
            </w:rPr>
          </w:pPr>
          <w:r>
            <w:rPr>
              <w:color w:val="auto"/>
              <w:highlight w:val="none"/>
            </w:rPr>
            <w:fldChar w:fldCharType="begin"/>
          </w:r>
          <w:r>
            <w:rPr>
              <w:highlight w:val="none"/>
            </w:rPr>
            <w:instrText xml:space="preserve"> HYPERLINK \l _Toc29779 </w:instrText>
          </w:r>
          <w:r>
            <w:rPr>
              <w:highlight w:val="none"/>
            </w:rPr>
            <w:fldChar w:fldCharType="separate"/>
          </w:r>
          <w:r>
            <w:rPr>
              <w:rFonts w:hint="eastAsia"/>
              <w:highlight w:val="none"/>
            </w:rPr>
            <w:t>附表A-2：评标专家声明书</w:t>
          </w:r>
          <w:r>
            <w:rPr>
              <w:highlight w:val="none"/>
            </w:rPr>
            <w:tab/>
          </w:r>
          <w:r>
            <w:rPr>
              <w:highlight w:val="none"/>
            </w:rPr>
            <w:fldChar w:fldCharType="begin"/>
          </w:r>
          <w:r>
            <w:rPr>
              <w:highlight w:val="none"/>
            </w:rPr>
            <w:instrText xml:space="preserve"> PAGEREF _Toc29779 \h </w:instrText>
          </w:r>
          <w:r>
            <w:rPr>
              <w:highlight w:val="none"/>
            </w:rPr>
            <w:fldChar w:fldCharType="separate"/>
          </w:r>
          <w:r>
            <w:rPr>
              <w:highlight w:val="none"/>
            </w:rPr>
            <w:t>67</w:t>
          </w:r>
          <w:r>
            <w:rPr>
              <w:highlight w:val="none"/>
            </w:rPr>
            <w:fldChar w:fldCharType="end"/>
          </w:r>
          <w:r>
            <w:rPr>
              <w:color w:val="auto"/>
              <w:highlight w:val="none"/>
            </w:rPr>
            <w:fldChar w:fldCharType="end"/>
          </w:r>
        </w:p>
        <w:p w14:paraId="5ADD025E">
          <w:pPr>
            <w:pStyle w:val="19"/>
            <w:tabs>
              <w:tab w:val="right" w:leader="dot" w:pos="8306"/>
            </w:tabs>
            <w:rPr>
              <w:highlight w:val="none"/>
            </w:rPr>
          </w:pPr>
          <w:r>
            <w:rPr>
              <w:color w:val="auto"/>
              <w:highlight w:val="none"/>
            </w:rPr>
            <w:fldChar w:fldCharType="begin"/>
          </w:r>
          <w:r>
            <w:rPr>
              <w:highlight w:val="none"/>
            </w:rPr>
            <w:instrText xml:space="preserve"> HYPERLINK \l _Toc16535 </w:instrText>
          </w:r>
          <w:r>
            <w:rPr>
              <w:highlight w:val="none"/>
            </w:rPr>
            <w:fldChar w:fldCharType="separate"/>
          </w:r>
          <w:r>
            <w:rPr>
              <w:rFonts w:hint="eastAsia"/>
              <w:highlight w:val="none"/>
            </w:rPr>
            <w:t>附表A-3：技术评审（暗标）记录表（评分）</w:t>
          </w:r>
          <w:r>
            <w:rPr>
              <w:highlight w:val="none"/>
            </w:rPr>
            <w:tab/>
          </w:r>
          <w:r>
            <w:rPr>
              <w:highlight w:val="none"/>
            </w:rPr>
            <w:fldChar w:fldCharType="begin"/>
          </w:r>
          <w:r>
            <w:rPr>
              <w:highlight w:val="none"/>
            </w:rPr>
            <w:instrText xml:space="preserve"> PAGEREF _Toc16535 \h </w:instrText>
          </w:r>
          <w:r>
            <w:rPr>
              <w:highlight w:val="none"/>
            </w:rPr>
            <w:fldChar w:fldCharType="separate"/>
          </w:r>
          <w:r>
            <w:rPr>
              <w:highlight w:val="none"/>
            </w:rPr>
            <w:t>68</w:t>
          </w:r>
          <w:r>
            <w:rPr>
              <w:highlight w:val="none"/>
            </w:rPr>
            <w:fldChar w:fldCharType="end"/>
          </w:r>
          <w:r>
            <w:rPr>
              <w:color w:val="auto"/>
              <w:highlight w:val="none"/>
            </w:rPr>
            <w:fldChar w:fldCharType="end"/>
          </w:r>
        </w:p>
        <w:p w14:paraId="72623CFC">
          <w:pPr>
            <w:pStyle w:val="19"/>
            <w:tabs>
              <w:tab w:val="right" w:leader="dot" w:pos="8306"/>
            </w:tabs>
            <w:rPr>
              <w:highlight w:val="none"/>
            </w:rPr>
          </w:pPr>
          <w:r>
            <w:rPr>
              <w:color w:val="auto"/>
              <w:highlight w:val="none"/>
            </w:rPr>
            <w:fldChar w:fldCharType="begin"/>
          </w:r>
          <w:r>
            <w:rPr>
              <w:highlight w:val="none"/>
            </w:rPr>
            <w:instrText xml:space="preserve"> HYPERLINK \l _Toc25502 </w:instrText>
          </w:r>
          <w:r>
            <w:rPr>
              <w:highlight w:val="none"/>
            </w:rPr>
            <w:fldChar w:fldCharType="separate"/>
          </w:r>
          <w:r>
            <w:rPr>
              <w:rFonts w:hint="eastAsia"/>
              <w:highlight w:val="none"/>
            </w:rPr>
            <w:t>附表A-4：技术暗标编号确认表</w:t>
          </w:r>
          <w:r>
            <w:rPr>
              <w:highlight w:val="none"/>
            </w:rPr>
            <w:tab/>
          </w:r>
          <w:r>
            <w:rPr>
              <w:highlight w:val="none"/>
            </w:rPr>
            <w:fldChar w:fldCharType="begin"/>
          </w:r>
          <w:r>
            <w:rPr>
              <w:highlight w:val="none"/>
            </w:rPr>
            <w:instrText xml:space="preserve"> PAGEREF _Toc25502 \h </w:instrText>
          </w:r>
          <w:r>
            <w:rPr>
              <w:highlight w:val="none"/>
            </w:rPr>
            <w:fldChar w:fldCharType="separate"/>
          </w:r>
          <w:r>
            <w:rPr>
              <w:highlight w:val="none"/>
            </w:rPr>
            <w:t>69</w:t>
          </w:r>
          <w:r>
            <w:rPr>
              <w:highlight w:val="none"/>
            </w:rPr>
            <w:fldChar w:fldCharType="end"/>
          </w:r>
          <w:r>
            <w:rPr>
              <w:color w:val="auto"/>
              <w:highlight w:val="none"/>
            </w:rPr>
            <w:fldChar w:fldCharType="end"/>
          </w:r>
        </w:p>
        <w:p w14:paraId="25AEABA3">
          <w:pPr>
            <w:pStyle w:val="19"/>
            <w:tabs>
              <w:tab w:val="right" w:leader="dot" w:pos="8306"/>
            </w:tabs>
            <w:rPr>
              <w:highlight w:val="none"/>
            </w:rPr>
          </w:pPr>
          <w:r>
            <w:rPr>
              <w:color w:val="auto"/>
              <w:highlight w:val="none"/>
            </w:rPr>
            <w:fldChar w:fldCharType="begin"/>
          </w:r>
          <w:r>
            <w:rPr>
              <w:highlight w:val="none"/>
            </w:rPr>
            <w:instrText xml:space="preserve"> HYPERLINK \l _Toc4354 </w:instrText>
          </w:r>
          <w:r>
            <w:rPr>
              <w:highlight w:val="none"/>
            </w:rPr>
            <w:fldChar w:fldCharType="separate"/>
          </w:r>
          <w:r>
            <w:rPr>
              <w:rFonts w:hint="eastAsia"/>
              <w:highlight w:val="none"/>
            </w:rPr>
            <w:t>附表A-5：形式评审记录表</w:t>
          </w:r>
          <w:r>
            <w:rPr>
              <w:highlight w:val="none"/>
            </w:rPr>
            <w:tab/>
          </w:r>
          <w:r>
            <w:rPr>
              <w:highlight w:val="none"/>
            </w:rPr>
            <w:fldChar w:fldCharType="begin"/>
          </w:r>
          <w:r>
            <w:rPr>
              <w:highlight w:val="none"/>
            </w:rPr>
            <w:instrText xml:space="preserve"> PAGEREF _Toc4354 \h </w:instrText>
          </w:r>
          <w:r>
            <w:rPr>
              <w:highlight w:val="none"/>
            </w:rPr>
            <w:fldChar w:fldCharType="separate"/>
          </w:r>
          <w:r>
            <w:rPr>
              <w:highlight w:val="none"/>
            </w:rPr>
            <w:t>70</w:t>
          </w:r>
          <w:r>
            <w:rPr>
              <w:highlight w:val="none"/>
            </w:rPr>
            <w:fldChar w:fldCharType="end"/>
          </w:r>
          <w:r>
            <w:rPr>
              <w:color w:val="auto"/>
              <w:highlight w:val="none"/>
            </w:rPr>
            <w:fldChar w:fldCharType="end"/>
          </w:r>
        </w:p>
        <w:p w14:paraId="2122FFFF">
          <w:pPr>
            <w:pStyle w:val="19"/>
            <w:tabs>
              <w:tab w:val="right" w:leader="dot" w:pos="8306"/>
            </w:tabs>
            <w:rPr>
              <w:highlight w:val="none"/>
            </w:rPr>
          </w:pPr>
          <w:r>
            <w:rPr>
              <w:color w:val="auto"/>
              <w:highlight w:val="none"/>
            </w:rPr>
            <w:fldChar w:fldCharType="begin"/>
          </w:r>
          <w:r>
            <w:rPr>
              <w:highlight w:val="none"/>
            </w:rPr>
            <w:instrText xml:space="preserve"> HYPERLINK \l _Toc31648 </w:instrText>
          </w:r>
          <w:r>
            <w:rPr>
              <w:highlight w:val="none"/>
            </w:rPr>
            <w:fldChar w:fldCharType="separate"/>
          </w:r>
          <w:r>
            <w:rPr>
              <w:rFonts w:hint="eastAsia"/>
              <w:highlight w:val="none"/>
            </w:rPr>
            <w:t>附表A-6：资格评审记录表</w:t>
          </w:r>
          <w:r>
            <w:rPr>
              <w:highlight w:val="none"/>
            </w:rPr>
            <w:tab/>
          </w:r>
          <w:r>
            <w:rPr>
              <w:highlight w:val="none"/>
            </w:rPr>
            <w:fldChar w:fldCharType="begin"/>
          </w:r>
          <w:r>
            <w:rPr>
              <w:highlight w:val="none"/>
            </w:rPr>
            <w:instrText xml:space="preserve"> PAGEREF _Toc31648 \h </w:instrText>
          </w:r>
          <w:r>
            <w:rPr>
              <w:highlight w:val="none"/>
            </w:rPr>
            <w:fldChar w:fldCharType="separate"/>
          </w:r>
          <w:r>
            <w:rPr>
              <w:highlight w:val="none"/>
            </w:rPr>
            <w:t>71</w:t>
          </w:r>
          <w:r>
            <w:rPr>
              <w:highlight w:val="none"/>
            </w:rPr>
            <w:fldChar w:fldCharType="end"/>
          </w:r>
          <w:r>
            <w:rPr>
              <w:color w:val="auto"/>
              <w:highlight w:val="none"/>
            </w:rPr>
            <w:fldChar w:fldCharType="end"/>
          </w:r>
        </w:p>
        <w:p w14:paraId="209F0C9D">
          <w:pPr>
            <w:pStyle w:val="19"/>
            <w:tabs>
              <w:tab w:val="right" w:leader="dot" w:pos="8306"/>
            </w:tabs>
            <w:rPr>
              <w:highlight w:val="none"/>
            </w:rPr>
          </w:pPr>
          <w:r>
            <w:rPr>
              <w:color w:val="auto"/>
              <w:highlight w:val="none"/>
            </w:rPr>
            <w:fldChar w:fldCharType="begin"/>
          </w:r>
          <w:r>
            <w:rPr>
              <w:highlight w:val="none"/>
            </w:rPr>
            <w:instrText xml:space="preserve"> HYPERLINK \l _Toc220 </w:instrText>
          </w:r>
          <w:r>
            <w:rPr>
              <w:highlight w:val="none"/>
            </w:rPr>
            <w:fldChar w:fldCharType="separate"/>
          </w:r>
          <w:r>
            <w:rPr>
              <w:rFonts w:hint="eastAsia"/>
              <w:highlight w:val="none"/>
            </w:rPr>
            <w:t>附表A-6-1：资格审查更新资料评审记录表</w:t>
          </w:r>
          <w:r>
            <w:rPr>
              <w:highlight w:val="none"/>
            </w:rPr>
            <w:tab/>
          </w:r>
          <w:r>
            <w:rPr>
              <w:highlight w:val="none"/>
            </w:rPr>
            <w:fldChar w:fldCharType="begin"/>
          </w:r>
          <w:r>
            <w:rPr>
              <w:highlight w:val="none"/>
            </w:rPr>
            <w:instrText xml:space="preserve"> PAGEREF _Toc220 \h </w:instrText>
          </w:r>
          <w:r>
            <w:rPr>
              <w:highlight w:val="none"/>
            </w:rPr>
            <w:fldChar w:fldCharType="separate"/>
          </w:r>
          <w:r>
            <w:rPr>
              <w:highlight w:val="none"/>
            </w:rPr>
            <w:t>73</w:t>
          </w:r>
          <w:r>
            <w:rPr>
              <w:highlight w:val="none"/>
            </w:rPr>
            <w:fldChar w:fldCharType="end"/>
          </w:r>
          <w:r>
            <w:rPr>
              <w:color w:val="auto"/>
              <w:highlight w:val="none"/>
            </w:rPr>
            <w:fldChar w:fldCharType="end"/>
          </w:r>
        </w:p>
        <w:p w14:paraId="43B47124">
          <w:pPr>
            <w:pStyle w:val="19"/>
            <w:tabs>
              <w:tab w:val="right" w:leader="dot" w:pos="8306"/>
            </w:tabs>
            <w:rPr>
              <w:highlight w:val="none"/>
            </w:rPr>
          </w:pPr>
          <w:r>
            <w:rPr>
              <w:color w:val="auto"/>
              <w:highlight w:val="none"/>
            </w:rPr>
            <w:fldChar w:fldCharType="begin"/>
          </w:r>
          <w:r>
            <w:rPr>
              <w:highlight w:val="none"/>
            </w:rPr>
            <w:instrText xml:space="preserve"> HYPERLINK \l _Toc2453 </w:instrText>
          </w:r>
          <w:r>
            <w:rPr>
              <w:highlight w:val="none"/>
            </w:rPr>
            <w:fldChar w:fldCharType="separate"/>
          </w:r>
          <w:r>
            <w:rPr>
              <w:rFonts w:hint="eastAsia"/>
              <w:highlight w:val="none"/>
            </w:rPr>
            <w:t>附表A-7：响应性评审记录表</w:t>
          </w:r>
          <w:r>
            <w:rPr>
              <w:highlight w:val="none"/>
            </w:rPr>
            <w:tab/>
          </w:r>
          <w:r>
            <w:rPr>
              <w:highlight w:val="none"/>
            </w:rPr>
            <w:fldChar w:fldCharType="begin"/>
          </w:r>
          <w:r>
            <w:rPr>
              <w:highlight w:val="none"/>
            </w:rPr>
            <w:instrText xml:space="preserve"> PAGEREF _Toc2453 \h </w:instrText>
          </w:r>
          <w:r>
            <w:rPr>
              <w:highlight w:val="none"/>
            </w:rPr>
            <w:fldChar w:fldCharType="separate"/>
          </w:r>
          <w:r>
            <w:rPr>
              <w:highlight w:val="none"/>
            </w:rPr>
            <w:t>75</w:t>
          </w:r>
          <w:r>
            <w:rPr>
              <w:highlight w:val="none"/>
            </w:rPr>
            <w:fldChar w:fldCharType="end"/>
          </w:r>
          <w:r>
            <w:rPr>
              <w:color w:val="auto"/>
              <w:highlight w:val="none"/>
            </w:rPr>
            <w:fldChar w:fldCharType="end"/>
          </w:r>
        </w:p>
        <w:p w14:paraId="1531A6CA">
          <w:pPr>
            <w:pStyle w:val="19"/>
            <w:tabs>
              <w:tab w:val="right" w:leader="dot" w:pos="8306"/>
            </w:tabs>
            <w:rPr>
              <w:highlight w:val="none"/>
            </w:rPr>
          </w:pPr>
          <w:r>
            <w:rPr>
              <w:color w:val="auto"/>
              <w:highlight w:val="none"/>
            </w:rPr>
            <w:fldChar w:fldCharType="begin"/>
          </w:r>
          <w:r>
            <w:rPr>
              <w:highlight w:val="none"/>
            </w:rPr>
            <w:instrText xml:space="preserve"> HYPERLINK \l _Toc12047 </w:instrText>
          </w:r>
          <w:r>
            <w:rPr>
              <w:highlight w:val="none"/>
            </w:rPr>
            <w:fldChar w:fldCharType="separate"/>
          </w:r>
          <w:r>
            <w:rPr>
              <w:rFonts w:hint="eastAsia"/>
              <w:highlight w:val="none"/>
            </w:rPr>
            <w:t>附表A-</w:t>
          </w:r>
          <w:r>
            <w:rPr>
              <w:rFonts w:hint="eastAsia"/>
              <w:highlight w:val="none"/>
              <w:lang w:val="en-US" w:eastAsia="zh-CN"/>
            </w:rPr>
            <w:t>8</w:t>
          </w:r>
          <w:r>
            <w:rPr>
              <w:rFonts w:hint="eastAsia"/>
              <w:highlight w:val="none"/>
            </w:rPr>
            <w:t>：</w:t>
          </w:r>
          <w:r>
            <w:rPr>
              <w:rFonts w:hint="eastAsia"/>
              <w:highlight w:val="none"/>
              <w:lang w:val="en-US" w:eastAsia="zh-CN"/>
            </w:rPr>
            <w:t>承包人建议书</w:t>
          </w:r>
          <w:r>
            <w:rPr>
              <w:rFonts w:hint="eastAsia"/>
              <w:highlight w:val="none"/>
            </w:rPr>
            <w:t>评审记录表</w:t>
          </w:r>
          <w:r>
            <w:rPr>
              <w:highlight w:val="none"/>
            </w:rPr>
            <w:tab/>
          </w:r>
          <w:r>
            <w:rPr>
              <w:highlight w:val="none"/>
            </w:rPr>
            <w:fldChar w:fldCharType="begin"/>
          </w:r>
          <w:r>
            <w:rPr>
              <w:highlight w:val="none"/>
            </w:rPr>
            <w:instrText xml:space="preserve"> PAGEREF _Toc12047 \h </w:instrText>
          </w:r>
          <w:r>
            <w:rPr>
              <w:highlight w:val="none"/>
            </w:rPr>
            <w:fldChar w:fldCharType="separate"/>
          </w:r>
          <w:r>
            <w:rPr>
              <w:highlight w:val="none"/>
            </w:rPr>
            <w:t>77</w:t>
          </w:r>
          <w:r>
            <w:rPr>
              <w:highlight w:val="none"/>
            </w:rPr>
            <w:fldChar w:fldCharType="end"/>
          </w:r>
          <w:r>
            <w:rPr>
              <w:color w:val="auto"/>
              <w:highlight w:val="none"/>
            </w:rPr>
            <w:fldChar w:fldCharType="end"/>
          </w:r>
        </w:p>
        <w:p w14:paraId="11729E3B">
          <w:pPr>
            <w:pStyle w:val="19"/>
            <w:tabs>
              <w:tab w:val="right" w:leader="dot" w:pos="8306"/>
            </w:tabs>
            <w:rPr>
              <w:highlight w:val="none"/>
            </w:rPr>
          </w:pPr>
          <w:r>
            <w:rPr>
              <w:color w:val="auto"/>
              <w:highlight w:val="none"/>
            </w:rPr>
            <w:fldChar w:fldCharType="begin"/>
          </w:r>
          <w:r>
            <w:rPr>
              <w:highlight w:val="none"/>
            </w:rPr>
            <w:instrText xml:space="preserve"> HYPERLINK \l _Toc9434 </w:instrText>
          </w:r>
          <w:r>
            <w:rPr>
              <w:highlight w:val="none"/>
            </w:rPr>
            <w:fldChar w:fldCharType="separate"/>
          </w:r>
          <w:r>
            <w:rPr>
              <w:rFonts w:hint="eastAsia"/>
              <w:highlight w:val="none"/>
            </w:rPr>
            <w:t>附表A-</w:t>
          </w:r>
          <w:r>
            <w:rPr>
              <w:rFonts w:hint="eastAsia"/>
              <w:highlight w:val="none"/>
              <w:lang w:val="en-US" w:eastAsia="zh-CN"/>
            </w:rPr>
            <w:t>9</w:t>
          </w:r>
          <w:r>
            <w:rPr>
              <w:rFonts w:hint="eastAsia"/>
              <w:highlight w:val="none"/>
            </w:rPr>
            <w:t>：</w:t>
          </w:r>
          <w:r>
            <w:rPr>
              <w:rFonts w:hint="eastAsia"/>
              <w:highlight w:val="none"/>
              <w:lang w:val="en-US" w:eastAsia="zh-CN"/>
            </w:rPr>
            <w:t>资信业绩</w:t>
          </w:r>
          <w:r>
            <w:rPr>
              <w:rFonts w:hint="eastAsia"/>
              <w:highlight w:val="none"/>
            </w:rPr>
            <w:t>评审记录表</w:t>
          </w:r>
          <w:r>
            <w:rPr>
              <w:highlight w:val="none"/>
            </w:rPr>
            <w:tab/>
          </w:r>
          <w:r>
            <w:rPr>
              <w:highlight w:val="none"/>
            </w:rPr>
            <w:fldChar w:fldCharType="begin"/>
          </w:r>
          <w:r>
            <w:rPr>
              <w:highlight w:val="none"/>
            </w:rPr>
            <w:instrText xml:space="preserve"> PAGEREF _Toc9434 \h </w:instrText>
          </w:r>
          <w:r>
            <w:rPr>
              <w:highlight w:val="none"/>
            </w:rPr>
            <w:fldChar w:fldCharType="separate"/>
          </w:r>
          <w:r>
            <w:rPr>
              <w:highlight w:val="none"/>
            </w:rPr>
            <w:t>78</w:t>
          </w:r>
          <w:r>
            <w:rPr>
              <w:highlight w:val="none"/>
            </w:rPr>
            <w:fldChar w:fldCharType="end"/>
          </w:r>
          <w:r>
            <w:rPr>
              <w:color w:val="auto"/>
              <w:highlight w:val="none"/>
            </w:rPr>
            <w:fldChar w:fldCharType="end"/>
          </w:r>
        </w:p>
        <w:p w14:paraId="2342E9BB">
          <w:pPr>
            <w:pStyle w:val="19"/>
            <w:tabs>
              <w:tab w:val="right" w:leader="dot" w:pos="8306"/>
            </w:tabs>
            <w:rPr>
              <w:highlight w:val="none"/>
            </w:rPr>
          </w:pPr>
          <w:r>
            <w:rPr>
              <w:color w:val="auto"/>
              <w:highlight w:val="none"/>
            </w:rPr>
            <w:fldChar w:fldCharType="begin"/>
          </w:r>
          <w:r>
            <w:rPr>
              <w:highlight w:val="none"/>
            </w:rPr>
            <w:instrText xml:space="preserve"> HYPERLINK \l _Toc24894 </w:instrText>
          </w:r>
          <w:r>
            <w:rPr>
              <w:highlight w:val="none"/>
            </w:rPr>
            <w:fldChar w:fldCharType="separate"/>
          </w:r>
          <w:r>
            <w:rPr>
              <w:rFonts w:hint="eastAsia"/>
              <w:highlight w:val="none"/>
            </w:rPr>
            <w:t>附表A-</w:t>
          </w:r>
          <w:r>
            <w:rPr>
              <w:rFonts w:hint="eastAsia"/>
              <w:highlight w:val="none"/>
              <w:lang w:val="en-US" w:eastAsia="zh-CN"/>
            </w:rPr>
            <w:t>10</w:t>
          </w:r>
          <w:r>
            <w:rPr>
              <w:rFonts w:hint="eastAsia"/>
              <w:highlight w:val="none"/>
            </w:rPr>
            <w:t>：</w:t>
          </w:r>
          <w:r>
            <w:rPr>
              <w:rFonts w:hint="eastAsia"/>
              <w:highlight w:val="none"/>
              <w:lang w:val="en-US" w:eastAsia="zh-CN"/>
            </w:rPr>
            <w:t>其他因素</w:t>
          </w:r>
          <w:r>
            <w:rPr>
              <w:rFonts w:hint="eastAsia"/>
              <w:highlight w:val="none"/>
            </w:rPr>
            <w:t>评审记录表</w:t>
          </w:r>
          <w:r>
            <w:rPr>
              <w:highlight w:val="none"/>
            </w:rPr>
            <w:tab/>
          </w:r>
          <w:r>
            <w:rPr>
              <w:highlight w:val="none"/>
            </w:rPr>
            <w:fldChar w:fldCharType="begin"/>
          </w:r>
          <w:r>
            <w:rPr>
              <w:highlight w:val="none"/>
            </w:rPr>
            <w:instrText xml:space="preserve"> PAGEREF _Toc24894 \h </w:instrText>
          </w:r>
          <w:r>
            <w:rPr>
              <w:highlight w:val="none"/>
            </w:rPr>
            <w:fldChar w:fldCharType="separate"/>
          </w:r>
          <w:r>
            <w:rPr>
              <w:highlight w:val="none"/>
            </w:rPr>
            <w:t>79</w:t>
          </w:r>
          <w:r>
            <w:rPr>
              <w:highlight w:val="none"/>
            </w:rPr>
            <w:fldChar w:fldCharType="end"/>
          </w:r>
          <w:r>
            <w:rPr>
              <w:color w:val="auto"/>
              <w:highlight w:val="none"/>
            </w:rPr>
            <w:fldChar w:fldCharType="end"/>
          </w:r>
        </w:p>
        <w:p w14:paraId="3629BC32">
          <w:pPr>
            <w:pStyle w:val="19"/>
            <w:tabs>
              <w:tab w:val="right" w:leader="dot" w:pos="8306"/>
            </w:tabs>
            <w:rPr>
              <w:highlight w:val="none"/>
            </w:rPr>
          </w:pPr>
          <w:r>
            <w:rPr>
              <w:color w:val="auto"/>
              <w:highlight w:val="none"/>
            </w:rPr>
            <w:fldChar w:fldCharType="begin"/>
          </w:r>
          <w:r>
            <w:rPr>
              <w:highlight w:val="none"/>
            </w:rPr>
            <w:instrText xml:space="preserve"> HYPERLINK \l _Toc8568 </w:instrText>
          </w:r>
          <w:r>
            <w:rPr>
              <w:highlight w:val="none"/>
            </w:rPr>
            <w:fldChar w:fldCharType="separate"/>
          </w:r>
          <w:r>
            <w:rPr>
              <w:rFonts w:hint="eastAsia"/>
              <w:highlight w:val="none"/>
            </w:rPr>
            <w:t>附表A-</w:t>
          </w:r>
          <w:r>
            <w:rPr>
              <w:rFonts w:hint="eastAsia"/>
              <w:highlight w:val="none"/>
              <w:lang w:val="en-US" w:eastAsia="zh-CN"/>
            </w:rPr>
            <w:t>11</w:t>
          </w:r>
          <w:r>
            <w:rPr>
              <w:rFonts w:hint="eastAsia"/>
              <w:highlight w:val="none"/>
            </w:rPr>
            <w:t>：投标报价评分记录表</w:t>
          </w:r>
          <w:r>
            <w:rPr>
              <w:highlight w:val="none"/>
            </w:rPr>
            <w:tab/>
          </w:r>
          <w:r>
            <w:rPr>
              <w:highlight w:val="none"/>
            </w:rPr>
            <w:fldChar w:fldCharType="begin"/>
          </w:r>
          <w:r>
            <w:rPr>
              <w:highlight w:val="none"/>
            </w:rPr>
            <w:instrText xml:space="preserve"> PAGEREF _Toc8568 \h </w:instrText>
          </w:r>
          <w:r>
            <w:rPr>
              <w:highlight w:val="none"/>
            </w:rPr>
            <w:fldChar w:fldCharType="separate"/>
          </w:r>
          <w:r>
            <w:rPr>
              <w:highlight w:val="none"/>
            </w:rPr>
            <w:t>80</w:t>
          </w:r>
          <w:r>
            <w:rPr>
              <w:highlight w:val="none"/>
            </w:rPr>
            <w:fldChar w:fldCharType="end"/>
          </w:r>
          <w:r>
            <w:rPr>
              <w:color w:val="auto"/>
              <w:highlight w:val="none"/>
            </w:rPr>
            <w:fldChar w:fldCharType="end"/>
          </w:r>
        </w:p>
        <w:p w14:paraId="02DC0CFB">
          <w:pPr>
            <w:pStyle w:val="19"/>
            <w:tabs>
              <w:tab w:val="right" w:leader="dot" w:pos="8306"/>
            </w:tabs>
            <w:rPr>
              <w:highlight w:val="none"/>
            </w:rPr>
          </w:pPr>
          <w:r>
            <w:rPr>
              <w:color w:val="auto"/>
              <w:highlight w:val="none"/>
            </w:rPr>
            <w:fldChar w:fldCharType="begin"/>
          </w:r>
          <w:r>
            <w:rPr>
              <w:highlight w:val="none"/>
            </w:rPr>
            <w:instrText xml:space="preserve"> HYPERLINK \l _Toc21644 </w:instrText>
          </w:r>
          <w:r>
            <w:rPr>
              <w:highlight w:val="none"/>
            </w:rPr>
            <w:fldChar w:fldCharType="separate"/>
          </w:r>
          <w:r>
            <w:rPr>
              <w:rFonts w:hint="eastAsia" w:eastAsia="宋体"/>
              <w:highlight w:val="none"/>
            </w:rPr>
            <w:t>附表A-</w:t>
          </w:r>
          <w:r>
            <w:rPr>
              <w:rFonts w:hint="eastAsia" w:eastAsia="宋体"/>
              <w:highlight w:val="none"/>
              <w:lang w:val="en-US" w:eastAsia="zh-CN"/>
            </w:rPr>
            <w:t>12</w:t>
          </w:r>
          <w:r>
            <w:rPr>
              <w:rFonts w:hint="eastAsia" w:eastAsia="宋体"/>
              <w:highlight w:val="none"/>
            </w:rPr>
            <w:t>：</w:t>
          </w:r>
          <w:r>
            <w:rPr>
              <w:rFonts w:hint="eastAsia"/>
              <w:highlight w:val="none"/>
            </w:rPr>
            <w:t>否决投标的情况说明表</w:t>
          </w:r>
          <w:r>
            <w:rPr>
              <w:highlight w:val="none"/>
            </w:rPr>
            <w:tab/>
          </w:r>
          <w:r>
            <w:rPr>
              <w:highlight w:val="none"/>
            </w:rPr>
            <w:fldChar w:fldCharType="begin"/>
          </w:r>
          <w:r>
            <w:rPr>
              <w:highlight w:val="none"/>
            </w:rPr>
            <w:instrText xml:space="preserve"> PAGEREF _Toc21644 \h </w:instrText>
          </w:r>
          <w:r>
            <w:rPr>
              <w:highlight w:val="none"/>
            </w:rPr>
            <w:fldChar w:fldCharType="separate"/>
          </w:r>
          <w:r>
            <w:rPr>
              <w:highlight w:val="none"/>
            </w:rPr>
            <w:t>81</w:t>
          </w:r>
          <w:r>
            <w:rPr>
              <w:highlight w:val="none"/>
            </w:rPr>
            <w:fldChar w:fldCharType="end"/>
          </w:r>
          <w:r>
            <w:rPr>
              <w:color w:val="auto"/>
              <w:highlight w:val="none"/>
            </w:rPr>
            <w:fldChar w:fldCharType="end"/>
          </w:r>
        </w:p>
        <w:p w14:paraId="210ABC22">
          <w:pPr>
            <w:pStyle w:val="19"/>
            <w:tabs>
              <w:tab w:val="right" w:leader="dot" w:pos="8306"/>
            </w:tabs>
            <w:rPr>
              <w:highlight w:val="none"/>
            </w:rPr>
          </w:pPr>
          <w:r>
            <w:rPr>
              <w:color w:val="auto"/>
              <w:highlight w:val="none"/>
            </w:rPr>
            <w:fldChar w:fldCharType="begin"/>
          </w:r>
          <w:r>
            <w:rPr>
              <w:highlight w:val="none"/>
            </w:rPr>
            <w:instrText xml:space="preserve"> HYPERLINK \l _Toc9271 </w:instrText>
          </w:r>
          <w:r>
            <w:rPr>
              <w:highlight w:val="none"/>
            </w:rPr>
            <w:fldChar w:fldCharType="separate"/>
          </w:r>
          <w:r>
            <w:rPr>
              <w:rFonts w:hint="eastAsia"/>
              <w:highlight w:val="none"/>
            </w:rPr>
            <w:t>附表A-</w:t>
          </w:r>
          <w:r>
            <w:rPr>
              <w:rFonts w:hint="eastAsia"/>
              <w:highlight w:val="none"/>
              <w:lang w:val="en-US" w:eastAsia="zh-CN"/>
            </w:rPr>
            <w:t>13</w:t>
          </w:r>
          <w:r>
            <w:rPr>
              <w:rFonts w:hint="eastAsia"/>
              <w:highlight w:val="none"/>
            </w:rPr>
            <w:t>：书面评标报告</w:t>
          </w:r>
          <w:r>
            <w:rPr>
              <w:highlight w:val="none"/>
            </w:rPr>
            <w:tab/>
          </w:r>
          <w:r>
            <w:rPr>
              <w:highlight w:val="none"/>
            </w:rPr>
            <w:fldChar w:fldCharType="begin"/>
          </w:r>
          <w:r>
            <w:rPr>
              <w:highlight w:val="none"/>
            </w:rPr>
            <w:instrText xml:space="preserve"> PAGEREF _Toc9271 \h </w:instrText>
          </w:r>
          <w:r>
            <w:rPr>
              <w:highlight w:val="none"/>
            </w:rPr>
            <w:fldChar w:fldCharType="separate"/>
          </w:r>
          <w:r>
            <w:rPr>
              <w:highlight w:val="none"/>
            </w:rPr>
            <w:t>82</w:t>
          </w:r>
          <w:r>
            <w:rPr>
              <w:highlight w:val="none"/>
            </w:rPr>
            <w:fldChar w:fldCharType="end"/>
          </w:r>
          <w:r>
            <w:rPr>
              <w:color w:val="auto"/>
              <w:highlight w:val="none"/>
            </w:rPr>
            <w:fldChar w:fldCharType="end"/>
          </w:r>
        </w:p>
        <w:p w14:paraId="0172611D">
          <w:pPr>
            <w:pStyle w:val="31"/>
            <w:tabs>
              <w:tab w:val="right" w:leader="dot" w:pos="8306"/>
            </w:tabs>
            <w:rPr>
              <w:highlight w:val="none"/>
            </w:rPr>
          </w:pPr>
          <w:r>
            <w:rPr>
              <w:color w:val="auto"/>
              <w:highlight w:val="none"/>
            </w:rPr>
            <w:fldChar w:fldCharType="begin"/>
          </w:r>
          <w:r>
            <w:rPr>
              <w:highlight w:val="none"/>
            </w:rPr>
            <w:instrText xml:space="preserve"> HYPERLINK \l _Toc28146 </w:instrText>
          </w:r>
          <w:r>
            <w:rPr>
              <w:highlight w:val="none"/>
            </w:rPr>
            <w:fldChar w:fldCharType="separate"/>
          </w:r>
          <w:r>
            <w:rPr>
              <w:rFonts w:hint="eastAsia" w:ascii="Times New Roman" w:hAnsi="Times New Roman" w:eastAsia="黑体"/>
              <w:bCs/>
              <w:szCs w:val="32"/>
              <w:highlight w:val="none"/>
            </w:rPr>
            <w:t>政府采购工程招标资格条件设置及评标优惠政策一览表</w:t>
          </w:r>
          <w:r>
            <w:rPr>
              <w:highlight w:val="none"/>
            </w:rPr>
            <w:tab/>
          </w:r>
          <w:r>
            <w:rPr>
              <w:highlight w:val="none"/>
            </w:rPr>
            <w:fldChar w:fldCharType="begin"/>
          </w:r>
          <w:r>
            <w:rPr>
              <w:highlight w:val="none"/>
            </w:rPr>
            <w:instrText xml:space="preserve"> PAGEREF _Toc28146 \h </w:instrText>
          </w:r>
          <w:r>
            <w:rPr>
              <w:highlight w:val="none"/>
            </w:rPr>
            <w:fldChar w:fldCharType="separate"/>
          </w:r>
          <w:r>
            <w:rPr>
              <w:highlight w:val="none"/>
            </w:rPr>
            <w:t>85</w:t>
          </w:r>
          <w:r>
            <w:rPr>
              <w:highlight w:val="none"/>
            </w:rPr>
            <w:fldChar w:fldCharType="end"/>
          </w:r>
          <w:r>
            <w:rPr>
              <w:color w:val="auto"/>
              <w:highlight w:val="none"/>
            </w:rPr>
            <w:fldChar w:fldCharType="end"/>
          </w:r>
        </w:p>
        <w:p w14:paraId="10E1DD7D">
          <w:pPr>
            <w:pStyle w:val="27"/>
            <w:tabs>
              <w:tab w:val="right" w:leader="dot" w:pos="8306"/>
            </w:tabs>
            <w:rPr>
              <w:highlight w:val="none"/>
            </w:rPr>
          </w:pPr>
          <w:r>
            <w:rPr>
              <w:color w:val="auto"/>
              <w:highlight w:val="none"/>
            </w:rPr>
            <w:fldChar w:fldCharType="begin"/>
          </w:r>
          <w:r>
            <w:rPr>
              <w:highlight w:val="none"/>
            </w:rPr>
            <w:instrText xml:space="preserve"> HYPERLINK \l _Toc19514 </w:instrText>
          </w:r>
          <w:r>
            <w:rPr>
              <w:highlight w:val="none"/>
            </w:rPr>
            <w:fldChar w:fldCharType="separate"/>
          </w:r>
          <w:r>
            <w:rPr>
              <w:rFonts w:hint="eastAsia"/>
              <w:highlight w:val="none"/>
            </w:rPr>
            <w:t>第三章 评标办法（经评审的最低投标价法）</w:t>
          </w:r>
          <w:r>
            <w:rPr>
              <w:highlight w:val="none"/>
            </w:rPr>
            <w:tab/>
          </w:r>
          <w:r>
            <w:rPr>
              <w:highlight w:val="none"/>
            </w:rPr>
            <w:fldChar w:fldCharType="begin"/>
          </w:r>
          <w:r>
            <w:rPr>
              <w:highlight w:val="none"/>
            </w:rPr>
            <w:instrText xml:space="preserve"> PAGEREF _Toc19514 \h </w:instrText>
          </w:r>
          <w:r>
            <w:rPr>
              <w:highlight w:val="none"/>
            </w:rPr>
            <w:fldChar w:fldCharType="separate"/>
          </w:r>
          <w:r>
            <w:rPr>
              <w:highlight w:val="none"/>
            </w:rPr>
            <w:t>88</w:t>
          </w:r>
          <w:r>
            <w:rPr>
              <w:highlight w:val="none"/>
            </w:rPr>
            <w:fldChar w:fldCharType="end"/>
          </w:r>
          <w:r>
            <w:rPr>
              <w:color w:val="auto"/>
              <w:highlight w:val="none"/>
            </w:rPr>
            <w:fldChar w:fldCharType="end"/>
          </w:r>
        </w:p>
        <w:p w14:paraId="3FBB5561">
          <w:pPr>
            <w:pStyle w:val="31"/>
            <w:tabs>
              <w:tab w:val="right" w:leader="dot" w:pos="8306"/>
            </w:tabs>
            <w:rPr>
              <w:highlight w:val="none"/>
            </w:rPr>
          </w:pPr>
          <w:r>
            <w:rPr>
              <w:color w:val="auto"/>
              <w:highlight w:val="none"/>
            </w:rPr>
            <w:fldChar w:fldCharType="begin"/>
          </w:r>
          <w:r>
            <w:rPr>
              <w:highlight w:val="none"/>
            </w:rPr>
            <w:instrText xml:space="preserve"> HYPERLINK \l _Toc3563 </w:instrText>
          </w:r>
          <w:r>
            <w:rPr>
              <w:highlight w:val="none"/>
            </w:rPr>
            <w:fldChar w:fldCharType="separate"/>
          </w:r>
          <w:r>
            <w:rPr>
              <w:rFonts w:hint="eastAsia"/>
              <w:highlight w:val="none"/>
            </w:rPr>
            <w:t>评标办法前附表</w:t>
          </w:r>
          <w:r>
            <w:rPr>
              <w:highlight w:val="none"/>
            </w:rPr>
            <w:tab/>
          </w:r>
          <w:r>
            <w:rPr>
              <w:highlight w:val="none"/>
            </w:rPr>
            <w:fldChar w:fldCharType="begin"/>
          </w:r>
          <w:r>
            <w:rPr>
              <w:highlight w:val="none"/>
            </w:rPr>
            <w:instrText xml:space="preserve"> PAGEREF _Toc3563 \h </w:instrText>
          </w:r>
          <w:r>
            <w:rPr>
              <w:highlight w:val="none"/>
            </w:rPr>
            <w:fldChar w:fldCharType="separate"/>
          </w:r>
          <w:r>
            <w:rPr>
              <w:highlight w:val="none"/>
            </w:rPr>
            <w:t>88</w:t>
          </w:r>
          <w:r>
            <w:rPr>
              <w:highlight w:val="none"/>
            </w:rPr>
            <w:fldChar w:fldCharType="end"/>
          </w:r>
          <w:r>
            <w:rPr>
              <w:color w:val="auto"/>
              <w:highlight w:val="none"/>
            </w:rPr>
            <w:fldChar w:fldCharType="end"/>
          </w:r>
        </w:p>
        <w:p w14:paraId="76A0E484">
          <w:pPr>
            <w:pStyle w:val="31"/>
            <w:tabs>
              <w:tab w:val="right" w:leader="dot" w:pos="8306"/>
            </w:tabs>
            <w:rPr>
              <w:highlight w:val="none"/>
            </w:rPr>
          </w:pPr>
          <w:r>
            <w:rPr>
              <w:color w:val="auto"/>
              <w:highlight w:val="none"/>
            </w:rPr>
            <w:fldChar w:fldCharType="begin"/>
          </w:r>
          <w:r>
            <w:rPr>
              <w:highlight w:val="none"/>
            </w:rPr>
            <w:instrText xml:space="preserve"> HYPERLINK \l _Toc18023 </w:instrText>
          </w:r>
          <w:r>
            <w:rPr>
              <w:highlight w:val="none"/>
            </w:rPr>
            <w:fldChar w:fldCharType="separate"/>
          </w:r>
          <w:r>
            <w:rPr>
              <w:rFonts w:hint="eastAsia"/>
              <w:highlight w:val="none"/>
            </w:rPr>
            <w:t>评标办法正文部分</w:t>
          </w:r>
          <w:r>
            <w:rPr>
              <w:highlight w:val="none"/>
            </w:rPr>
            <w:tab/>
          </w:r>
          <w:r>
            <w:rPr>
              <w:highlight w:val="none"/>
            </w:rPr>
            <w:fldChar w:fldCharType="begin"/>
          </w:r>
          <w:r>
            <w:rPr>
              <w:highlight w:val="none"/>
            </w:rPr>
            <w:instrText xml:space="preserve"> PAGEREF _Toc18023 \h </w:instrText>
          </w:r>
          <w:r>
            <w:rPr>
              <w:highlight w:val="none"/>
            </w:rPr>
            <w:fldChar w:fldCharType="separate"/>
          </w:r>
          <w:r>
            <w:rPr>
              <w:highlight w:val="none"/>
            </w:rPr>
            <w:t>90</w:t>
          </w:r>
          <w:r>
            <w:rPr>
              <w:highlight w:val="none"/>
            </w:rPr>
            <w:fldChar w:fldCharType="end"/>
          </w:r>
          <w:r>
            <w:rPr>
              <w:color w:val="auto"/>
              <w:highlight w:val="none"/>
            </w:rPr>
            <w:fldChar w:fldCharType="end"/>
          </w:r>
        </w:p>
        <w:p w14:paraId="4F3F8C91">
          <w:pPr>
            <w:pStyle w:val="19"/>
            <w:tabs>
              <w:tab w:val="right" w:leader="dot" w:pos="8306"/>
            </w:tabs>
            <w:rPr>
              <w:highlight w:val="none"/>
            </w:rPr>
          </w:pPr>
          <w:r>
            <w:rPr>
              <w:color w:val="auto"/>
              <w:highlight w:val="none"/>
            </w:rPr>
            <w:fldChar w:fldCharType="begin"/>
          </w:r>
          <w:r>
            <w:rPr>
              <w:highlight w:val="none"/>
            </w:rPr>
            <w:instrText xml:space="preserve"> HYPERLINK \l _Toc10935 </w:instrText>
          </w:r>
          <w:r>
            <w:rPr>
              <w:highlight w:val="none"/>
            </w:rPr>
            <w:fldChar w:fldCharType="separate"/>
          </w:r>
          <w:r>
            <w:rPr>
              <w:rFonts w:hint="eastAsia" w:ascii="Times New Roman" w:hAnsi="Times New Roman"/>
              <w:szCs w:val="32"/>
              <w:highlight w:val="none"/>
            </w:rPr>
            <w:t>1. 评标方法</w:t>
          </w:r>
          <w:r>
            <w:rPr>
              <w:highlight w:val="none"/>
            </w:rPr>
            <w:tab/>
          </w:r>
          <w:r>
            <w:rPr>
              <w:highlight w:val="none"/>
            </w:rPr>
            <w:fldChar w:fldCharType="begin"/>
          </w:r>
          <w:r>
            <w:rPr>
              <w:highlight w:val="none"/>
            </w:rPr>
            <w:instrText xml:space="preserve"> PAGEREF _Toc10935 \h </w:instrText>
          </w:r>
          <w:r>
            <w:rPr>
              <w:highlight w:val="none"/>
            </w:rPr>
            <w:fldChar w:fldCharType="separate"/>
          </w:r>
          <w:r>
            <w:rPr>
              <w:highlight w:val="none"/>
            </w:rPr>
            <w:t>90</w:t>
          </w:r>
          <w:r>
            <w:rPr>
              <w:highlight w:val="none"/>
            </w:rPr>
            <w:fldChar w:fldCharType="end"/>
          </w:r>
          <w:r>
            <w:rPr>
              <w:color w:val="auto"/>
              <w:highlight w:val="none"/>
            </w:rPr>
            <w:fldChar w:fldCharType="end"/>
          </w:r>
        </w:p>
        <w:p w14:paraId="55C4FF70">
          <w:pPr>
            <w:pStyle w:val="19"/>
            <w:tabs>
              <w:tab w:val="right" w:leader="dot" w:pos="8306"/>
            </w:tabs>
            <w:rPr>
              <w:highlight w:val="none"/>
            </w:rPr>
          </w:pPr>
          <w:r>
            <w:rPr>
              <w:color w:val="auto"/>
              <w:highlight w:val="none"/>
            </w:rPr>
            <w:fldChar w:fldCharType="begin"/>
          </w:r>
          <w:r>
            <w:rPr>
              <w:highlight w:val="none"/>
            </w:rPr>
            <w:instrText xml:space="preserve"> HYPERLINK \l _Toc301 </w:instrText>
          </w:r>
          <w:r>
            <w:rPr>
              <w:highlight w:val="none"/>
            </w:rPr>
            <w:fldChar w:fldCharType="separate"/>
          </w:r>
          <w:r>
            <w:rPr>
              <w:rFonts w:hint="eastAsia" w:ascii="Times New Roman" w:hAnsi="Times New Roman"/>
              <w:szCs w:val="32"/>
              <w:highlight w:val="none"/>
            </w:rPr>
            <w:t>2. 评审标准</w:t>
          </w:r>
          <w:r>
            <w:rPr>
              <w:highlight w:val="none"/>
            </w:rPr>
            <w:tab/>
          </w:r>
          <w:r>
            <w:rPr>
              <w:highlight w:val="none"/>
            </w:rPr>
            <w:fldChar w:fldCharType="begin"/>
          </w:r>
          <w:r>
            <w:rPr>
              <w:highlight w:val="none"/>
            </w:rPr>
            <w:instrText xml:space="preserve"> PAGEREF _Toc301 \h </w:instrText>
          </w:r>
          <w:r>
            <w:rPr>
              <w:highlight w:val="none"/>
            </w:rPr>
            <w:fldChar w:fldCharType="separate"/>
          </w:r>
          <w:r>
            <w:rPr>
              <w:highlight w:val="none"/>
            </w:rPr>
            <w:t>90</w:t>
          </w:r>
          <w:r>
            <w:rPr>
              <w:highlight w:val="none"/>
            </w:rPr>
            <w:fldChar w:fldCharType="end"/>
          </w:r>
          <w:r>
            <w:rPr>
              <w:color w:val="auto"/>
              <w:highlight w:val="none"/>
            </w:rPr>
            <w:fldChar w:fldCharType="end"/>
          </w:r>
        </w:p>
        <w:p w14:paraId="220FE781">
          <w:pPr>
            <w:pStyle w:val="19"/>
            <w:tabs>
              <w:tab w:val="right" w:leader="dot" w:pos="8306"/>
            </w:tabs>
            <w:rPr>
              <w:highlight w:val="none"/>
            </w:rPr>
          </w:pPr>
          <w:r>
            <w:rPr>
              <w:color w:val="auto"/>
              <w:highlight w:val="none"/>
            </w:rPr>
            <w:fldChar w:fldCharType="begin"/>
          </w:r>
          <w:r>
            <w:rPr>
              <w:highlight w:val="none"/>
            </w:rPr>
            <w:instrText xml:space="preserve"> HYPERLINK \l _Toc11657 </w:instrText>
          </w:r>
          <w:r>
            <w:rPr>
              <w:highlight w:val="none"/>
            </w:rPr>
            <w:fldChar w:fldCharType="separate"/>
          </w:r>
          <w:r>
            <w:rPr>
              <w:rFonts w:hint="eastAsia" w:ascii="黑体" w:hAnsi="黑体"/>
              <w:highlight w:val="none"/>
            </w:rPr>
            <w:t>2.1 初步评审标准</w:t>
          </w:r>
          <w:r>
            <w:rPr>
              <w:highlight w:val="none"/>
            </w:rPr>
            <w:tab/>
          </w:r>
          <w:r>
            <w:rPr>
              <w:highlight w:val="none"/>
            </w:rPr>
            <w:fldChar w:fldCharType="begin"/>
          </w:r>
          <w:r>
            <w:rPr>
              <w:highlight w:val="none"/>
            </w:rPr>
            <w:instrText xml:space="preserve"> PAGEREF _Toc11657 \h </w:instrText>
          </w:r>
          <w:r>
            <w:rPr>
              <w:highlight w:val="none"/>
            </w:rPr>
            <w:fldChar w:fldCharType="separate"/>
          </w:r>
          <w:r>
            <w:rPr>
              <w:highlight w:val="none"/>
            </w:rPr>
            <w:t>90</w:t>
          </w:r>
          <w:r>
            <w:rPr>
              <w:highlight w:val="none"/>
            </w:rPr>
            <w:fldChar w:fldCharType="end"/>
          </w:r>
          <w:r>
            <w:rPr>
              <w:color w:val="auto"/>
              <w:highlight w:val="none"/>
            </w:rPr>
            <w:fldChar w:fldCharType="end"/>
          </w:r>
        </w:p>
        <w:p w14:paraId="6384C383">
          <w:pPr>
            <w:pStyle w:val="19"/>
            <w:tabs>
              <w:tab w:val="right" w:leader="dot" w:pos="8306"/>
            </w:tabs>
            <w:rPr>
              <w:highlight w:val="none"/>
            </w:rPr>
          </w:pPr>
          <w:r>
            <w:rPr>
              <w:color w:val="auto"/>
              <w:highlight w:val="none"/>
            </w:rPr>
            <w:fldChar w:fldCharType="begin"/>
          </w:r>
          <w:r>
            <w:rPr>
              <w:highlight w:val="none"/>
            </w:rPr>
            <w:instrText xml:space="preserve"> HYPERLINK \l _Toc11114 </w:instrText>
          </w:r>
          <w:r>
            <w:rPr>
              <w:highlight w:val="none"/>
            </w:rPr>
            <w:fldChar w:fldCharType="separate"/>
          </w:r>
          <w:r>
            <w:rPr>
              <w:rFonts w:hint="eastAsia" w:ascii="黑体" w:hAnsi="黑体"/>
              <w:highlight w:val="none"/>
            </w:rPr>
            <w:t>2.2 详细评审标准</w:t>
          </w:r>
          <w:r>
            <w:rPr>
              <w:highlight w:val="none"/>
            </w:rPr>
            <w:tab/>
          </w:r>
          <w:r>
            <w:rPr>
              <w:highlight w:val="none"/>
            </w:rPr>
            <w:fldChar w:fldCharType="begin"/>
          </w:r>
          <w:r>
            <w:rPr>
              <w:highlight w:val="none"/>
            </w:rPr>
            <w:instrText xml:space="preserve"> PAGEREF _Toc11114 \h </w:instrText>
          </w:r>
          <w:r>
            <w:rPr>
              <w:highlight w:val="none"/>
            </w:rPr>
            <w:fldChar w:fldCharType="separate"/>
          </w:r>
          <w:r>
            <w:rPr>
              <w:highlight w:val="none"/>
            </w:rPr>
            <w:t>90</w:t>
          </w:r>
          <w:r>
            <w:rPr>
              <w:highlight w:val="none"/>
            </w:rPr>
            <w:fldChar w:fldCharType="end"/>
          </w:r>
          <w:r>
            <w:rPr>
              <w:color w:val="auto"/>
              <w:highlight w:val="none"/>
            </w:rPr>
            <w:fldChar w:fldCharType="end"/>
          </w:r>
        </w:p>
        <w:p w14:paraId="3E179824">
          <w:pPr>
            <w:pStyle w:val="19"/>
            <w:tabs>
              <w:tab w:val="right" w:leader="dot" w:pos="8306"/>
            </w:tabs>
            <w:rPr>
              <w:highlight w:val="none"/>
            </w:rPr>
          </w:pPr>
          <w:r>
            <w:rPr>
              <w:color w:val="auto"/>
              <w:highlight w:val="none"/>
            </w:rPr>
            <w:fldChar w:fldCharType="begin"/>
          </w:r>
          <w:r>
            <w:rPr>
              <w:highlight w:val="none"/>
            </w:rPr>
            <w:instrText xml:space="preserve"> HYPERLINK \l _Toc12892 </w:instrText>
          </w:r>
          <w:r>
            <w:rPr>
              <w:highlight w:val="none"/>
            </w:rPr>
            <w:fldChar w:fldCharType="separate"/>
          </w:r>
          <w:r>
            <w:rPr>
              <w:rFonts w:hint="eastAsia" w:ascii="Times New Roman" w:hAnsi="Times New Roman"/>
              <w:szCs w:val="32"/>
              <w:highlight w:val="none"/>
            </w:rPr>
            <w:t>3. 评标程序</w:t>
          </w:r>
          <w:r>
            <w:rPr>
              <w:highlight w:val="none"/>
            </w:rPr>
            <w:tab/>
          </w:r>
          <w:r>
            <w:rPr>
              <w:highlight w:val="none"/>
            </w:rPr>
            <w:fldChar w:fldCharType="begin"/>
          </w:r>
          <w:r>
            <w:rPr>
              <w:highlight w:val="none"/>
            </w:rPr>
            <w:instrText xml:space="preserve"> PAGEREF _Toc12892 \h </w:instrText>
          </w:r>
          <w:r>
            <w:rPr>
              <w:highlight w:val="none"/>
            </w:rPr>
            <w:fldChar w:fldCharType="separate"/>
          </w:r>
          <w:r>
            <w:rPr>
              <w:highlight w:val="none"/>
            </w:rPr>
            <w:t>90</w:t>
          </w:r>
          <w:r>
            <w:rPr>
              <w:highlight w:val="none"/>
            </w:rPr>
            <w:fldChar w:fldCharType="end"/>
          </w:r>
          <w:r>
            <w:rPr>
              <w:color w:val="auto"/>
              <w:highlight w:val="none"/>
            </w:rPr>
            <w:fldChar w:fldCharType="end"/>
          </w:r>
        </w:p>
        <w:p w14:paraId="0C855E83">
          <w:pPr>
            <w:pStyle w:val="19"/>
            <w:tabs>
              <w:tab w:val="right" w:leader="dot" w:pos="8306"/>
            </w:tabs>
            <w:rPr>
              <w:highlight w:val="none"/>
            </w:rPr>
          </w:pPr>
          <w:r>
            <w:rPr>
              <w:color w:val="auto"/>
              <w:highlight w:val="none"/>
            </w:rPr>
            <w:fldChar w:fldCharType="begin"/>
          </w:r>
          <w:r>
            <w:rPr>
              <w:highlight w:val="none"/>
            </w:rPr>
            <w:instrText xml:space="preserve"> HYPERLINK \l _Toc16245 </w:instrText>
          </w:r>
          <w:r>
            <w:rPr>
              <w:highlight w:val="none"/>
            </w:rPr>
            <w:fldChar w:fldCharType="separate"/>
          </w:r>
          <w:r>
            <w:rPr>
              <w:rFonts w:hint="eastAsia" w:ascii="黑体" w:hAnsi="黑体"/>
              <w:highlight w:val="none"/>
            </w:rPr>
            <w:t>3.1 初步评审</w:t>
          </w:r>
          <w:r>
            <w:rPr>
              <w:highlight w:val="none"/>
            </w:rPr>
            <w:tab/>
          </w:r>
          <w:r>
            <w:rPr>
              <w:highlight w:val="none"/>
            </w:rPr>
            <w:fldChar w:fldCharType="begin"/>
          </w:r>
          <w:r>
            <w:rPr>
              <w:highlight w:val="none"/>
            </w:rPr>
            <w:instrText xml:space="preserve"> PAGEREF _Toc16245 \h </w:instrText>
          </w:r>
          <w:r>
            <w:rPr>
              <w:highlight w:val="none"/>
            </w:rPr>
            <w:fldChar w:fldCharType="separate"/>
          </w:r>
          <w:r>
            <w:rPr>
              <w:highlight w:val="none"/>
            </w:rPr>
            <w:t>90</w:t>
          </w:r>
          <w:r>
            <w:rPr>
              <w:highlight w:val="none"/>
            </w:rPr>
            <w:fldChar w:fldCharType="end"/>
          </w:r>
          <w:r>
            <w:rPr>
              <w:color w:val="auto"/>
              <w:highlight w:val="none"/>
            </w:rPr>
            <w:fldChar w:fldCharType="end"/>
          </w:r>
        </w:p>
        <w:p w14:paraId="6AE9F45E">
          <w:pPr>
            <w:pStyle w:val="19"/>
            <w:tabs>
              <w:tab w:val="right" w:leader="dot" w:pos="8306"/>
            </w:tabs>
            <w:rPr>
              <w:highlight w:val="none"/>
            </w:rPr>
          </w:pPr>
          <w:r>
            <w:rPr>
              <w:color w:val="auto"/>
              <w:highlight w:val="none"/>
            </w:rPr>
            <w:fldChar w:fldCharType="begin"/>
          </w:r>
          <w:r>
            <w:rPr>
              <w:highlight w:val="none"/>
            </w:rPr>
            <w:instrText xml:space="preserve"> HYPERLINK \l _Toc1864 </w:instrText>
          </w:r>
          <w:r>
            <w:rPr>
              <w:highlight w:val="none"/>
            </w:rPr>
            <w:fldChar w:fldCharType="separate"/>
          </w:r>
          <w:r>
            <w:rPr>
              <w:rFonts w:hint="eastAsia" w:ascii="黑体" w:hAnsi="黑体"/>
              <w:highlight w:val="none"/>
            </w:rPr>
            <w:t>3.2 详细评审</w:t>
          </w:r>
          <w:r>
            <w:rPr>
              <w:highlight w:val="none"/>
            </w:rPr>
            <w:tab/>
          </w:r>
          <w:r>
            <w:rPr>
              <w:highlight w:val="none"/>
            </w:rPr>
            <w:fldChar w:fldCharType="begin"/>
          </w:r>
          <w:r>
            <w:rPr>
              <w:highlight w:val="none"/>
            </w:rPr>
            <w:instrText xml:space="preserve"> PAGEREF _Toc1864 \h </w:instrText>
          </w:r>
          <w:r>
            <w:rPr>
              <w:highlight w:val="none"/>
            </w:rPr>
            <w:fldChar w:fldCharType="separate"/>
          </w:r>
          <w:r>
            <w:rPr>
              <w:highlight w:val="none"/>
            </w:rPr>
            <w:t>91</w:t>
          </w:r>
          <w:r>
            <w:rPr>
              <w:highlight w:val="none"/>
            </w:rPr>
            <w:fldChar w:fldCharType="end"/>
          </w:r>
          <w:r>
            <w:rPr>
              <w:color w:val="auto"/>
              <w:highlight w:val="none"/>
            </w:rPr>
            <w:fldChar w:fldCharType="end"/>
          </w:r>
        </w:p>
        <w:p w14:paraId="723FB14A">
          <w:pPr>
            <w:pStyle w:val="19"/>
            <w:tabs>
              <w:tab w:val="right" w:leader="dot" w:pos="8306"/>
            </w:tabs>
            <w:rPr>
              <w:highlight w:val="none"/>
            </w:rPr>
          </w:pPr>
          <w:r>
            <w:rPr>
              <w:color w:val="auto"/>
              <w:highlight w:val="none"/>
            </w:rPr>
            <w:fldChar w:fldCharType="begin"/>
          </w:r>
          <w:r>
            <w:rPr>
              <w:highlight w:val="none"/>
            </w:rPr>
            <w:instrText xml:space="preserve"> HYPERLINK \l _Toc9124 </w:instrText>
          </w:r>
          <w:r>
            <w:rPr>
              <w:highlight w:val="none"/>
            </w:rPr>
            <w:fldChar w:fldCharType="separate"/>
          </w:r>
          <w:r>
            <w:rPr>
              <w:rFonts w:hint="eastAsia" w:ascii="黑体" w:hAnsi="黑体"/>
              <w:highlight w:val="none"/>
            </w:rPr>
            <w:t>3.3 投标文件的澄清和补正</w:t>
          </w:r>
          <w:r>
            <w:rPr>
              <w:highlight w:val="none"/>
            </w:rPr>
            <w:tab/>
          </w:r>
          <w:r>
            <w:rPr>
              <w:highlight w:val="none"/>
            </w:rPr>
            <w:fldChar w:fldCharType="begin"/>
          </w:r>
          <w:r>
            <w:rPr>
              <w:highlight w:val="none"/>
            </w:rPr>
            <w:instrText xml:space="preserve"> PAGEREF _Toc9124 \h </w:instrText>
          </w:r>
          <w:r>
            <w:rPr>
              <w:highlight w:val="none"/>
            </w:rPr>
            <w:fldChar w:fldCharType="separate"/>
          </w:r>
          <w:r>
            <w:rPr>
              <w:highlight w:val="none"/>
            </w:rPr>
            <w:t>91</w:t>
          </w:r>
          <w:r>
            <w:rPr>
              <w:highlight w:val="none"/>
            </w:rPr>
            <w:fldChar w:fldCharType="end"/>
          </w:r>
          <w:r>
            <w:rPr>
              <w:color w:val="auto"/>
              <w:highlight w:val="none"/>
            </w:rPr>
            <w:fldChar w:fldCharType="end"/>
          </w:r>
        </w:p>
        <w:p w14:paraId="71EE7E6D">
          <w:pPr>
            <w:pStyle w:val="19"/>
            <w:tabs>
              <w:tab w:val="right" w:leader="dot" w:pos="8306"/>
            </w:tabs>
            <w:rPr>
              <w:highlight w:val="none"/>
            </w:rPr>
          </w:pPr>
          <w:r>
            <w:rPr>
              <w:color w:val="auto"/>
              <w:highlight w:val="none"/>
            </w:rPr>
            <w:fldChar w:fldCharType="begin"/>
          </w:r>
          <w:r>
            <w:rPr>
              <w:highlight w:val="none"/>
            </w:rPr>
            <w:instrText xml:space="preserve"> HYPERLINK \l _Toc28547 </w:instrText>
          </w:r>
          <w:r>
            <w:rPr>
              <w:highlight w:val="none"/>
            </w:rPr>
            <w:fldChar w:fldCharType="separate"/>
          </w:r>
          <w:r>
            <w:rPr>
              <w:rFonts w:hint="eastAsia" w:ascii="黑体" w:hAnsi="黑体"/>
              <w:highlight w:val="none"/>
            </w:rPr>
            <w:t>3.4 评标结果</w:t>
          </w:r>
          <w:r>
            <w:rPr>
              <w:highlight w:val="none"/>
            </w:rPr>
            <w:tab/>
          </w:r>
          <w:r>
            <w:rPr>
              <w:highlight w:val="none"/>
            </w:rPr>
            <w:fldChar w:fldCharType="begin"/>
          </w:r>
          <w:r>
            <w:rPr>
              <w:highlight w:val="none"/>
            </w:rPr>
            <w:instrText xml:space="preserve"> PAGEREF _Toc28547 \h </w:instrText>
          </w:r>
          <w:r>
            <w:rPr>
              <w:highlight w:val="none"/>
            </w:rPr>
            <w:fldChar w:fldCharType="separate"/>
          </w:r>
          <w:r>
            <w:rPr>
              <w:highlight w:val="none"/>
            </w:rPr>
            <w:t>92</w:t>
          </w:r>
          <w:r>
            <w:rPr>
              <w:highlight w:val="none"/>
            </w:rPr>
            <w:fldChar w:fldCharType="end"/>
          </w:r>
          <w:r>
            <w:rPr>
              <w:color w:val="auto"/>
              <w:highlight w:val="none"/>
            </w:rPr>
            <w:fldChar w:fldCharType="end"/>
          </w:r>
        </w:p>
        <w:p w14:paraId="4958B6B9">
          <w:pPr>
            <w:pStyle w:val="31"/>
            <w:tabs>
              <w:tab w:val="right" w:leader="dot" w:pos="8306"/>
            </w:tabs>
            <w:rPr>
              <w:highlight w:val="none"/>
            </w:rPr>
          </w:pPr>
          <w:r>
            <w:rPr>
              <w:color w:val="auto"/>
              <w:highlight w:val="none"/>
            </w:rPr>
            <w:fldChar w:fldCharType="begin"/>
          </w:r>
          <w:r>
            <w:rPr>
              <w:highlight w:val="none"/>
            </w:rPr>
            <w:instrText xml:space="preserve"> HYPERLINK \l _Toc29629 </w:instrText>
          </w:r>
          <w:r>
            <w:rPr>
              <w:highlight w:val="none"/>
            </w:rPr>
            <w:fldChar w:fldCharType="separate"/>
          </w:r>
          <w:r>
            <w:rPr>
              <w:rFonts w:hint="eastAsia" w:ascii="Times New Roman" w:hAnsi="Times New Roman"/>
              <w:highlight w:val="none"/>
            </w:rPr>
            <w:t>政府采购工程招标资格条件设置及评标优惠政策一览表</w:t>
          </w:r>
          <w:r>
            <w:rPr>
              <w:highlight w:val="none"/>
            </w:rPr>
            <w:tab/>
          </w:r>
          <w:r>
            <w:rPr>
              <w:highlight w:val="none"/>
            </w:rPr>
            <w:fldChar w:fldCharType="begin"/>
          </w:r>
          <w:r>
            <w:rPr>
              <w:highlight w:val="none"/>
            </w:rPr>
            <w:instrText xml:space="preserve"> PAGEREF _Toc29629 \h </w:instrText>
          </w:r>
          <w:r>
            <w:rPr>
              <w:highlight w:val="none"/>
            </w:rPr>
            <w:fldChar w:fldCharType="separate"/>
          </w:r>
          <w:r>
            <w:rPr>
              <w:highlight w:val="none"/>
            </w:rPr>
            <w:t>93</w:t>
          </w:r>
          <w:r>
            <w:rPr>
              <w:highlight w:val="none"/>
            </w:rPr>
            <w:fldChar w:fldCharType="end"/>
          </w:r>
          <w:r>
            <w:rPr>
              <w:color w:val="auto"/>
              <w:highlight w:val="none"/>
            </w:rPr>
            <w:fldChar w:fldCharType="end"/>
          </w:r>
        </w:p>
        <w:p w14:paraId="6AD3B0CA">
          <w:pPr>
            <w:pStyle w:val="27"/>
            <w:tabs>
              <w:tab w:val="right" w:leader="dot" w:pos="8306"/>
            </w:tabs>
            <w:rPr>
              <w:highlight w:val="none"/>
            </w:rPr>
          </w:pPr>
          <w:r>
            <w:rPr>
              <w:color w:val="auto"/>
              <w:highlight w:val="none"/>
            </w:rPr>
            <w:fldChar w:fldCharType="begin"/>
          </w:r>
          <w:r>
            <w:rPr>
              <w:highlight w:val="none"/>
            </w:rPr>
            <w:instrText xml:space="preserve"> HYPERLINK \l _Toc3962 </w:instrText>
          </w:r>
          <w:r>
            <w:rPr>
              <w:highlight w:val="none"/>
            </w:rPr>
            <w:fldChar w:fldCharType="separate"/>
          </w:r>
          <w:r>
            <w:rPr>
              <w:rFonts w:hint="eastAsia"/>
              <w:highlight w:val="none"/>
            </w:rPr>
            <w:t>第四章 合同条款及格式（参考）</w:t>
          </w:r>
          <w:r>
            <w:rPr>
              <w:rFonts w:hint="eastAsia"/>
              <w:szCs w:val="28"/>
              <w:highlight w:val="none"/>
            </w:rPr>
            <w:t>第一节  通用合同条款</w:t>
          </w:r>
          <w:r>
            <w:rPr>
              <w:highlight w:val="none"/>
            </w:rPr>
            <w:tab/>
          </w:r>
          <w:r>
            <w:rPr>
              <w:highlight w:val="none"/>
            </w:rPr>
            <w:fldChar w:fldCharType="begin"/>
          </w:r>
          <w:r>
            <w:rPr>
              <w:highlight w:val="none"/>
            </w:rPr>
            <w:instrText xml:space="preserve"> PAGEREF _Toc3962 \h </w:instrText>
          </w:r>
          <w:r>
            <w:rPr>
              <w:highlight w:val="none"/>
            </w:rPr>
            <w:fldChar w:fldCharType="separate"/>
          </w:r>
          <w:r>
            <w:rPr>
              <w:highlight w:val="none"/>
            </w:rPr>
            <w:t>96</w:t>
          </w:r>
          <w:r>
            <w:rPr>
              <w:highlight w:val="none"/>
            </w:rPr>
            <w:fldChar w:fldCharType="end"/>
          </w:r>
          <w:r>
            <w:rPr>
              <w:color w:val="auto"/>
              <w:highlight w:val="none"/>
            </w:rPr>
            <w:fldChar w:fldCharType="end"/>
          </w:r>
        </w:p>
        <w:p w14:paraId="6DFDFC2C">
          <w:pPr>
            <w:pStyle w:val="31"/>
            <w:tabs>
              <w:tab w:val="right" w:leader="dot" w:pos="8306"/>
            </w:tabs>
            <w:rPr>
              <w:highlight w:val="none"/>
            </w:rPr>
          </w:pPr>
          <w:r>
            <w:rPr>
              <w:color w:val="auto"/>
              <w:highlight w:val="none"/>
            </w:rPr>
            <w:fldChar w:fldCharType="begin"/>
          </w:r>
          <w:r>
            <w:rPr>
              <w:highlight w:val="none"/>
            </w:rPr>
            <w:instrText xml:space="preserve"> HYPERLINK \l _Toc25395 </w:instrText>
          </w:r>
          <w:r>
            <w:rPr>
              <w:highlight w:val="none"/>
            </w:rPr>
            <w:fldChar w:fldCharType="separate"/>
          </w:r>
          <w:r>
            <w:rPr>
              <w:rFonts w:hint="eastAsia" w:ascii="黑体" w:eastAsia="黑体"/>
              <w:szCs w:val="28"/>
              <w:highlight w:val="none"/>
            </w:rPr>
            <w:t>通用合同条款</w:t>
          </w:r>
          <w:r>
            <w:rPr>
              <w:highlight w:val="none"/>
            </w:rPr>
            <w:tab/>
          </w:r>
          <w:r>
            <w:rPr>
              <w:highlight w:val="none"/>
            </w:rPr>
            <w:fldChar w:fldCharType="begin"/>
          </w:r>
          <w:r>
            <w:rPr>
              <w:highlight w:val="none"/>
            </w:rPr>
            <w:instrText xml:space="preserve"> PAGEREF _Toc25395 \h </w:instrText>
          </w:r>
          <w:r>
            <w:rPr>
              <w:highlight w:val="none"/>
            </w:rPr>
            <w:fldChar w:fldCharType="separate"/>
          </w:r>
          <w:r>
            <w:rPr>
              <w:highlight w:val="none"/>
            </w:rPr>
            <w:t>97</w:t>
          </w:r>
          <w:r>
            <w:rPr>
              <w:highlight w:val="none"/>
            </w:rPr>
            <w:fldChar w:fldCharType="end"/>
          </w:r>
          <w:r>
            <w:rPr>
              <w:color w:val="auto"/>
              <w:highlight w:val="none"/>
            </w:rPr>
            <w:fldChar w:fldCharType="end"/>
          </w:r>
        </w:p>
        <w:p w14:paraId="589158ED">
          <w:pPr>
            <w:pStyle w:val="19"/>
            <w:tabs>
              <w:tab w:val="right" w:leader="dot" w:pos="8306"/>
            </w:tabs>
            <w:rPr>
              <w:highlight w:val="none"/>
            </w:rPr>
          </w:pPr>
          <w:r>
            <w:rPr>
              <w:color w:val="auto"/>
              <w:highlight w:val="none"/>
            </w:rPr>
            <w:fldChar w:fldCharType="begin"/>
          </w:r>
          <w:r>
            <w:rPr>
              <w:highlight w:val="none"/>
            </w:rPr>
            <w:instrText xml:space="preserve"> HYPERLINK \l _Toc21158 </w:instrText>
          </w:r>
          <w:r>
            <w:rPr>
              <w:highlight w:val="none"/>
            </w:rPr>
            <w:fldChar w:fldCharType="separate"/>
          </w:r>
          <w:r>
            <w:rPr>
              <w:highlight w:val="none"/>
            </w:rPr>
            <w:t>1. 一般约定</w:t>
          </w:r>
          <w:r>
            <w:rPr>
              <w:highlight w:val="none"/>
            </w:rPr>
            <w:tab/>
          </w:r>
          <w:r>
            <w:rPr>
              <w:highlight w:val="none"/>
            </w:rPr>
            <w:fldChar w:fldCharType="begin"/>
          </w:r>
          <w:r>
            <w:rPr>
              <w:highlight w:val="none"/>
            </w:rPr>
            <w:instrText xml:space="preserve"> PAGEREF _Toc21158 \h </w:instrText>
          </w:r>
          <w:r>
            <w:rPr>
              <w:highlight w:val="none"/>
            </w:rPr>
            <w:fldChar w:fldCharType="separate"/>
          </w:r>
          <w:r>
            <w:rPr>
              <w:highlight w:val="none"/>
            </w:rPr>
            <w:t>97</w:t>
          </w:r>
          <w:r>
            <w:rPr>
              <w:highlight w:val="none"/>
            </w:rPr>
            <w:fldChar w:fldCharType="end"/>
          </w:r>
          <w:r>
            <w:rPr>
              <w:color w:val="auto"/>
              <w:highlight w:val="none"/>
            </w:rPr>
            <w:fldChar w:fldCharType="end"/>
          </w:r>
        </w:p>
        <w:p w14:paraId="0ACA1DDE">
          <w:pPr>
            <w:pStyle w:val="19"/>
            <w:tabs>
              <w:tab w:val="right" w:leader="dot" w:pos="8306"/>
            </w:tabs>
            <w:rPr>
              <w:highlight w:val="none"/>
            </w:rPr>
          </w:pPr>
          <w:r>
            <w:rPr>
              <w:color w:val="auto"/>
              <w:highlight w:val="none"/>
            </w:rPr>
            <w:fldChar w:fldCharType="begin"/>
          </w:r>
          <w:r>
            <w:rPr>
              <w:highlight w:val="none"/>
            </w:rPr>
            <w:instrText xml:space="preserve"> HYPERLINK \l _Toc26153 </w:instrText>
          </w:r>
          <w:r>
            <w:rPr>
              <w:highlight w:val="none"/>
            </w:rPr>
            <w:fldChar w:fldCharType="separate"/>
          </w:r>
          <w:r>
            <w:rPr>
              <w:rFonts w:ascii="黑体" w:hAnsi="黑体"/>
              <w:highlight w:val="none"/>
            </w:rPr>
            <w:t>1.1 词语定义</w:t>
          </w:r>
          <w:r>
            <w:rPr>
              <w:highlight w:val="none"/>
            </w:rPr>
            <w:tab/>
          </w:r>
          <w:r>
            <w:rPr>
              <w:highlight w:val="none"/>
            </w:rPr>
            <w:fldChar w:fldCharType="begin"/>
          </w:r>
          <w:r>
            <w:rPr>
              <w:highlight w:val="none"/>
            </w:rPr>
            <w:instrText xml:space="preserve"> PAGEREF _Toc26153 \h </w:instrText>
          </w:r>
          <w:r>
            <w:rPr>
              <w:highlight w:val="none"/>
            </w:rPr>
            <w:fldChar w:fldCharType="separate"/>
          </w:r>
          <w:r>
            <w:rPr>
              <w:highlight w:val="none"/>
            </w:rPr>
            <w:t>97</w:t>
          </w:r>
          <w:r>
            <w:rPr>
              <w:highlight w:val="none"/>
            </w:rPr>
            <w:fldChar w:fldCharType="end"/>
          </w:r>
          <w:r>
            <w:rPr>
              <w:color w:val="auto"/>
              <w:highlight w:val="none"/>
            </w:rPr>
            <w:fldChar w:fldCharType="end"/>
          </w:r>
        </w:p>
        <w:p w14:paraId="479BEA4E">
          <w:pPr>
            <w:pStyle w:val="19"/>
            <w:tabs>
              <w:tab w:val="right" w:leader="dot" w:pos="8306"/>
            </w:tabs>
            <w:rPr>
              <w:highlight w:val="none"/>
            </w:rPr>
          </w:pPr>
          <w:r>
            <w:rPr>
              <w:color w:val="auto"/>
              <w:highlight w:val="none"/>
            </w:rPr>
            <w:fldChar w:fldCharType="begin"/>
          </w:r>
          <w:r>
            <w:rPr>
              <w:highlight w:val="none"/>
            </w:rPr>
            <w:instrText xml:space="preserve"> HYPERLINK \l _Toc24834 </w:instrText>
          </w:r>
          <w:r>
            <w:rPr>
              <w:highlight w:val="none"/>
            </w:rPr>
            <w:fldChar w:fldCharType="separate"/>
          </w:r>
          <w:r>
            <w:rPr>
              <w:rFonts w:ascii="黑体" w:hAnsi="黑体"/>
              <w:highlight w:val="none"/>
            </w:rPr>
            <w:t>1.14 发包人要求违法</w:t>
          </w:r>
          <w:r>
            <w:rPr>
              <w:highlight w:val="none"/>
            </w:rPr>
            <w:tab/>
          </w:r>
          <w:r>
            <w:rPr>
              <w:highlight w:val="none"/>
            </w:rPr>
            <w:fldChar w:fldCharType="begin"/>
          </w:r>
          <w:r>
            <w:rPr>
              <w:highlight w:val="none"/>
            </w:rPr>
            <w:instrText xml:space="preserve"> PAGEREF _Toc24834 \h </w:instrText>
          </w:r>
          <w:r>
            <w:rPr>
              <w:highlight w:val="none"/>
            </w:rPr>
            <w:fldChar w:fldCharType="separate"/>
          </w:r>
          <w:r>
            <w:rPr>
              <w:highlight w:val="none"/>
            </w:rPr>
            <w:t>103</w:t>
          </w:r>
          <w:r>
            <w:rPr>
              <w:highlight w:val="none"/>
            </w:rPr>
            <w:fldChar w:fldCharType="end"/>
          </w:r>
          <w:r>
            <w:rPr>
              <w:color w:val="auto"/>
              <w:highlight w:val="none"/>
            </w:rPr>
            <w:fldChar w:fldCharType="end"/>
          </w:r>
        </w:p>
        <w:p w14:paraId="6DC8EFC5">
          <w:pPr>
            <w:pStyle w:val="19"/>
            <w:tabs>
              <w:tab w:val="right" w:leader="dot" w:pos="8306"/>
            </w:tabs>
            <w:rPr>
              <w:highlight w:val="none"/>
            </w:rPr>
          </w:pPr>
          <w:r>
            <w:rPr>
              <w:color w:val="auto"/>
              <w:highlight w:val="none"/>
            </w:rPr>
            <w:fldChar w:fldCharType="begin"/>
          </w:r>
          <w:r>
            <w:rPr>
              <w:highlight w:val="none"/>
            </w:rPr>
            <w:instrText xml:space="preserve"> HYPERLINK \l _Toc32640 </w:instrText>
          </w:r>
          <w:r>
            <w:rPr>
              <w:highlight w:val="none"/>
            </w:rPr>
            <w:fldChar w:fldCharType="separate"/>
          </w:r>
          <w:r>
            <w:rPr>
              <w:highlight w:val="none"/>
            </w:rPr>
            <w:t>2．发包人义务</w:t>
          </w:r>
          <w:r>
            <w:rPr>
              <w:highlight w:val="none"/>
            </w:rPr>
            <w:tab/>
          </w:r>
          <w:r>
            <w:rPr>
              <w:highlight w:val="none"/>
            </w:rPr>
            <w:fldChar w:fldCharType="begin"/>
          </w:r>
          <w:r>
            <w:rPr>
              <w:highlight w:val="none"/>
            </w:rPr>
            <w:instrText xml:space="preserve"> PAGEREF _Toc32640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10FAE965">
          <w:pPr>
            <w:pStyle w:val="19"/>
            <w:tabs>
              <w:tab w:val="right" w:leader="dot" w:pos="8306"/>
            </w:tabs>
            <w:rPr>
              <w:highlight w:val="none"/>
            </w:rPr>
          </w:pPr>
          <w:r>
            <w:rPr>
              <w:color w:val="auto"/>
              <w:highlight w:val="none"/>
            </w:rPr>
            <w:fldChar w:fldCharType="begin"/>
          </w:r>
          <w:r>
            <w:rPr>
              <w:highlight w:val="none"/>
            </w:rPr>
            <w:instrText xml:space="preserve"> HYPERLINK \l _Toc10583 </w:instrText>
          </w:r>
          <w:r>
            <w:rPr>
              <w:highlight w:val="none"/>
            </w:rPr>
            <w:fldChar w:fldCharType="separate"/>
          </w:r>
          <w:r>
            <w:rPr>
              <w:rFonts w:ascii="黑体" w:hAnsi="黑体"/>
              <w:highlight w:val="none"/>
            </w:rPr>
            <w:t>2.1 遵守法律</w:t>
          </w:r>
          <w:r>
            <w:rPr>
              <w:highlight w:val="none"/>
            </w:rPr>
            <w:tab/>
          </w:r>
          <w:r>
            <w:rPr>
              <w:highlight w:val="none"/>
            </w:rPr>
            <w:fldChar w:fldCharType="begin"/>
          </w:r>
          <w:r>
            <w:rPr>
              <w:highlight w:val="none"/>
            </w:rPr>
            <w:instrText xml:space="preserve"> PAGEREF _Toc10583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7107C8E4">
          <w:pPr>
            <w:pStyle w:val="19"/>
            <w:tabs>
              <w:tab w:val="right" w:leader="dot" w:pos="8306"/>
            </w:tabs>
            <w:rPr>
              <w:highlight w:val="none"/>
            </w:rPr>
          </w:pPr>
          <w:r>
            <w:rPr>
              <w:color w:val="auto"/>
              <w:highlight w:val="none"/>
            </w:rPr>
            <w:fldChar w:fldCharType="begin"/>
          </w:r>
          <w:r>
            <w:rPr>
              <w:highlight w:val="none"/>
            </w:rPr>
            <w:instrText xml:space="preserve"> HYPERLINK \l _Toc17547 </w:instrText>
          </w:r>
          <w:r>
            <w:rPr>
              <w:highlight w:val="none"/>
            </w:rPr>
            <w:fldChar w:fldCharType="separate"/>
          </w:r>
          <w:r>
            <w:rPr>
              <w:rFonts w:ascii="黑体" w:hAnsi="黑体"/>
              <w:highlight w:val="none"/>
            </w:rPr>
            <w:t>2.2 发出承包人开始工作通知</w:t>
          </w:r>
          <w:r>
            <w:rPr>
              <w:highlight w:val="none"/>
            </w:rPr>
            <w:tab/>
          </w:r>
          <w:r>
            <w:rPr>
              <w:highlight w:val="none"/>
            </w:rPr>
            <w:fldChar w:fldCharType="begin"/>
          </w:r>
          <w:r>
            <w:rPr>
              <w:highlight w:val="none"/>
            </w:rPr>
            <w:instrText xml:space="preserve"> PAGEREF _Toc17547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37948B69">
          <w:pPr>
            <w:pStyle w:val="19"/>
            <w:tabs>
              <w:tab w:val="right" w:leader="dot" w:pos="8306"/>
            </w:tabs>
            <w:rPr>
              <w:highlight w:val="none"/>
            </w:rPr>
          </w:pPr>
          <w:r>
            <w:rPr>
              <w:color w:val="auto"/>
              <w:highlight w:val="none"/>
            </w:rPr>
            <w:fldChar w:fldCharType="begin"/>
          </w:r>
          <w:r>
            <w:rPr>
              <w:highlight w:val="none"/>
            </w:rPr>
            <w:instrText xml:space="preserve"> HYPERLINK \l _Toc28341 </w:instrText>
          </w:r>
          <w:r>
            <w:rPr>
              <w:highlight w:val="none"/>
            </w:rPr>
            <w:fldChar w:fldCharType="separate"/>
          </w:r>
          <w:r>
            <w:rPr>
              <w:rFonts w:hAnsi="宋体" w:eastAsia="宋体" w:cs="Times New Roman"/>
              <w:bCs w:val="0"/>
              <w:szCs w:val="21"/>
              <w:highlight w:val="none"/>
            </w:rPr>
            <w:t>发包人应委托监理人按第11.1 款的约定向承包人发出开始工作通知。</w:t>
          </w:r>
          <w:r>
            <w:rPr>
              <w:highlight w:val="none"/>
            </w:rPr>
            <w:tab/>
          </w:r>
          <w:r>
            <w:rPr>
              <w:highlight w:val="none"/>
            </w:rPr>
            <w:fldChar w:fldCharType="begin"/>
          </w:r>
          <w:r>
            <w:rPr>
              <w:highlight w:val="none"/>
            </w:rPr>
            <w:instrText xml:space="preserve"> PAGEREF _Toc28341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5BB896B8">
          <w:pPr>
            <w:pStyle w:val="19"/>
            <w:tabs>
              <w:tab w:val="right" w:leader="dot" w:pos="8306"/>
            </w:tabs>
            <w:rPr>
              <w:highlight w:val="none"/>
            </w:rPr>
          </w:pPr>
          <w:r>
            <w:rPr>
              <w:color w:val="auto"/>
              <w:highlight w:val="none"/>
            </w:rPr>
            <w:fldChar w:fldCharType="begin"/>
          </w:r>
          <w:r>
            <w:rPr>
              <w:highlight w:val="none"/>
            </w:rPr>
            <w:instrText xml:space="preserve"> HYPERLINK \l _Toc31436 </w:instrText>
          </w:r>
          <w:r>
            <w:rPr>
              <w:highlight w:val="none"/>
            </w:rPr>
            <w:fldChar w:fldCharType="separate"/>
          </w:r>
          <w:r>
            <w:rPr>
              <w:rFonts w:ascii="黑体" w:hAnsi="黑体"/>
              <w:highlight w:val="none"/>
            </w:rPr>
            <w:t>2.3 提供施工场地</w:t>
          </w:r>
          <w:r>
            <w:rPr>
              <w:highlight w:val="none"/>
            </w:rPr>
            <w:tab/>
          </w:r>
          <w:r>
            <w:rPr>
              <w:highlight w:val="none"/>
            </w:rPr>
            <w:fldChar w:fldCharType="begin"/>
          </w:r>
          <w:r>
            <w:rPr>
              <w:highlight w:val="none"/>
            </w:rPr>
            <w:instrText xml:space="preserve"> PAGEREF _Toc31436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4EB96671">
          <w:pPr>
            <w:pStyle w:val="19"/>
            <w:tabs>
              <w:tab w:val="right" w:leader="dot" w:pos="8306"/>
            </w:tabs>
            <w:rPr>
              <w:highlight w:val="none"/>
            </w:rPr>
          </w:pPr>
          <w:r>
            <w:rPr>
              <w:color w:val="auto"/>
              <w:highlight w:val="none"/>
            </w:rPr>
            <w:fldChar w:fldCharType="begin"/>
          </w:r>
          <w:r>
            <w:rPr>
              <w:highlight w:val="none"/>
            </w:rPr>
            <w:instrText xml:space="preserve"> HYPERLINK \l _Toc7385 </w:instrText>
          </w:r>
          <w:r>
            <w:rPr>
              <w:highlight w:val="none"/>
            </w:rPr>
            <w:fldChar w:fldCharType="separate"/>
          </w:r>
          <w:r>
            <w:rPr>
              <w:rFonts w:ascii="黑体" w:hAnsi="黑体"/>
              <w:highlight w:val="none"/>
            </w:rPr>
            <w:t>2.4 办理证件和批件</w:t>
          </w:r>
          <w:r>
            <w:rPr>
              <w:highlight w:val="none"/>
            </w:rPr>
            <w:tab/>
          </w:r>
          <w:r>
            <w:rPr>
              <w:highlight w:val="none"/>
            </w:rPr>
            <w:fldChar w:fldCharType="begin"/>
          </w:r>
          <w:r>
            <w:rPr>
              <w:highlight w:val="none"/>
            </w:rPr>
            <w:instrText xml:space="preserve"> PAGEREF _Toc7385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7E346FB4">
          <w:pPr>
            <w:pStyle w:val="19"/>
            <w:tabs>
              <w:tab w:val="right" w:leader="dot" w:pos="8306"/>
            </w:tabs>
            <w:rPr>
              <w:highlight w:val="none"/>
            </w:rPr>
          </w:pPr>
          <w:r>
            <w:rPr>
              <w:color w:val="auto"/>
              <w:highlight w:val="none"/>
            </w:rPr>
            <w:fldChar w:fldCharType="begin"/>
          </w:r>
          <w:r>
            <w:rPr>
              <w:highlight w:val="none"/>
            </w:rPr>
            <w:instrText xml:space="preserve"> HYPERLINK \l _Toc25607 </w:instrText>
          </w:r>
          <w:r>
            <w:rPr>
              <w:highlight w:val="none"/>
            </w:rPr>
            <w:fldChar w:fldCharType="separate"/>
          </w:r>
          <w:r>
            <w:rPr>
              <w:highlight w:val="none"/>
            </w:rPr>
            <w:t>3. 监理人</w:t>
          </w:r>
          <w:r>
            <w:rPr>
              <w:highlight w:val="none"/>
            </w:rPr>
            <w:tab/>
          </w:r>
          <w:r>
            <w:rPr>
              <w:highlight w:val="none"/>
            </w:rPr>
            <w:fldChar w:fldCharType="begin"/>
          </w:r>
          <w:r>
            <w:rPr>
              <w:highlight w:val="none"/>
            </w:rPr>
            <w:instrText xml:space="preserve"> PAGEREF _Toc25607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635C1B31">
          <w:pPr>
            <w:pStyle w:val="19"/>
            <w:tabs>
              <w:tab w:val="right" w:leader="dot" w:pos="8306"/>
            </w:tabs>
            <w:rPr>
              <w:highlight w:val="none"/>
            </w:rPr>
          </w:pPr>
          <w:r>
            <w:rPr>
              <w:color w:val="auto"/>
              <w:highlight w:val="none"/>
            </w:rPr>
            <w:fldChar w:fldCharType="begin"/>
          </w:r>
          <w:r>
            <w:rPr>
              <w:highlight w:val="none"/>
            </w:rPr>
            <w:instrText xml:space="preserve"> HYPERLINK \l _Toc25518 </w:instrText>
          </w:r>
          <w:r>
            <w:rPr>
              <w:highlight w:val="none"/>
            </w:rPr>
            <w:fldChar w:fldCharType="separate"/>
          </w:r>
          <w:r>
            <w:rPr>
              <w:highlight w:val="none"/>
            </w:rPr>
            <w:t>4. 承包人</w:t>
          </w:r>
          <w:r>
            <w:rPr>
              <w:highlight w:val="none"/>
            </w:rPr>
            <w:tab/>
          </w:r>
          <w:r>
            <w:rPr>
              <w:highlight w:val="none"/>
            </w:rPr>
            <w:fldChar w:fldCharType="begin"/>
          </w:r>
          <w:r>
            <w:rPr>
              <w:highlight w:val="none"/>
            </w:rPr>
            <w:instrText xml:space="preserve"> PAGEREF _Toc25518 \h </w:instrText>
          </w:r>
          <w:r>
            <w:rPr>
              <w:highlight w:val="none"/>
            </w:rPr>
            <w:fldChar w:fldCharType="separate"/>
          </w:r>
          <w:r>
            <w:rPr>
              <w:highlight w:val="none"/>
            </w:rPr>
            <w:t>106</w:t>
          </w:r>
          <w:r>
            <w:rPr>
              <w:highlight w:val="none"/>
            </w:rPr>
            <w:fldChar w:fldCharType="end"/>
          </w:r>
          <w:r>
            <w:rPr>
              <w:color w:val="auto"/>
              <w:highlight w:val="none"/>
            </w:rPr>
            <w:fldChar w:fldCharType="end"/>
          </w:r>
        </w:p>
        <w:p w14:paraId="0C9D6ACA">
          <w:pPr>
            <w:pStyle w:val="19"/>
            <w:tabs>
              <w:tab w:val="right" w:leader="dot" w:pos="8306"/>
            </w:tabs>
            <w:rPr>
              <w:highlight w:val="none"/>
            </w:rPr>
          </w:pPr>
          <w:r>
            <w:rPr>
              <w:color w:val="auto"/>
              <w:highlight w:val="none"/>
            </w:rPr>
            <w:fldChar w:fldCharType="begin"/>
          </w:r>
          <w:r>
            <w:rPr>
              <w:highlight w:val="none"/>
            </w:rPr>
            <w:instrText xml:space="preserve"> HYPERLINK \l _Toc3482 </w:instrText>
          </w:r>
          <w:r>
            <w:rPr>
              <w:highlight w:val="none"/>
            </w:rPr>
            <w:fldChar w:fldCharType="separate"/>
          </w:r>
          <w:r>
            <w:rPr>
              <w:rFonts w:ascii="Times New Roman" w:hAnsi="Times New Roman" w:eastAsia="宋体"/>
              <w:highlight w:val="none"/>
            </w:rPr>
            <w:t xml:space="preserve">5. </w:t>
          </w:r>
          <w:r>
            <w:rPr>
              <w:highlight w:val="none"/>
            </w:rPr>
            <w:t>设计</w:t>
          </w:r>
          <w:r>
            <w:rPr>
              <w:highlight w:val="none"/>
            </w:rPr>
            <w:tab/>
          </w:r>
          <w:r>
            <w:rPr>
              <w:highlight w:val="none"/>
            </w:rPr>
            <w:fldChar w:fldCharType="begin"/>
          </w:r>
          <w:r>
            <w:rPr>
              <w:highlight w:val="none"/>
            </w:rPr>
            <w:instrText xml:space="preserve"> PAGEREF _Toc3482 \h </w:instrText>
          </w:r>
          <w:r>
            <w:rPr>
              <w:highlight w:val="none"/>
            </w:rPr>
            <w:fldChar w:fldCharType="separate"/>
          </w:r>
          <w:r>
            <w:rPr>
              <w:highlight w:val="none"/>
            </w:rPr>
            <w:t>112</w:t>
          </w:r>
          <w:r>
            <w:rPr>
              <w:highlight w:val="none"/>
            </w:rPr>
            <w:fldChar w:fldCharType="end"/>
          </w:r>
          <w:r>
            <w:rPr>
              <w:color w:val="auto"/>
              <w:highlight w:val="none"/>
            </w:rPr>
            <w:fldChar w:fldCharType="end"/>
          </w:r>
        </w:p>
        <w:p w14:paraId="113578D6">
          <w:pPr>
            <w:pStyle w:val="19"/>
            <w:tabs>
              <w:tab w:val="right" w:leader="dot" w:pos="8306"/>
            </w:tabs>
            <w:rPr>
              <w:highlight w:val="none"/>
            </w:rPr>
          </w:pPr>
          <w:r>
            <w:rPr>
              <w:color w:val="auto"/>
              <w:highlight w:val="none"/>
            </w:rPr>
            <w:fldChar w:fldCharType="begin"/>
          </w:r>
          <w:r>
            <w:rPr>
              <w:highlight w:val="none"/>
            </w:rPr>
            <w:instrText xml:space="preserve"> HYPERLINK \l _Toc23519 </w:instrText>
          </w:r>
          <w:r>
            <w:rPr>
              <w:highlight w:val="none"/>
            </w:rPr>
            <w:fldChar w:fldCharType="separate"/>
          </w:r>
          <w:r>
            <w:rPr>
              <w:rFonts w:ascii="Times New Roman" w:hAnsi="Times New Roman"/>
              <w:highlight w:val="none"/>
            </w:rPr>
            <w:t>5</w:t>
          </w:r>
          <w:r>
            <w:rPr>
              <w:highlight w:val="none"/>
            </w:rPr>
            <w:t>.</w:t>
          </w:r>
          <w:r>
            <w:rPr>
              <w:rFonts w:ascii="Times New Roman" w:hAnsi="Times New Roman"/>
              <w:highlight w:val="none"/>
            </w:rPr>
            <w:t>3</w:t>
          </w:r>
          <w:r>
            <w:rPr>
              <w:highlight w:val="none"/>
            </w:rPr>
            <w:t xml:space="preserve"> 设计审查</w:t>
          </w:r>
          <w:r>
            <w:rPr>
              <w:highlight w:val="none"/>
            </w:rPr>
            <w:tab/>
          </w:r>
          <w:r>
            <w:rPr>
              <w:highlight w:val="none"/>
            </w:rPr>
            <w:fldChar w:fldCharType="begin"/>
          </w:r>
          <w:r>
            <w:rPr>
              <w:highlight w:val="none"/>
            </w:rPr>
            <w:instrText xml:space="preserve"> PAGEREF _Toc23519 \h </w:instrText>
          </w:r>
          <w:r>
            <w:rPr>
              <w:highlight w:val="none"/>
            </w:rPr>
            <w:fldChar w:fldCharType="separate"/>
          </w:r>
          <w:r>
            <w:rPr>
              <w:highlight w:val="none"/>
            </w:rPr>
            <w:t>113</w:t>
          </w:r>
          <w:r>
            <w:rPr>
              <w:highlight w:val="none"/>
            </w:rPr>
            <w:fldChar w:fldCharType="end"/>
          </w:r>
          <w:r>
            <w:rPr>
              <w:color w:val="auto"/>
              <w:highlight w:val="none"/>
            </w:rPr>
            <w:fldChar w:fldCharType="end"/>
          </w:r>
        </w:p>
        <w:p w14:paraId="3162C7C6">
          <w:pPr>
            <w:pStyle w:val="19"/>
            <w:tabs>
              <w:tab w:val="right" w:leader="dot" w:pos="8306"/>
            </w:tabs>
            <w:rPr>
              <w:highlight w:val="none"/>
            </w:rPr>
          </w:pPr>
          <w:r>
            <w:rPr>
              <w:color w:val="auto"/>
              <w:highlight w:val="none"/>
            </w:rPr>
            <w:fldChar w:fldCharType="begin"/>
          </w:r>
          <w:r>
            <w:rPr>
              <w:highlight w:val="none"/>
            </w:rPr>
            <w:instrText xml:space="preserve"> HYPERLINK \l _Toc30947 </w:instrText>
          </w:r>
          <w:r>
            <w:rPr>
              <w:highlight w:val="none"/>
            </w:rPr>
            <w:fldChar w:fldCharType="separate"/>
          </w:r>
          <w:r>
            <w:rPr>
              <w:rFonts w:ascii="Times New Roman" w:hAnsi="Times New Roman" w:eastAsia="宋体"/>
              <w:highlight w:val="none"/>
            </w:rPr>
            <w:t xml:space="preserve">6. </w:t>
          </w:r>
          <w:r>
            <w:rPr>
              <w:highlight w:val="none"/>
            </w:rPr>
            <w:t>材料和工程设备</w:t>
          </w:r>
          <w:r>
            <w:rPr>
              <w:highlight w:val="none"/>
            </w:rPr>
            <w:tab/>
          </w:r>
          <w:r>
            <w:rPr>
              <w:highlight w:val="none"/>
            </w:rPr>
            <w:fldChar w:fldCharType="begin"/>
          </w:r>
          <w:r>
            <w:rPr>
              <w:highlight w:val="none"/>
            </w:rPr>
            <w:instrText xml:space="preserve"> PAGEREF _Toc30947 \h </w:instrText>
          </w:r>
          <w:r>
            <w:rPr>
              <w:highlight w:val="none"/>
            </w:rPr>
            <w:fldChar w:fldCharType="separate"/>
          </w:r>
          <w:r>
            <w:rPr>
              <w:highlight w:val="none"/>
            </w:rPr>
            <w:t>114</w:t>
          </w:r>
          <w:r>
            <w:rPr>
              <w:highlight w:val="none"/>
            </w:rPr>
            <w:fldChar w:fldCharType="end"/>
          </w:r>
          <w:r>
            <w:rPr>
              <w:color w:val="auto"/>
              <w:highlight w:val="none"/>
            </w:rPr>
            <w:fldChar w:fldCharType="end"/>
          </w:r>
        </w:p>
        <w:p w14:paraId="35718824">
          <w:pPr>
            <w:pStyle w:val="19"/>
            <w:tabs>
              <w:tab w:val="right" w:leader="dot" w:pos="8306"/>
            </w:tabs>
            <w:rPr>
              <w:highlight w:val="none"/>
            </w:rPr>
          </w:pPr>
          <w:r>
            <w:rPr>
              <w:color w:val="auto"/>
              <w:highlight w:val="none"/>
            </w:rPr>
            <w:fldChar w:fldCharType="begin"/>
          </w:r>
          <w:r>
            <w:rPr>
              <w:highlight w:val="none"/>
            </w:rPr>
            <w:instrText xml:space="preserve"> HYPERLINK \l _Toc1682 </w:instrText>
          </w:r>
          <w:r>
            <w:rPr>
              <w:highlight w:val="none"/>
            </w:rPr>
            <w:fldChar w:fldCharType="separate"/>
          </w:r>
          <w:r>
            <w:rPr>
              <w:rFonts w:ascii="Times New Roman" w:hAnsi="Times New Roman"/>
              <w:highlight w:val="none"/>
            </w:rPr>
            <w:t>6</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_Toc1682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12480010">
          <w:pPr>
            <w:pStyle w:val="19"/>
            <w:tabs>
              <w:tab w:val="right" w:leader="dot" w:pos="8306"/>
            </w:tabs>
            <w:rPr>
              <w:highlight w:val="none"/>
            </w:rPr>
          </w:pPr>
          <w:r>
            <w:rPr>
              <w:color w:val="auto"/>
              <w:highlight w:val="none"/>
            </w:rPr>
            <w:fldChar w:fldCharType="begin"/>
          </w:r>
          <w:r>
            <w:rPr>
              <w:highlight w:val="none"/>
            </w:rPr>
            <w:instrText xml:space="preserve"> HYPERLINK \l _Toc31425 </w:instrText>
          </w:r>
          <w:r>
            <w:rPr>
              <w:highlight w:val="none"/>
            </w:rPr>
            <w:fldChar w:fldCharType="separate"/>
          </w:r>
          <w:r>
            <w:rPr>
              <w:rFonts w:ascii="Times New Roman" w:hAnsi="Times New Roman"/>
              <w:highlight w:val="none"/>
            </w:rPr>
            <w:t>6</w:t>
          </w:r>
          <w:r>
            <w:rPr>
              <w:highlight w:val="none"/>
            </w:rPr>
            <w:t>.</w:t>
          </w:r>
          <w:r>
            <w:rPr>
              <w:rFonts w:ascii="Times New Roman" w:hAnsi="Times New Roman"/>
              <w:highlight w:val="none"/>
            </w:rPr>
            <w:t>5</w:t>
          </w:r>
          <w:r>
            <w:rPr>
              <w:highlight w:val="none"/>
            </w:rPr>
            <w:t xml:space="preserve"> 禁止使用不合格的材料和工程设备</w:t>
          </w:r>
          <w:r>
            <w:rPr>
              <w:highlight w:val="none"/>
            </w:rPr>
            <w:tab/>
          </w:r>
          <w:r>
            <w:rPr>
              <w:highlight w:val="none"/>
            </w:rPr>
            <w:fldChar w:fldCharType="begin"/>
          </w:r>
          <w:r>
            <w:rPr>
              <w:highlight w:val="none"/>
            </w:rPr>
            <w:instrText xml:space="preserve"> PAGEREF _Toc31425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4B2456F0">
          <w:pPr>
            <w:pStyle w:val="19"/>
            <w:tabs>
              <w:tab w:val="right" w:leader="dot" w:pos="8306"/>
            </w:tabs>
            <w:rPr>
              <w:highlight w:val="none"/>
            </w:rPr>
          </w:pPr>
          <w:r>
            <w:rPr>
              <w:color w:val="auto"/>
              <w:highlight w:val="none"/>
            </w:rPr>
            <w:fldChar w:fldCharType="begin"/>
          </w:r>
          <w:r>
            <w:rPr>
              <w:highlight w:val="none"/>
            </w:rPr>
            <w:instrText xml:space="preserve"> HYPERLINK \l _Toc9265 </w:instrText>
          </w:r>
          <w:r>
            <w:rPr>
              <w:highlight w:val="none"/>
            </w:rPr>
            <w:fldChar w:fldCharType="separate"/>
          </w:r>
          <w:r>
            <w:rPr>
              <w:rFonts w:ascii="Times New Roman" w:hAnsi="Times New Roman" w:eastAsia="宋体"/>
              <w:highlight w:val="none"/>
            </w:rPr>
            <w:t xml:space="preserve">7. </w:t>
          </w:r>
          <w:r>
            <w:rPr>
              <w:highlight w:val="none"/>
            </w:rPr>
            <w:t>施工设备和临时设施</w:t>
          </w:r>
          <w:r>
            <w:rPr>
              <w:highlight w:val="none"/>
            </w:rPr>
            <w:tab/>
          </w:r>
          <w:r>
            <w:rPr>
              <w:highlight w:val="none"/>
            </w:rPr>
            <w:fldChar w:fldCharType="begin"/>
          </w:r>
          <w:r>
            <w:rPr>
              <w:highlight w:val="none"/>
            </w:rPr>
            <w:instrText xml:space="preserve"> PAGEREF _Toc9265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3E059E9D">
          <w:pPr>
            <w:pStyle w:val="19"/>
            <w:tabs>
              <w:tab w:val="right" w:leader="dot" w:pos="8306"/>
            </w:tabs>
            <w:rPr>
              <w:highlight w:val="none"/>
            </w:rPr>
          </w:pPr>
          <w:r>
            <w:rPr>
              <w:color w:val="auto"/>
              <w:highlight w:val="none"/>
            </w:rPr>
            <w:fldChar w:fldCharType="begin"/>
          </w:r>
          <w:r>
            <w:rPr>
              <w:highlight w:val="none"/>
            </w:rPr>
            <w:instrText xml:space="preserve"> HYPERLINK \l _Toc15578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_Toc15578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6DF2E719">
          <w:pPr>
            <w:pStyle w:val="19"/>
            <w:tabs>
              <w:tab w:val="right" w:leader="dot" w:pos="8306"/>
            </w:tabs>
            <w:rPr>
              <w:highlight w:val="none"/>
            </w:rPr>
          </w:pPr>
          <w:r>
            <w:rPr>
              <w:color w:val="auto"/>
              <w:highlight w:val="none"/>
            </w:rPr>
            <w:fldChar w:fldCharType="begin"/>
          </w:r>
          <w:r>
            <w:rPr>
              <w:highlight w:val="none"/>
            </w:rPr>
            <w:instrText xml:space="preserve"> HYPERLINK \l _Toc32547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_Toc32547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74EC8396">
          <w:pPr>
            <w:pStyle w:val="19"/>
            <w:tabs>
              <w:tab w:val="right" w:leader="dot" w:pos="8306"/>
            </w:tabs>
            <w:rPr>
              <w:highlight w:val="none"/>
            </w:rPr>
          </w:pPr>
          <w:r>
            <w:rPr>
              <w:color w:val="auto"/>
              <w:highlight w:val="none"/>
            </w:rPr>
            <w:fldChar w:fldCharType="begin"/>
          </w:r>
          <w:r>
            <w:rPr>
              <w:highlight w:val="none"/>
            </w:rPr>
            <w:instrText xml:space="preserve"> HYPERLINK \l _Toc29161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2</w:t>
          </w:r>
          <w:r>
            <w:rPr>
              <w:highlight w:val="none"/>
            </w:rPr>
            <w:t xml:space="preserve"> 发包人提供的施工设备和临时设施（</w:t>
          </w:r>
          <w:r>
            <w:rPr>
              <w:highlight w:val="none"/>
            </w:rPr>
            <w:tab/>
          </w:r>
          <w:r>
            <w:rPr>
              <w:highlight w:val="none"/>
            </w:rPr>
            <w:fldChar w:fldCharType="begin"/>
          </w:r>
          <w:r>
            <w:rPr>
              <w:highlight w:val="none"/>
            </w:rPr>
            <w:instrText xml:space="preserve"> PAGEREF _Toc29161 \h </w:instrText>
          </w:r>
          <w:r>
            <w:rPr>
              <w:highlight w:val="none"/>
            </w:rPr>
            <w:fldChar w:fldCharType="separate"/>
          </w:r>
          <w:r>
            <w:rPr>
              <w:highlight w:val="none"/>
            </w:rPr>
            <w:t>116</w:t>
          </w:r>
          <w:r>
            <w:rPr>
              <w:highlight w:val="none"/>
            </w:rPr>
            <w:fldChar w:fldCharType="end"/>
          </w:r>
          <w:r>
            <w:rPr>
              <w:color w:val="auto"/>
              <w:highlight w:val="none"/>
            </w:rPr>
            <w:fldChar w:fldCharType="end"/>
          </w:r>
        </w:p>
        <w:p w14:paraId="2FEADAE4">
          <w:pPr>
            <w:pStyle w:val="19"/>
            <w:tabs>
              <w:tab w:val="right" w:leader="dot" w:pos="8306"/>
            </w:tabs>
            <w:rPr>
              <w:highlight w:val="none"/>
            </w:rPr>
          </w:pPr>
          <w:r>
            <w:rPr>
              <w:color w:val="auto"/>
              <w:highlight w:val="none"/>
            </w:rPr>
            <w:fldChar w:fldCharType="begin"/>
          </w:r>
          <w:r>
            <w:rPr>
              <w:highlight w:val="none"/>
            </w:rPr>
            <w:instrText xml:space="preserve"> HYPERLINK \l _Toc4452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_Toc4452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622CF5A6">
          <w:pPr>
            <w:pStyle w:val="19"/>
            <w:tabs>
              <w:tab w:val="right" w:leader="dot" w:pos="8306"/>
            </w:tabs>
            <w:rPr>
              <w:highlight w:val="none"/>
            </w:rPr>
          </w:pPr>
          <w:r>
            <w:rPr>
              <w:color w:val="auto"/>
              <w:highlight w:val="none"/>
            </w:rPr>
            <w:fldChar w:fldCharType="begin"/>
          </w:r>
          <w:r>
            <w:rPr>
              <w:highlight w:val="none"/>
            </w:rPr>
            <w:instrText xml:space="preserve"> HYPERLINK \l _Toc7552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_Toc7552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3C09D634">
          <w:pPr>
            <w:pStyle w:val="19"/>
            <w:tabs>
              <w:tab w:val="right" w:leader="dot" w:pos="8306"/>
            </w:tabs>
            <w:rPr>
              <w:highlight w:val="none"/>
            </w:rPr>
          </w:pPr>
          <w:r>
            <w:rPr>
              <w:color w:val="auto"/>
              <w:highlight w:val="none"/>
            </w:rPr>
            <w:fldChar w:fldCharType="begin"/>
          </w:r>
          <w:r>
            <w:rPr>
              <w:highlight w:val="none"/>
            </w:rPr>
            <w:instrText xml:space="preserve"> HYPERLINK \l _Toc948 </w:instrText>
          </w:r>
          <w:r>
            <w:rPr>
              <w:highlight w:val="none"/>
            </w:rPr>
            <w:fldChar w:fldCharType="separate"/>
          </w:r>
          <w:r>
            <w:rPr>
              <w:rFonts w:ascii="Times New Roman" w:hAnsi="Times New Roman" w:eastAsia="宋体"/>
              <w:highlight w:val="none"/>
            </w:rPr>
            <w:t xml:space="preserve">8. </w:t>
          </w:r>
          <w:r>
            <w:rPr>
              <w:highlight w:val="none"/>
            </w:rPr>
            <w:t>交通运输</w:t>
          </w:r>
          <w:r>
            <w:rPr>
              <w:highlight w:val="none"/>
            </w:rPr>
            <w:tab/>
          </w:r>
          <w:r>
            <w:rPr>
              <w:highlight w:val="none"/>
            </w:rPr>
            <w:fldChar w:fldCharType="begin"/>
          </w:r>
          <w:r>
            <w:rPr>
              <w:highlight w:val="none"/>
            </w:rPr>
            <w:instrText xml:space="preserve"> PAGEREF _Toc948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61EF7696">
          <w:pPr>
            <w:pStyle w:val="19"/>
            <w:tabs>
              <w:tab w:val="right" w:leader="dot" w:pos="8306"/>
            </w:tabs>
            <w:rPr>
              <w:highlight w:val="none"/>
            </w:rPr>
          </w:pPr>
          <w:r>
            <w:rPr>
              <w:color w:val="auto"/>
              <w:highlight w:val="none"/>
            </w:rPr>
            <w:fldChar w:fldCharType="begin"/>
          </w:r>
          <w:r>
            <w:rPr>
              <w:highlight w:val="none"/>
            </w:rPr>
            <w:instrText xml:space="preserve"> HYPERLINK \l _Toc4843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_Toc4843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03989C88">
          <w:pPr>
            <w:pStyle w:val="19"/>
            <w:tabs>
              <w:tab w:val="right" w:leader="dot" w:pos="8306"/>
            </w:tabs>
            <w:rPr>
              <w:highlight w:val="none"/>
            </w:rPr>
          </w:pPr>
          <w:r>
            <w:rPr>
              <w:color w:val="auto"/>
              <w:highlight w:val="none"/>
            </w:rPr>
            <w:fldChar w:fldCharType="begin"/>
          </w:r>
          <w:r>
            <w:rPr>
              <w:highlight w:val="none"/>
            </w:rPr>
            <w:instrText xml:space="preserve"> HYPERLINK \l _Toc15229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_Toc15229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1DFECEE3">
          <w:pPr>
            <w:pStyle w:val="19"/>
            <w:tabs>
              <w:tab w:val="right" w:leader="dot" w:pos="8306"/>
            </w:tabs>
            <w:rPr>
              <w:highlight w:val="none"/>
            </w:rPr>
          </w:pPr>
          <w:r>
            <w:rPr>
              <w:color w:val="auto"/>
              <w:highlight w:val="none"/>
            </w:rPr>
            <w:fldChar w:fldCharType="begin"/>
          </w:r>
          <w:r>
            <w:rPr>
              <w:highlight w:val="none"/>
            </w:rPr>
            <w:instrText xml:space="preserve"> HYPERLINK \l _Toc11283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_Toc11283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57558039">
          <w:pPr>
            <w:pStyle w:val="19"/>
            <w:tabs>
              <w:tab w:val="right" w:leader="dot" w:pos="8306"/>
            </w:tabs>
            <w:rPr>
              <w:highlight w:val="none"/>
            </w:rPr>
          </w:pPr>
          <w:r>
            <w:rPr>
              <w:color w:val="auto"/>
              <w:highlight w:val="none"/>
            </w:rPr>
            <w:fldChar w:fldCharType="begin"/>
          </w:r>
          <w:r>
            <w:rPr>
              <w:highlight w:val="none"/>
            </w:rPr>
            <w:instrText xml:space="preserve"> HYPERLINK \l _Toc5276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_Toc5276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0085FDA7">
          <w:pPr>
            <w:pStyle w:val="19"/>
            <w:tabs>
              <w:tab w:val="right" w:leader="dot" w:pos="8306"/>
            </w:tabs>
            <w:rPr>
              <w:highlight w:val="none"/>
            </w:rPr>
          </w:pPr>
          <w:r>
            <w:rPr>
              <w:color w:val="auto"/>
              <w:highlight w:val="none"/>
            </w:rPr>
            <w:fldChar w:fldCharType="begin"/>
          </w:r>
          <w:r>
            <w:rPr>
              <w:highlight w:val="none"/>
            </w:rPr>
            <w:instrText xml:space="preserve"> HYPERLINK \l _Toc147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_Toc147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73B5DF8F">
          <w:pPr>
            <w:pStyle w:val="19"/>
            <w:tabs>
              <w:tab w:val="right" w:leader="dot" w:pos="8306"/>
            </w:tabs>
            <w:rPr>
              <w:highlight w:val="none"/>
            </w:rPr>
          </w:pPr>
          <w:r>
            <w:rPr>
              <w:color w:val="auto"/>
              <w:highlight w:val="none"/>
            </w:rPr>
            <w:fldChar w:fldCharType="begin"/>
          </w:r>
          <w:r>
            <w:rPr>
              <w:highlight w:val="none"/>
            </w:rPr>
            <w:instrText xml:space="preserve"> HYPERLINK \l _Toc3754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_Toc3754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69753377">
          <w:pPr>
            <w:pStyle w:val="19"/>
            <w:tabs>
              <w:tab w:val="right" w:leader="dot" w:pos="8306"/>
            </w:tabs>
            <w:rPr>
              <w:highlight w:val="none"/>
            </w:rPr>
          </w:pPr>
          <w:r>
            <w:rPr>
              <w:color w:val="auto"/>
              <w:highlight w:val="none"/>
            </w:rPr>
            <w:fldChar w:fldCharType="begin"/>
          </w:r>
          <w:r>
            <w:rPr>
              <w:highlight w:val="none"/>
            </w:rPr>
            <w:instrText xml:space="preserve"> HYPERLINK \l _Toc26206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_Toc26206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399AEA95">
          <w:pPr>
            <w:pStyle w:val="19"/>
            <w:tabs>
              <w:tab w:val="right" w:leader="dot" w:pos="8306"/>
            </w:tabs>
            <w:rPr>
              <w:highlight w:val="none"/>
            </w:rPr>
          </w:pPr>
          <w:r>
            <w:rPr>
              <w:color w:val="auto"/>
              <w:highlight w:val="none"/>
            </w:rPr>
            <w:fldChar w:fldCharType="begin"/>
          </w:r>
          <w:r>
            <w:rPr>
              <w:highlight w:val="none"/>
            </w:rPr>
            <w:instrText xml:space="preserve"> HYPERLINK \l _Toc12680 </w:instrText>
          </w:r>
          <w:r>
            <w:rPr>
              <w:highlight w:val="none"/>
            </w:rPr>
            <w:fldChar w:fldCharType="separate"/>
          </w:r>
          <w:r>
            <w:rPr>
              <w:rFonts w:ascii="Times New Roman" w:hAnsi="Times New Roman" w:eastAsia="宋体"/>
              <w:highlight w:val="none"/>
            </w:rPr>
            <w:t xml:space="preserve">9. </w:t>
          </w:r>
          <w:r>
            <w:rPr>
              <w:highlight w:val="none"/>
            </w:rPr>
            <w:t>测量放线</w:t>
          </w:r>
          <w:r>
            <w:rPr>
              <w:highlight w:val="none"/>
            </w:rPr>
            <w:tab/>
          </w:r>
          <w:r>
            <w:rPr>
              <w:highlight w:val="none"/>
            </w:rPr>
            <w:fldChar w:fldCharType="begin"/>
          </w:r>
          <w:r>
            <w:rPr>
              <w:highlight w:val="none"/>
            </w:rPr>
            <w:instrText xml:space="preserve"> PAGEREF _Toc12680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6750C954">
          <w:pPr>
            <w:pStyle w:val="19"/>
            <w:tabs>
              <w:tab w:val="right" w:leader="dot" w:pos="8306"/>
            </w:tabs>
            <w:rPr>
              <w:highlight w:val="none"/>
            </w:rPr>
          </w:pPr>
          <w:r>
            <w:rPr>
              <w:color w:val="auto"/>
              <w:highlight w:val="none"/>
            </w:rPr>
            <w:fldChar w:fldCharType="begin"/>
          </w:r>
          <w:r>
            <w:rPr>
              <w:highlight w:val="none"/>
            </w:rPr>
            <w:instrText xml:space="preserve"> HYPERLINK \l _Toc4261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_Toc4261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349CAC6E">
          <w:pPr>
            <w:pStyle w:val="19"/>
            <w:tabs>
              <w:tab w:val="right" w:leader="dot" w:pos="8306"/>
            </w:tabs>
            <w:rPr>
              <w:highlight w:val="none"/>
            </w:rPr>
          </w:pPr>
          <w:r>
            <w:rPr>
              <w:color w:val="auto"/>
              <w:highlight w:val="none"/>
            </w:rPr>
            <w:fldChar w:fldCharType="begin"/>
          </w:r>
          <w:r>
            <w:rPr>
              <w:highlight w:val="none"/>
            </w:rPr>
            <w:instrText xml:space="preserve"> HYPERLINK \l _Toc19248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_Toc19248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5DF5FEEE">
          <w:pPr>
            <w:pStyle w:val="19"/>
            <w:tabs>
              <w:tab w:val="right" w:leader="dot" w:pos="8306"/>
            </w:tabs>
            <w:rPr>
              <w:highlight w:val="none"/>
            </w:rPr>
          </w:pPr>
          <w:r>
            <w:rPr>
              <w:color w:val="auto"/>
              <w:highlight w:val="none"/>
            </w:rPr>
            <w:fldChar w:fldCharType="begin"/>
          </w:r>
          <w:r>
            <w:rPr>
              <w:highlight w:val="none"/>
            </w:rPr>
            <w:instrText xml:space="preserve"> HYPERLINK \l _Toc1757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_Toc1757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46477B56">
          <w:pPr>
            <w:pStyle w:val="19"/>
            <w:tabs>
              <w:tab w:val="right" w:leader="dot" w:pos="8306"/>
            </w:tabs>
            <w:rPr>
              <w:highlight w:val="none"/>
            </w:rPr>
          </w:pPr>
          <w:r>
            <w:rPr>
              <w:color w:val="auto"/>
              <w:highlight w:val="none"/>
            </w:rPr>
            <w:fldChar w:fldCharType="begin"/>
          </w:r>
          <w:r>
            <w:rPr>
              <w:highlight w:val="none"/>
            </w:rPr>
            <w:instrText xml:space="preserve"> HYPERLINK \l _Toc30998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_Toc30998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11C701E8">
          <w:pPr>
            <w:pStyle w:val="19"/>
            <w:tabs>
              <w:tab w:val="right" w:leader="dot" w:pos="8306"/>
            </w:tabs>
            <w:rPr>
              <w:highlight w:val="none"/>
            </w:rPr>
          </w:pPr>
          <w:r>
            <w:rPr>
              <w:color w:val="auto"/>
              <w:highlight w:val="none"/>
            </w:rPr>
            <w:fldChar w:fldCharType="begin"/>
          </w:r>
          <w:r>
            <w:rPr>
              <w:highlight w:val="none"/>
            </w:rPr>
            <w:instrText xml:space="preserve"> HYPERLINK \l _Toc15645 </w:instrText>
          </w:r>
          <w:r>
            <w:rPr>
              <w:highlight w:val="none"/>
            </w:rPr>
            <w:fldChar w:fldCharType="separate"/>
          </w:r>
          <w:r>
            <w:rPr>
              <w:rFonts w:ascii="Times New Roman" w:hAnsi="Times New Roman" w:eastAsia="宋体"/>
              <w:highlight w:val="none"/>
            </w:rPr>
            <w:t xml:space="preserve">10. </w:t>
          </w:r>
          <w:r>
            <w:rPr>
              <w:highlight w:val="none"/>
            </w:rPr>
            <w:t>安全、治安保卫和环境保护</w:t>
          </w:r>
          <w:r>
            <w:rPr>
              <w:highlight w:val="none"/>
            </w:rPr>
            <w:tab/>
          </w:r>
          <w:r>
            <w:rPr>
              <w:highlight w:val="none"/>
            </w:rPr>
            <w:fldChar w:fldCharType="begin"/>
          </w:r>
          <w:r>
            <w:rPr>
              <w:highlight w:val="none"/>
            </w:rPr>
            <w:instrText xml:space="preserve"> PAGEREF _Toc15645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64A718BE">
          <w:pPr>
            <w:pStyle w:val="19"/>
            <w:tabs>
              <w:tab w:val="right" w:leader="dot" w:pos="8306"/>
            </w:tabs>
            <w:rPr>
              <w:highlight w:val="none"/>
            </w:rPr>
          </w:pPr>
          <w:r>
            <w:rPr>
              <w:color w:val="auto"/>
              <w:highlight w:val="none"/>
            </w:rPr>
            <w:fldChar w:fldCharType="begin"/>
          </w:r>
          <w:r>
            <w:rPr>
              <w:highlight w:val="none"/>
            </w:rPr>
            <w:instrText xml:space="preserve"> HYPERLINK \l _Toc16805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_Toc16805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244E6541">
          <w:pPr>
            <w:pStyle w:val="19"/>
            <w:tabs>
              <w:tab w:val="right" w:leader="dot" w:pos="8306"/>
            </w:tabs>
            <w:rPr>
              <w:highlight w:val="none"/>
            </w:rPr>
          </w:pPr>
          <w:r>
            <w:rPr>
              <w:color w:val="auto"/>
              <w:highlight w:val="none"/>
            </w:rPr>
            <w:fldChar w:fldCharType="begin"/>
          </w:r>
          <w:r>
            <w:rPr>
              <w:highlight w:val="none"/>
            </w:rPr>
            <w:instrText xml:space="preserve"> HYPERLINK \l _Toc8226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_Toc8226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6484AD8C">
          <w:pPr>
            <w:pStyle w:val="19"/>
            <w:tabs>
              <w:tab w:val="right" w:leader="dot" w:pos="8306"/>
            </w:tabs>
            <w:rPr>
              <w:highlight w:val="none"/>
            </w:rPr>
          </w:pPr>
          <w:r>
            <w:rPr>
              <w:color w:val="auto"/>
              <w:highlight w:val="none"/>
            </w:rPr>
            <w:fldChar w:fldCharType="begin"/>
          </w:r>
          <w:r>
            <w:rPr>
              <w:highlight w:val="none"/>
            </w:rPr>
            <w:instrText xml:space="preserve"> HYPERLINK \l _Toc26271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_Toc26271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3573DE3E">
          <w:pPr>
            <w:pStyle w:val="19"/>
            <w:tabs>
              <w:tab w:val="right" w:leader="dot" w:pos="8306"/>
            </w:tabs>
            <w:rPr>
              <w:highlight w:val="none"/>
            </w:rPr>
          </w:pPr>
          <w:r>
            <w:rPr>
              <w:color w:val="auto"/>
              <w:highlight w:val="none"/>
            </w:rPr>
            <w:fldChar w:fldCharType="begin"/>
          </w:r>
          <w:r>
            <w:rPr>
              <w:highlight w:val="none"/>
            </w:rPr>
            <w:instrText xml:space="preserve"> HYPERLINK \l _Toc15035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_Toc15035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3F45233B">
          <w:pPr>
            <w:pStyle w:val="19"/>
            <w:tabs>
              <w:tab w:val="right" w:leader="dot" w:pos="8306"/>
            </w:tabs>
            <w:rPr>
              <w:highlight w:val="none"/>
            </w:rPr>
          </w:pPr>
          <w:r>
            <w:rPr>
              <w:color w:val="auto"/>
              <w:highlight w:val="none"/>
            </w:rPr>
            <w:fldChar w:fldCharType="begin"/>
          </w:r>
          <w:r>
            <w:rPr>
              <w:highlight w:val="none"/>
            </w:rPr>
            <w:instrText xml:space="preserve"> HYPERLINK \l _Toc8031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_Toc8031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68567632">
          <w:pPr>
            <w:pStyle w:val="19"/>
            <w:tabs>
              <w:tab w:val="right" w:leader="dot" w:pos="8306"/>
            </w:tabs>
            <w:rPr>
              <w:highlight w:val="none"/>
            </w:rPr>
          </w:pPr>
          <w:r>
            <w:rPr>
              <w:color w:val="auto"/>
              <w:highlight w:val="none"/>
            </w:rPr>
            <w:fldChar w:fldCharType="begin"/>
          </w:r>
          <w:r>
            <w:rPr>
              <w:highlight w:val="none"/>
            </w:rPr>
            <w:instrText xml:space="preserve"> HYPERLINK \l _Toc1911 </w:instrText>
          </w:r>
          <w:r>
            <w:rPr>
              <w:highlight w:val="none"/>
            </w:rPr>
            <w:fldChar w:fldCharType="separate"/>
          </w:r>
          <w:r>
            <w:rPr>
              <w:rFonts w:ascii="Times New Roman" w:hAnsi="Times New Roman" w:eastAsia="宋体"/>
              <w:highlight w:val="none"/>
            </w:rPr>
            <w:t xml:space="preserve">11. </w:t>
          </w:r>
          <w:r>
            <w:rPr>
              <w:highlight w:val="none"/>
            </w:rPr>
            <w:t>开始工作和竣工</w:t>
          </w:r>
          <w:r>
            <w:rPr>
              <w:highlight w:val="none"/>
            </w:rPr>
            <w:tab/>
          </w:r>
          <w:r>
            <w:rPr>
              <w:highlight w:val="none"/>
            </w:rPr>
            <w:fldChar w:fldCharType="begin"/>
          </w:r>
          <w:r>
            <w:rPr>
              <w:highlight w:val="none"/>
            </w:rPr>
            <w:instrText xml:space="preserve"> PAGEREF _Toc1911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3272ADD2">
          <w:pPr>
            <w:pStyle w:val="19"/>
            <w:tabs>
              <w:tab w:val="right" w:leader="dot" w:pos="8306"/>
            </w:tabs>
            <w:rPr>
              <w:highlight w:val="none"/>
            </w:rPr>
          </w:pPr>
          <w:r>
            <w:rPr>
              <w:color w:val="auto"/>
              <w:highlight w:val="none"/>
            </w:rPr>
            <w:fldChar w:fldCharType="begin"/>
          </w:r>
          <w:r>
            <w:rPr>
              <w:highlight w:val="none"/>
            </w:rPr>
            <w:instrText xml:space="preserve"> HYPERLINK \l _Toc8787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_Toc8787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568252CB">
          <w:pPr>
            <w:pStyle w:val="19"/>
            <w:tabs>
              <w:tab w:val="right" w:leader="dot" w:pos="8306"/>
            </w:tabs>
            <w:rPr>
              <w:highlight w:val="none"/>
            </w:rPr>
          </w:pPr>
          <w:r>
            <w:rPr>
              <w:color w:val="auto"/>
              <w:highlight w:val="none"/>
            </w:rPr>
            <w:fldChar w:fldCharType="begin"/>
          </w:r>
          <w:r>
            <w:rPr>
              <w:highlight w:val="none"/>
            </w:rPr>
            <w:instrText xml:space="preserve"> HYPERLINK \l _Toc22719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_Toc22719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13892549">
          <w:pPr>
            <w:pStyle w:val="19"/>
            <w:tabs>
              <w:tab w:val="right" w:leader="dot" w:pos="8306"/>
            </w:tabs>
            <w:rPr>
              <w:highlight w:val="none"/>
            </w:rPr>
          </w:pPr>
          <w:r>
            <w:rPr>
              <w:color w:val="auto"/>
              <w:highlight w:val="none"/>
            </w:rPr>
            <w:fldChar w:fldCharType="begin"/>
          </w:r>
          <w:r>
            <w:rPr>
              <w:highlight w:val="none"/>
            </w:rPr>
            <w:instrText xml:space="preserve"> HYPERLINK \l _Toc24364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3</w:t>
          </w:r>
          <w:r>
            <w:rPr>
              <w:highlight w:val="none"/>
            </w:rPr>
            <w:t xml:space="preserve"> 发包人引起的工期延误</w:t>
          </w:r>
          <w:r>
            <w:rPr>
              <w:highlight w:val="none"/>
            </w:rPr>
            <w:tab/>
          </w:r>
          <w:r>
            <w:rPr>
              <w:highlight w:val="none"/>
            </w:rPr>
            <w:fldChar w:fldCharType="begin"/>
          </w:r>
          <w:r>
            <w:rPr>
              <w:highlight w:val="none"/>
            </w:rPr>
            <w:instrText xml:space="preserve"> PAGEREF _Toc24364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2C59351E">
          <w:pPr>
            <w:pStyle w:val="19"/>
            <w:tabs>
              <w:tab w:val="right" w:leader="dot" w:pos="8306"/>
            </w:tabs>
            <w:rPr>
              <w:highlight w:val="none"/>
            </w:rPr>
          </w:pPr>
          <w:r>
            <w:rPr>
              <w:color w:val="auto"/>
              <w:highlight w:val="none"/>
            </w:rPr>
            <w:fldChar w:fldCharType="begin"/>
          </w:r>
          <w:r>
            <w:rPr>
              <w:highlight w:val="none"/>
            </w:rPr>
            <w:instrText xml:space="preserve"> HYPERLINK \l _Toc21189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_Toc21189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4325270C">
          <w:pPr>
            <w:pStyle w:val="19"/>
            <w:tabs>
              <w:tab w:val="right" w:leader="dot" w:pos="8306"/>
            </w:tabs>
            <w:rPr>
              <w:highlight w:val="none"/>
            </w:rPr>
          </w:pPr>
          <w:r>
            <w:rPr>
              <w:color w:val="auto"/>
              <w:highlight w:val="none"/>
            </w:rPr>
            <w:fldChar w:fldCharType="begin"/>
          </w:r>
          <w:r>
            <w:rPr>
              <w:highlight w:val="none"/>
            </w:rPr>
            <w:instrText xml:space="preserve"> HYPERLINK \l _Toc12867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_Toc12867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3BB6B520">
          <w:pPr>
            <w:pStyle w:val="19"/>
            <w:tabs>
              <w:tab w:val="right" w:leader="dot" w:pos="8306"/>
            </w:tabs>
            <w:rPr>
              <w:highlight w:val="none"/>
            </w:rPr>
          </w:pPr>
          <w:r>
            <w:rPr>
              <w:color w:val="auto"/>
              <w:highlight w:val="none"/>
            </w:rPr>
            <w:fldChar w:fldCharType="begin"/>
          </w:r>
          <w:r>
            <w:rPr>
              <w:highlight w:val="none"/>
            </w:rPr>
            <w:instrText xml:space="preserve"> HYPERLINK \l _Toc28085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_Toc28085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307E1DB7">
          <w:pPr>
            <w:pStyle w:val="19"/>
            <w:tabs>
              <w:tab w:val="right" w:leader="dot" w:pos="8306"/>
            </w:tabs>
            <w:rPr>
              <w:highlight w:val="none"/>
            </w:rPr>
          </w:pPr>
          <w:r>
            <w:rPr>
              <w:color w:val="auto"/>
              <w:highlight w:val="none"/>
            </w:rPr>
            <w:fldChar w:fldCharType="begin"/>
          </w:r>
          <w:r>
            <w:rPr>
              <w:highlight w:val="none"/>
            </w:rPr>
            <w:instrText xml:space="preserve"> HYPERLINK \l _Toc17756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7</w:t>
          </w:r>
          <w:r>
            <w:rPr>
              <w:highlight w:val="none"/>
            </w:rPr>
            <w:tab/>
          </w:r>
          <w:r>
            <w:rPr>
              <w:highlight w:val="none"/>
            </w:rPr>
            <w:fldChar w:fldCharType="begin"/>
          </w:r>
          <w:r>
            <w:rPr>
              <w:highlight w:val="none"/>
            </w:rPr>
            <w:instrText xml:space="preserve"> PAGEREF _Toc17756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6498DBB7">
          <w:pPr>
            <w:pStyle w:val="19"/>
            <w:tabs>
              <w:tab w:val="right" w:leader="dot" w:pos="8306"/>
            </w:tabs>
            <w:rPr>
              <w:highlight w:val="none"/>
            </w:rPr>
          </w:pPr>
          <w:r>
            <w:rPr>
              <w:color w:val="auto"/>
              <w:highlight w:val="none"/>
            </w:rPr>
            <w:fldChar w:fldCharType="begin"/>
          </w:r>
          <w:r>
            <w:rPr>
              <w:highlight w:val="none"/>
            </w:rPr>
            <w:instrText xml:space="preserve"> HYPERLINK \l _Toc22245 </w:instrText>
          </w:r>
          <w:r>
            <w:rPr>
              <w:highlight w:val="none"/>
            </w:rPr>
            <w:fldChar w:fldCharType="separate"/>
          </w:r>
          <w:r>
            <w:rPr>
              <w:rFonts w:ascii="Times New Roman" w:hAnsi="Times New Roman" w:eastAsia="宋体"/>
              <w:highlight w:val="none"/>
            </w:rPr>
            <w:t xml:space="preserve">12. </w:t>
          </w:r>
          <w:r>
            <w:rPr>
              <w:highlight w:val="none"/>
            </w:rPr>
            <w:t>暂停工作</w:t>
          </w:r>
          <w:r>
            <w:rPr>
              <w:highlight w:val="none"/>
            </w:rPr>
            <w:tab/>
          </w:r>
          <w:r>
            <w:rPr>
              <w:highlight w:val="none"/>
            </w:rPr>
            <w:fldChar w:fldCharType="begin"/>
          </w:r>
          <w:r>
            <w:rPr>
              <w:highlight w:val="none"/>
            </w:rPr>
            <w:instrText xml:space="preserve"> PAGEREF _Toc22245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031F3732">
          <w:pPr>
            <w:pStyle w:val="19"/>
            <w:tabs>
              <w:tab w:val="right" w:leader="dot" w:pos="8306"/>
            </w:tabs>
            <w:rPr>
              <w:highlight w:val="none"/>
            </w:rPr>
          </w:pPr>
          <w:r>
            <w:rPr>
              <w:color w:val="auto"/>
              <w:highlight w:val="none"/>
            </w:rPr>
            <w:fldChar w:fldCharType="begin"/>
          </w:r>
          <w:r>
            <w:rPr>
              <w:highlight w:val="none"/>
            </w:rPr>
            <w:instrText xml:space="preserve"> HYPERLINK \l _Toc30075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1</w:t>
          </w:r>
          <w:r>
            <w:rPr>
              <w:highlight w:val="none"/>
            </w:rPr>
            <w:t xml:space="preserve"> 由发包人暂停工作</w:t>
          </w:r>
          <w:r>
            <w:rPr>
              <w:highlight w:val="none"/>
            </w:rPr>
            <w:tab/>
          </w:r>
          <w:r>
            <w:rPr>
              <w:highlight w:val="none"/>
            </w:rPr>
            <w:fldChar w:fldCharType="begin"/>
          </w:r>
          <w:r>
            <w:rPr>
              <w:highlight w:val="none"/>
            </w:rPr>
            <w:instrText xml:space="preserve"> PAGEREF _Toc30075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1AB50816">
          <w:pPr>
            <w:pStyle w:val="19"/>
            <w:tabs>
              <w:tab w:val="right" w:leader="dot" w:pos="8306"/>
            </w:tabs>
            <w:rPr>
              <w:highlight w:val="none"/>
            </w:rPr>
          </w:pPr>
          <w:r>
            <w:rPr>
              <w:color w:val="auto"/>
              <w:highlight w:val="none"/>
            </w:rPr>
            <w:fldChar w:fldCharType="begin"/>
          </w:r>
          <w:r>
            <w:rPr>
              <w:highlight w:val="none"/>
            </w:rPr>
            <w:instrText xml:space="preserve"> HYPERLINK \l _Toc2580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2</w:t>
          </w:r>
          <w:r>
            <w:rPr>
              <w:highlight w:val="none"/>
            </w:rPr>
            <w:t xml:space="preserve"> 由承包人暂停工作</w:t>
          </w:r>
          <w:r>
            <w:rPr>
              <w:highlight w:val="none"/>
            </w:rPr>
            <w:tab/>
          </w:r>
          <w:r>
            <w:rPr>
              <w:highlight w:val="none"/>
            </w:rPr>
            <w:fldChar w:fldCharType="begin"/>
          </w:r>
          <w:r>
            <w:rPr>
              <w:highlight w:val="none"/>
            </w:rPr>
            <w:instrText xml:space="preserve"> PAGEREF _Toc2580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37819F11">
          <w:pPr>
            <w:pStyle w:val="19"/>
            <w:tabs>
              <w:tab w:val="right" w:leader="dot" w:pos="8306"/>
            </w:tabs>
            <w:rPr>
              <w:highlight w:val="none"/>
            </w:rPr>
          </w:pPr>
          <w:r>
            <w:rPr>
              <w:color w:val="auto"/>
              <w:highlight w:val="none"/>
            </w:rPr>
            <w:fldChar w:fldCharType="begin"/>
          </w:r>
          <w:r>
            <w:rPr>
              <w:highlight w:val="none"/>
            </w:rPr>
            <w:instrText xml:space="preserve"> HYPERLINK \l _Toc18813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_Toc18813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42DA753D">
          <w:pPr>
            <w:pStyle w:val="19"/>
            <w:tabs>
              <w:tab w:val="right" w:leader="dot" w:pos="8306"/>
            </w:tabs>
            <w:rPr>
              <w:highlight w:val="none"/>
            </w:rPr>
          </w:pPr>
          <w:r>
            <w:rPr>
              <w:color w:val="auto"/>
              <w:highlight w:val="none"/>
            </w:rPr>
            <w:fldChar w:fldCharType="begin"/>
          </w:r>
          <w:r>
            <w:rPr>
              <w:highlight w:val="none"/>
            </w:rPr>
            <w:instrText xml:space="preserve"> HYPERLINK \l _Toc1723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4</w:t>
          </w:r>
          <w:r>
            <w:rPr>
              <w:highlight w:val="none"/>
            </w:rPr>
            <w:t xml:space="preserve"> 暂停工作后的复工</w:t>
          </w:r>
          <w:r>
            <w:rPr>
              <w:highlight w:val="none"/>
            </w:rPr>
            <w:tab/>
          </w:r>
          <w:r>
            <w:rPr>
              <w:highlight w:val="none"/>
            </w:rPr>
            <w:fldChar w:fldCharType="begin"/>
          </w:r>
          <w:r>
            <w:rPr>
              <w:highlight w:val="none"/>
            </w:rPr>
            <w:instrText xml:space="preserve"> PAGEREF _Toc1723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46A98A86">
          <w:pPr>
            <w:pStyle w:val="19"/>
            <w:tabs>
              <w:tab w:val="right" w:leader="dot" w:pos="8306"/>
            </w:tabs>
            <w:rPr>
              <w:highlight w:val="none"/>
            </w:rPr>
          </w:pPr>
          <w:r>
            <w:rPr>
              <w:color w:val="auto"/>
              <w:highlight w:val="none"/>
            </w:rPr>
            <w:fldChar w:fldCharType="begin"/>
          </w:r>
          <w:r>
            <w:rPr>
              <w:highlight w:val="none"/>
            </w:rPr>
            <w:instrText xml:space="preserve"> HYPERLINK \l _Toc28540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5</w:t>
          </w:r>
          <w:r>
            <w:rPr>
              <w:highlight w:val="none"/>
            </w:rPr>
            <w:t xml:space="preserve"> 暂停工作</w:t>
          </w:r>
          <w:r>
            <w:rPr>
              <w:highlight w:val="none"/>
            </w:rPr>
            <w:tab/>
          </w:r>
          <w:r>
            <w:rPr>
              <w:highlight w:val="none"/>
            </w:rPr>
            <w:fldChar w:fldCharType="begin"/>
          </w:r>
          <w:r>
            <w:rPr>
              <w:highlight w:val="none"/>
            </w:rPr>
            <w:instrText xml:space="preserve"> PAGEREF _Toc28540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04ED4BCA">
          <w:pPr>
            <w:pStyle w:val="19"/>
            <w:tabs>
              <w:tab w:val="right" w:leader="dot" w:pos="8306"/>
            </w:tabs>
            <w:rPr>
              <w:highlight w:val="none"/>
            </w:rPr>
          </w:pPr>
          <w:r>
            <w:rPr>
              <w:color w:val="auto"/>
              <w:highlight w:val="none"/>
            </w:rPr>
            <w:fldChar w:fldCharType="begin"/>
          </w:r>
          <w:r>
            <w:rPr>
              <w:highlight w:val="none"/>
            </w:rPr>
            <w:instrText xml:space="preserve"> HYPERLINK \l _Toc1274 </w:instrText>
          </w:r>
          <w:r>
            <w:rPr>
              <w:highlight w:val="none"/>
            </w:rPr>
            <w:fldChar w:fldCharType="separate"/>
          </w:r>
          <w:r>
            <w:rPr>
              <w:rFonts w:ascii="Times New Roman" w:hAnsi="Times New Roman" w:eastAsia="宋体"/>
              <w:highlight w:val="none"/>
            </w:rPr>
            <w:t xml:space="preserve">13. </w:t>
          </w:r>
          <w:r>
            <w:rPr>
              <w:highlight w:val="none"/>
            </w:rPr>
            <w:t>工程质量</w:t>
          </w:r>
          <w:r>
            <w:rPr>
              <w:highlight w:val="none"/>
            </w:rPr>
            <w:tab/>
          </w:r>
          <w:r>
            <w:rPr>
              <w:highlight w:val="none"/>
            </w:rPr>
            <w:fldChar w:fldCharType="begin"/>
          </w:r>
          <w:r>
            <w:rPr>
              <w:highlight w:val="none"/>
            </w:rPr>
            <w:instrText xml:space="preserve"> PAGEREF _Toc1274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787A7C73">
          <w:pPr>
            <w:pStyle w:val="19"/>
            <w:tabs>
              <w:tab w:val="right" w:leader="dot" w:pos="8306"/>
            </w:tabs>
            <w:rPr>
              <w:highlight w:val="none"/>
            </w:rPr>
          </w:pPr>
          <w:r>
            <w:rPr>
              <w:color w:val="auto"/>
              <w:highlight w:val="none"/>
            </w:rPr>
            <w:fldChar w:fldCharType="begin"/>
          </w:r>
          <w:r>
            <w:rPr>
              <w:highlight w:val="none"/>
            </w:rPr>
            <w:instrText xml:space="preserve"> HYPERLINK \l _Toc431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_Toc431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70984918">
          <w:pPr>
            <w:pStyle w:val="19"/>
            <w:tabs>
              <w:tab w:val="right" w:leader="dot" w:pos="8306"/>
            </w:tabs>
            <w:rPr>
              <w:highlight w:val="none"/>
            </w:rPr>
          </w:pPr>
          <w:r>
            <w:rPr>
              <w:color w:val="auto"/>
              <w:highlight w:val="none"/>
            </w:rPr>
            <w:fldChar w:fldCharType="begin"/>
          </w:r>
          <w:r>
            <w:rPr>
              <w:highlight w:val="none"/>
            </w:rPr>
            <w:instrText xml:space="preserve"> HYPERLINK \l _Toc3762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_Toc3762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464102D9">
          <w:pPr>
            <w:pStyle w:val="19"/>
            <w:tabs>
              <w:tab w:val="right" w:leader="dot" w:pos="8306"/>
            </w:tabs>
            <w:rPr>
              <w:highlight w:val="none"/>
            </w:rPr>
          </w:pPr>
          <w:r>
            <w:rPr>
              <w:color w:val="auto"/>
              <w:highlight w:val="none"/>
            </w:rPr>
            <w:fldChar w:fldCharType="begin"/>
          </w:r>
          <w:r>
            <w:rPr>
              <w:highlight w:val="none"/>
            </w:rPr>
            <w:instrText xml:space="preserve"> HYPERLINK \l _Toc28209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_Toc28209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773AA28D">
          <w:pPr>
            <w:pStyle w:val="19"/>
            <w:tabs>
              <w:tab w:val="right" w:leader="dot" w:pos="8306"/>
            </w:tabs>
            <w:rPr>
              <w:highlight w:val="none"/>
            </w:rPr>
          </w:pPr>
          <w:r>
            <w:rPr>
              <w:color w:val="auto"/>
              <w:highlight w:val="none"/>
            </w:rPr>
            <w:fldChar w:fldCharType="begin"/>
          </w:r>
          <w:r>
            <w:rPr>
              <w:highlight w:val="none"/>
            </w:rPr>
            <w:instrText xml:space="preserve"> HYPERLINK \l _Toc19537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_Toc19537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5F8D0E45">
          <w:pPr>
            <w:pStyle w:val="19"/>
            <w:tabs>
              <w:tab w:val="right" w:leader="dot" w:pos="8306"/>
            </w:tabs>
            <w:rPr>
              <w:highlight w:val="none"/>
            </w:rPr>
          </w:pPr>
          <w:r>
            <w:rPr>
              <w:color w:val="auto"/>
              <w:highlight w:val="none"/>
            </w:rPr>
            <w:fldChar w:fldCharType="begin"/>
          </w:r>
          <w:r>
            <w:rPr>
              <w:highlight w:val="none"/>
            </w:rPr>
            <w:instrText xml:space="preserve"> HYPERLINK \l _Toc19337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_Toc19337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682564C0">
          <w:pPr>
            <w:pStyle w:val="19"/>
            <w:tabs>
              <w:tab w:val="right" w:leader="dot" w:pos="8306"/>
            </w:tabs>
            <w:rPr>
              <w:highlight w:val="none"/>
            </w:rPr>
          </w:pPr>
          <w:r>
            <w:rPr>
              <w:color w:val="auto"/>
              <w:highlight w:val="none"/>
            </w:rPr>
            <w:fldChar w:fldCharType="begin"/>
          </w:r>
          <w:r>
            <w:rPr>
              <w:highlight w:val="none"/>
            </w:rPr>
            <w:instrText xml:space="preserve"> HYPERLINK \l _Toc4808 </w:instrText>
          </w:r>
          <w:r>
            <w:rPr>
              <w:highlight w:val="none"/>
            </w:rPr>
            <w:fldChar w:fldCharType="separate"/>
          </w:r>
          <w:r>
            <w:rPr>
              <w:rFonts w:ascii="Times New Roman" w:hAnsi="Times New Roman" w:eastAsia="宋体"/>
              <w:highlight w:val="none"/>
            </w:rPr>
            <w:t xml:space="preserve">14. </w:t>
          </w:r>
          <w:r>
            <w:rPr>
              <w:highlight w:val="none"/>
            </w:rPr>
            <w:t>试验和检验</w:t>
          </w:r>
          <w:r>
            <w:rPr>
              <w:highlight w:val="none"/>
            </w:rPr>
            <w:tab/>
          </w:r>
          <w:r>
            <w:rPr>
              <w:highlight w:val="none"/>
            </w:rPr>
            <w:fldChar w:fldCharType="begin"/>
          </w:r>
          <w:r>
            <w:rPr>
              <w:highlight w:val="none"/>
            </w:rPr>
            <w:instrText xml:space="preserve"> PAGEREF _Toc4808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0B69E88C">
          <w:pPr>
            <w:pStyle w:val="19"/>
            <w:tabs>
              <w:tab w:val="right" w:leader="dot" w:pos="8306"/>
            </w:tabs>
            <w:rPr>
              <w:highlight w:val="none"/>
            </w:rPr>
          </w:pPr>
          <w:r>
            <w:rPr>
              <w:color w:val="auto"/>
              <w:highlight w:val="none"/>
            </w:rPr>
            <w:fldChar w:fldCharType="begin"/>
          </w:r>
          <w:r>
            <w:rPr>
              <w:highlight w:val="none"/>
            </w:rPr>
            <w:instrText xml:space="preserve"> HYPERLINK \l _Toc31049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_Toc31049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30A9649F">
          <w:pPr>
            <w:pStyle w:val="19"/>
            <w:tabs>
              <w:tab w:val="right" w:leader="dot" w:pos="8306"/>
            </w:tabs>
            <w:rPr>
              <w:highlight w:val="none"/>
            </w:rPr>
          </w:pPr>
          <w:r>
            <w:rPr>
              <w:color w:val="auto"/>
              <w:highlight w:val="none"/>
            </w:rPr>
            <w:fldChar w:fldCharType="begin"/>
          </w:r>
          <w:r>
            <w:rPr>
              <w:highlight w:val="none"/>
            </w:rPr>
            <w:instrText xml:space="preserve"> HYPERLINK \l _Toc12348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_Toc12348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7558AAFD">
          <w:pPr>
            <w:pStyle w:val="19"/>
            <w:tabs>
              <w:tab w:val="right" w:leader="dot" w:pos="8306"/>
            </w:tabs>
            <w:rPr>
              <w:highlight w:val="none"/>
            </w:rPr>
          </w:pPr>
          <w:r>
            <w:rPr>
              <w:color w:val="auto"/>
              <w:highlight w:val="none"/>
            </w:rPr>
            <w:fldChar w:fldCharType="begin"/>
          </w:r>
          <w:r>
            <w:rPr>
              <w:highlight w:val="none"/>
            </w:rPr>
            <w:instrText xml:space="preserve"> HYPERLINK \l _Toc11890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_Toc11890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6AF2662D">
          <w:pPr>
            <w:pStyle w:val="19"/>
            <w:tabs>
              <w:tab w:val="right" w:leader="dot" w:pos="8306"/>
            </w:tabs>
            <w:rPr>
              <w:highlight w:val="none"/>
            </w:rPr>
          </w:pPr>
          <w:r>
            <w:rPr>
              <w:color w:val="auto"/>
              <w:highlight w:val="none"/>
            </w:rPr>
            <w:fldChar w:fldCharType="begin"/>
          </w:r>
          <w:r>
            <w:rPr>
              <w:highlight w:val="none"/>
            </w:rPr>
            <w:instrText xml:space="preserve"> HYPERLINK \l _Toc25428 </w:instrText>
          </w:r>
          <w:r>
            <w:rPr>
              <w:highlight w:val="none"/>
            </w:rPr>
            <w:fldChar w:fldCharType="separate"/>
          </w:r>
          <w:r>
            <w:rPr>
              <w:rFonts w:ascii="Times New Roman" w:hAnsi="Times New Roman" w:eastAsia="宋体"/>
              <w:highlight w:val="none"/>
            </w:rPr>
            <w:t xml:space="preserve">15. </w:t>
          </w:r>
          <w:r>
            <w:rPr>
              <w:highlight w:val="none"/>
            </w:rPr>
            <w:t>变更</w:t>
          </w:r>
          <w:r>
            <w:rPr>
              <w:highlight w:val="none"/>
            </w:rPr>
            <w:tab/>
          </w:r>
          <w:r>
            <w:rPr>
              <w:highlight w:val="none"/>
            </w:rPr>
            <w:fldChar w:fldCharType="begin"/>
          </w:r>
          <w:r>
            <w:rPr>
              <w:highlight w:val="none"/>
            </w:rPr>
            <w:instrText xml:space="preserve"> PAGEREF _Toc25428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2E7A8A6D">
          <w:pPr>
            <w:pStyle w:val="19"/>
            <w:tabs>
              <w:tab w:val="right" w:leader="dot" w:pos="8306"/>
            </w:tabs>
            <w:rPr>
              <w:highlight w:val="none"/>
            </w:rPr>
          </w:pPr>
          <w:r>
            <w:rPr>
              <w:color w:val="auto"/>
              <w:highlight w:val="none"/>
            </w:rPr>
            <w:fldChar w:fldCharType="begin"/>
          </w:r>
          <w:r>
            <w:rPr>
              <w:highlight w:val="none"/>
            </w:rPr>
            <w:instrText xml:space="preserve"> HYPERLINK \l _Toc11280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_Toc11280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2F098364">
          <w:pPr>
            <w:pStyle w:val="19"/>
            <w:tabs>
              <w:tab w:val="right" w:leader="dot" w:pos="8306"/>
            </w:tabs>
            <w:rPr>
              <w:highlight w:val="none"/>
            </w:rPr>
          </w:pPr>
          <w:r>
            <w:rPr>
              <w:color w:val="auto"/>
              <w:highlight w:val="none"/>
            </w:rPr>
            <w:fldChar w:fldCharType="begin"/>
          </w:r>
          <w:r>
            <w:rPr>
              <w:highlight w:val="none"/>
            </w:rPr>
            <w:instrText xml:space="preserve"> HYPERLINK \l _Toc31207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_Toc31207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51590D54">
          <w:pPr>
            <w:pStyle w:val="19"/>
            <w:tabs>
              <w:tab w:val="right" w:leader="dot" w:pos="8306"/>
            </w:tabs>
            <w:rPr>
              <w:highlight w:val="none"/>
            </w:rPr>
          </w:pPr>
          <w:r>
            <w:rPr>
              <w:color w:val="auto"/>
              <w:highlight w:val="none"/>
            </w:rPr>
            <w:fldChar w:fldCharType="begin"/>
          </w:r>
          <w:r>
            <w:rPr>
              <w:highlight w:val="none"/>
            </w:rPr>
            <w:instrText xml:space="preserve"> HYPERLINK \l _Toc15794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_Toc15794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5188F46B">
          <w:pPr>
            <w:pStyle w:val="19"/>
            <w:tabs>
              <w:tab w:val="right" w:leader="dot" w:pos="8306"/>
            </w:tabs>
            <w:rPr>
              <w:highlight w:val="none"/>
            </w:rPr>
          </w:pPr>
          <w:r>
            <w:rPr>
              <w:color w:val="auto"/>
              <w:highlight w:val="none"/>
            </w:rPr>
            <w:fldChar w:fldCharType="begin"/>
          </w:r>
          <w:r>
            <w:rPr>
              <w:highlight w:val="none"/>
            </w:rPr>
            <w:instrText xml:space="preserve"> HYPERLINK \l _Toc14863 </w:instrText>
          </w:r>
          <w:r>
            <w:rPr>
              <w:highlight w:val="none"/>
            </w:rPr>
            <w:fldChar w:fldCharType="separate"/>
          </w:r>
          <w:r>
            <w:rPr>
              <w:rFonts w:ascii="Times New Roman" w:hAnsi="Times New Roman"/>
              <w:bCs/>
              <w:highlight w:val="none"/>
            </w:rPr>
            <w:t>15</w:t>
          </w:r>
          <w:r>
            <w:rPr>
              <w:rFonts w:hAnsi="黑体"/>
              <w:bCs/>
              <w:highlight w:val="none"/>
            </w:rPr>
            <w:t>.</w:t>
          </w:r>
          <w:r>
            <w:rPr>
              <w:rFonts w:ascii="Times New Roman" w:hAnsi="Times New Roman"/>
              <w:bCs/>
              <w:highlight w:val="none"/>
            </w:rPr>
            <w:t>5</w:t>
          </w:r>
          <w:r>
            <w:rPr>
              <w:rFonts w:hAnsi="黑体"/>
              <w:bCs/>
              <w:highlight w:val="none"/>
            </w:rPr>
            <w:t xml:space="preserve"> 计日工（A）</w:t>
          </w:r>
          <w:r>
            <w:rPr>
              <w:highlight w:val="none"/>
            </w:rPr>
            <w:tab/>
          </w:r>
          <w:r>
            <w:rPr>
              <w:highlight w:val="none"/>
            </w:rPr>
            <w:fldChar w:fldCharType="begin"/>
          </w:r>
          <w:r>
            <w:rPr>
              <w:highlight w:val="none"/>
            </w:rPr>
            <w:instrText xml:space="preserve"> PAGEREF _Toc14863 \h </w:instrText>
          </w:r>
          <w:r>
            <w:rPr>
              <w:highlight w:val="none"/>
            </w:rPr>
            <w:fldChar w:fldCharType="separate"/>
          </w:r>
          <w:r>
            <w:rPr>
              <w:highlight w:val="none"/>
            </w:rPr>
            <w:t>129</w:t>
          </w:r>
          <w:r>
            <w:rPr>
              <w:highlight w:val="none"/>
            </w:rPr>
            <w:fldChar w:fldCharType="end"/>
          </w:r>
          <w:r>
            <w:rPr>
              <w:color w:val="auto"/>
              <w:highlight w:val="none"/>
            </w:rPr>
            <w:fldChar w:fldCharType="end"/>
          </w:r>
        </w:p>
        <w:p w14:paraId="270AC98C">
          <w:pPr>
            <w:pStyle w:val="19"/>
            <w:tabs>
              <w:tab w:val="right" w:leader="dot" w:pos="8306"/>
            </w:tabs>
            <w:rPr>
              <w:highlight w:val="none"/>
            </w:rPr>
          </w:pPr>
          <w:r>
            <w:rPr>
              <w:color w:val="auto"/>
              <w:highlight w:val="none"/>
            </w:rPr>
            <w:fldChar w:fldCharType="begin"/>
          </w:r>
          <w:r>
            <w:rPr>
              <w:highlight w:val="none"/>
            </w:rPr>
            <w:instrText xml:space="preserve"> HYPERLINK \l _Toc16042 </w:instrText>
          </w:r>
          <w:r>
            <w:rPr>
              <w:highlight w:val="none"/>
            </w:rPr>
            <w:fldChar w:fldCharType="separate"/>
          </w:r>
          <w:r>
            <w:rPr>
              <w:rFonts w:ascii="Times New Roman" w:hAnsi="Times New Roman"/>
              <w:bCs/>
              <w:highlight w:val="none"/>
            </w:rPr>
            <w:t xml:space="preserve">15.5 </w:t>
          </w:r>
          <w:r>
            <w:rPr>
              <w:rFonts w:hAnsi="黑体"/>
              <w:bCs/>
              <w:highlight w:val="none"/>
            </w:rPr>
            <w:t>计日工（B）</w:t>
          </w:r>
          <w:r>
            <w:rPr>
              <w:highlight w:val="none"/>
            </w:rPr>
            <w:tab/>
          </w:r>
          <w:r>
            <w:rPr>
              <w:highlight w:val="none"/>
            </w:rPr>
            <w:fldChar w:fldCharType="begin"/>
          </w:r>
          <w:r>
            <w:rPr>
              <w:highlight w:val="none"/>
            </w:rPr>
            <w:instrText xml:space="preserve"> PAGEREF _Toc16042 \h </w:instrText>
          </w:r>
          <w:r>
            <w:rPr>
              <w:highlight w:val="none"/>
            </w:rPr>
            <w:fldChar w:fldCharType="separate"/>
          </w:r>
          <w:r>
            <w:rPr>
              <w:highlight w:val="none"/>
            </w:rPr>
            <w:t>129</w:t>
          </w:r>
          <w:r>
            <w:rPr>
              <w:highlight w:val="none"/>
            </w:rPr>
            <w:fldChar w:fldCharType="end"/>
          </w:r>
          <w:r>
            <w:rPr>
              <w:color w:val="auto"/>
              <w:highlight w:val="none"/>
            </w:rPr>
            <w:fldChar w:fldCharType="end"/>
          </w:r>
        </w:p>
        <w:p w14:paraId="26592C6A">
          <w:pPr>
            <w:pStyle w:val="19"/>
            <w:tabs>
              <w:tab w:val="right" w:leader="dot" w:pos="8306"/>
            </w:tabs>
            <w:rPr>
              <w:highlight w:val="none"/>
            </w:rPr>
          </w:pPr>
          <w:r>
            <w:rPr>
              <w:color w:val="auto"/>
              <w:highlight w:val="none"/>
            </w:rPr>
            <w:fldChar w:fldCharType="begin"/>
          </w:r>
          <w:r>
            <w:rPr>
              <w:highlight w:val="none"/>
            </w:rPr>
            <w:instrText xml:space="preserve"> HYPERLINK \l _Toc4340 </w:instrText>
          </w:r>
          <w:r>
            <w:rPr>
              <w:highlight w:val="none"/>
            </w:rPr>
            <w:fldChar w:fldCharType="separate"/>
          </w:r>
          <w:r>
            <w:rPr>
              <w:rFonts w:ascii="Times New Roman" w:hAnsi="Times New Roman"/>
              <w:bCs/>
              <w:highlight w:val="none"/>
            </w:rPr>
            <w:t xml:space="preserve">15.6 </w:t>
          </w:r>
          <w:r>
            <w:rPr>
              <w:rFonts w:hAnsi="黑体"/>
              <w:bCs/>
              <w:highlight w:val="none"/>
            </w:rPr>
            <w:t>暂估价（A）</w:t>
          </w:r>
          <w:r>
            <w:rPr>
              <w:highlight w:val="none"/>
            </w:rPr>
            <w:tab/>
          </w:r>
          <w:r>
            <w:rPr>
              <w:highlight w:val="none"/>
            </w:rPr>
            <w:fldChar w:fldCharType="begin"/>
          </w:r>
          <w:r>
            <w:rPr>
              <w:highlight w:val="none"/>
            </w:rPr>
            <w:instrText xml:space="preserve"> PAGEREF _Toc4340 \h </w:instrText>
          </w:r>
          <w:r>
            <w:rPr>
              <w:highlight w:val="none"/>
            </w:rPr>
            <w:fldChar w:fldCharType="separate"/>
          </w:r>
          <w:r>
            <w:rPr>
              <w:highlight w:val="none"/>
            </w:rPr>
            <w:t>129</w:t>
          </w:r>
          <w:r>
            <w:rPr>
              <w:highlight w:val="none"/>
            </w:rPr>
            <w:fldChar w:fldCharType="end"/>
          </w:r>
          <w:r>
            <w:rPr>
              <w:color w:val="auto"/>
              <w:highlight w:val="none"/>
            </w:rPr>
            <w:fldChar w:fldCharType="end"/>
          </w:r>
        </w:p>
        <w:p w14:paraId="01B1221C">
          <w:pPr>
            <w:pStyle w:val="19"/>
            <w:tabs>
              <w:tab w:val="right" w:leader="dot" w:pos="8306"/>
            </w:tabs>
            <w:rPr>
              <w:highlight w:val="none"/>
            </w:rPr>
          </w:pPr>
          <w:r>
            <w:rPr>
              <w:color w:val="auto"/>
              <w:highlight w:val="none"/>
            </w:rPr>
            <w:fldChar w:fldCharType="begin"/>
          </w:r>
          <w:r>
            <w:rPr>
              <w:highlight w:val="none"/>
            </w:rPr>
            <w:instrText xml:space="preserve"> HYPERLINK \l _Toc21045 </w:instrText>
          </w:r>
          <w:r>
            <w:rPr>
              <w:highlight w:val="none"/>
            </w:rPr>
            <w:fldChar w:fldCharType="separate"/>
          </w:r>
          <w:r>
            <w:rPr>
              <w:rFonts w:ascii="Times New Roman" w:hAnsi="Times New Roman"/>
              <w:bCs/>
              <w:highlight w:val="none"/>
            </w:rPr>
            <w:t xml:space="preserve">15.6 </w:t>
          </w:r>
          <w:r>
            <w:rPr>
              <w:rFonts w:hAnsi="黑体"/>
              <w:bCs/>
              <w:highlight w:val="none"/>
            </w:rPr>
            <w:t>暂估价（B）</w:t>
          </w:r>
          <w:r>
            <w:rPr>
              <w:highlight w:val="none"/>
            </w:rPr>
            <w:tab/>
          </w:r>
          <w:r>
            <w:rPr>
              <w:highlight w:val="none"/>
            </w:rPr>
            <w:fldChar w:fldCharType="begin"/>
          </w:r>
          <w:r>
            <w:rPr>
              <w:highlight w:val="none"/>
            </w:rPr>
            <w:instrText xml:space="preserve"> PAGEREF _Toc21045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2D958463">
          <w:pPr>
            <w:pStyle w:val="19"/>
            <w:tabs>
              <w:tab w:val="right" w:leader="dot" w:pos="8306"/>
            </w:tabs>
            <w:rPr>
              <w:highlight w:val="none"/>
            </w:rPr>
          </w:pPr>
          <w:r>
            <w:rPr>
              <w:color w:val="auto"/>
              <w:highlight w:val="none"/>
            </w:rPr>
            <w:fldChar w:fldCharType="begin"/>
          </w:r>
          <w:r>
            <w:rPr>
              <w:highlight w:val="none"/>
            </w:rPr>
            <w:instrText xml:space="preserve"> HYPERLINK \l _Toc7369 </w:instrText>
          </w:r>
          <w:r>
            <w:rPr>
              <w:highlight w:val="none"/>
            </w:rPr>
            <w:fldChar w:fldCharType="separate"/>
          </w:r>
          <w:r>
            <w:rPr>
              <w:rFonts w:ascii="Times New Roman" w:hAnsi="Times New Roman" w:eastAsia="宋体"/>
              <w:highlight w:val="none"/>
            </w:rPr>
            <w:t xml:space="preserve">16. </w:t>
          </w:r>
          <w:r>
            <w:rPr>
              <w:highlight w:val="none"/>
            </w:rPr>
            <w:t>价格调整</w:t>
          </w:r>
          <w:r>
            <w:rPr>
              <w:highlight w:val="none"/>
            </w:rPr>
            <w:tab/>
          </w:r>
          <w:r>
            <w:rPr>
              <w:highlight w:val="none"/>
            </w:rPr>
            <w:fldChar w:fldCharType="begin"/>
          </w:r>
          <w:r>
            <w:rPr>
              <w:highlight w:val="none"/>
            </w:rPr>
            <w:instrText xml:space="preserve"> PAGEREF _Toc7369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22D3B757">
          <w:pPr>
            <w:pStyle w:val="19"/>
            <w:tabs>
              <w:tab w:val="right" w:leader="dot" w:pos="8306"/>
            </w:tabs>
            <w:rPr>
              <w:highlight w:val="none"/>
            </w:rPr>
          </w:pPr>
          <w:r>
            <w:rPr>
              <w:color w:val="auto"/>
              <w:highlight w:val="none"/>
            </w:rPr>
            <w:fldChar w:fldCharType="begin"/>
          </w:r>
          <w:r>
            <w:rPr>
              <w:highlight w:val="none"/>
            </w:rPr>
            <w:instrText xml:space="preserve"> HYPERLINK \l _Toc11770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_Toc11770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06617516">
          <w:pPr>
            <w:pStyle w:val="19"/>
            <w:tabs>
              <w:tab w:val="right" w:leader="dot" w:pos="8306"/>
            </w:tabs>
            <w:rPr>
              <w:highlight w:val="none"/>
            </w:rPr>
          </w:pPr>
          <w:r>
            <w:rPr>
              <w:color w:val="auto"/>
              <w:highlight w:val="none"/>
            </w:rPr>
            <w:fldChar w:fldCharType="begin"/>
          </w:r>
          <w:r>
            <w:rPr>
              <w:highlight w:val="none"/>
            </w:rPr>
            <w:instrText xml:space="preserve"> HYPERLINK \l _Toc5069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_Toc5069 \h </w:instrText>
          </w:r>
          <w:r>
            <w:rPr>
              <w:highlight w:val="none"/>
            </w:rPr>
            <w:fldChar w:fldCharType="separate"/>
          </w:r>
          <w:r>
            <w:rPr>
              <w:highlight w:val="none"/>
            </w:rPr>
            <w:t>131</w:t>
          </w:r>
          <w:r>
            <w:rPr>
              <w:highlight w:val="none"/>
            </w:rPr>
            <w:fldChar w:fldCharType="end"/>
          </w:r>
          <w:r>
            <w:rPr>
              <w:color w:val="auto"/>
              <w:highlight w:val="none"/>
            </w:rPr>
            <w:fldChar w:fldCharType="end"/>
          </w:r>
        </w:p>
        <w:p w14:paraId="66DF41D3">
          <w:pPr>
            <w:pStyle w:val="19"/>
            <w:tabs>
              <w:tab w:val="right" w:leader="dot" w:pos="8306"/>
            </w:tabs>
            <w:rPr>
              <w:highlight w:val="none"/>
            </w:rPr>
          </w:pPr>
          <w:r>
            <w:rPr>
              <w:color w:val="auto"/>
              <w:highlight w:val="none"/>
            </w:rPr>
            <w:fldChar w:fldCharType="begin"/>
          </w:r>
          <w:r>
            <w:rPr>
              <w:highlight w:val="none"/>
            </w:rPr>
            <w:instrText xml:space="preserve"> HYPERLINK \l _Toc4491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_Toc4491 \h </w:instrText>
          </w:r>
          <w:r>
            <w:rPr>
              <w:highlight w:val="none"/>
            </w:rPr>
            <w:fldChar w:fldCharType="separate"/>
          </w:r>
          <w:r>
            <w:rPr>
              <w:highlight w:val="none"/>
            </w:rPr>
            <w:t>132</w:t>
          </w:r>
          <w:r>
            <w:rPr>
              <w:highlight w:val="none"/>
            </w:rPr>
            <w:fldChar w:fldCharType="end"/>
          </w:r>
          <w:r>
            <w:rPr>
              <w:color w:val="auto"/>
              <w:highlight w:val="none"/>
            </w:rPr>
            <w:fldChar w:fldCharType="end"/>
          </w:r>
        </w:p>
        <w:p w14:paraId="4E6F6169">
          <w:pPr>
            <w:pStyle w:val="19"/>
            <w:tabs>
              <w:tab w:val="right" w:leader="dot" w:pos="8306"/>
            </w:tabs>
            <w:rPr>
              <w:highlight w:val="none"/>
            </w:rPr>
          </w:pPr>
          <w:r>
            <w:rPr>
              <w:color w:val="auto"/>
              <w:highlight w:val="none"/>
            </w:rPr>
            <w:fldChar w:fldCharType="begin"/>
          </w:r>
          <w:r>
            <w:rPr>
              <w:highlight w:val="none"/>
            </w:rPr>
            <w:instrText xml:space="preserve"> HYPERLINK \l _Toc22618 </w:instrText>
          </w:r>
          <w:r>
            <w:rPr>
              <w:highlight w:val="none"/>
            </w:rPr>
            <w:fldChar w:fldCharType="separate"/>
          </w:r>
          <w:r>
            <w:rPr>
              <w:rFonts w:ascii="Times New Roman" w:hAnsi="Times New Roman" w:eastAsia="宋体"/>
              <w:highlight w:val="none"/>
            </w:rPr>
            <w:t xml:space="preserve">17. </w:t>
          </w:r>
          <w:r>
            <w:rPr>
              <w:highlight w:val="none"/>
            </w:rPr>
            <w:t>合同价格与支付</w:t>
          </w:r>
          <w:r>
            <w:rPr>
              <w:highlight w:val="none"/>
            </w:rPr>
            <w:tab/>
          </w:r>
          <w:r>
            <w:rPr>
              <w:highlight w:val="none"/>
            </w:rPr>
            <w:fldChar w:fldCharType="begin"/>
          </w:r>
          <w:r>
            <w:rPr>
              <w:highlight w:val="none"/>
            </w:rPr>
            <w:instrText xml:space="preserve"> PAGEREF _Toc22618 \h </w:instrText>
          </w:r>
          <w:r>
            <w:rPr>
              <w:highlight w:val="none"/>
            </w:rPr>
            <w:fldChar w:fldCharType="separate"/>
          </w:r>
          <w:r>
            <w:rPr>
              <w:highlight w:val="none"/>
            </w:rPr>
            <w:t>132</w:t>
          </w:r>
          <w:r>
            <w:rPr>
              <w:highlight w:val="none"/>
            </w:rPr>
            <w:fldChar w:fldCharType="end"/>
          </w:r>
          <w:r>
            <w:rPr>
              <w:color w:val="auto"/>
              <w:highlight w:val="none"/>
            </w:rPr>
            <w:fldChar w:fldCharType="end"/>
          </w:r>
        </w:p>
        <w:p w14:paraId="2BA3185E">
          <w:pPr>
            <w:pStyle w:val="19"/>
            <w:tabs>
              <w:tab w:val="right" w:leader="dot" w:pos="8306"/>
            </w:tabs>
            <w:rPr>
              <w:highlight w:val="none"/>
            </w:rPr>
          </w:pPr>
          <w:r>
            <w:rPr>
              <w:color w:val="auto"/>
              <w:highlight w:val="none"/>
            </w:rPr>
            <w:fldChar w:fldCharType="begin"/>
          </w:r>
          <w:r>
            <w:rPr>
              <w:highlight w:val="none"/>
            </w:rPr>
            <w:instrText xml:space="preserve"> HYPERLINK \l _Toc6851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_Toc6851 \h </w:instrText>
          </w:r>
          <w:r>
            <w:rPr>
              <w:highlight w:val="none"/>
            </w:rPr>
            <w:fldChar w:fldCharType="separate"/>
          </w:r>
          <w:r>
            <w:rPr>
              <w:highlight w:val="none"/>
            </w:rPr>
            <w:t>132</w:t>
          </w:r>
          <w:r>
            <w:rPr>
              <w:highlight w:val="none"/>
            </w:rPr>
            <w:fldChar w:fldCharType="end"/>
          </w:r>
          <w:r>
            <w:rPr>
              <w:color w:val="auto"/>
              <w:highlight w:val="none"/>
            </w:rPr>
            <w:fldChar w:fldCharType="end"/>
          </w:r>
        </w:p>
        <w:p w14:paraId="47043DBC">
          <w:pPr>
            <w:pStyle w:val="19"/>
            <w:tabs>
              <w:tab w:val="right" w:leader="dot" w:pos="8306"/>
            </w:tabs>
            <w:rPr>
              <w:highlight w:val="none"/>
            </w:rPr>
          </w:pPr>
          <w:r>
            <w:rPr>
              <w:color w:val="auto"/>
              <w:highlight w:val="none"/>
            </w:rPr>
            <w:fldChar w:fldCharType="begin"/>
          </w:r>
          <w:r>
            <w:rPr>
              <w:highlight w:val="none"/>
            </w:rPr>
            <w:instrText xml:space="preserve"> HYPERLINK \l _Toc19001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_Toc19001 \h </w:instrText>
          </w:r>
          <w:r>
            <w:rPr>
              <w:highlight w:val="none"/>
            </w:rPr>
            <w:fldChar w:fldCharType="separate"/>
          </w:r>
          <w:r>
            <w:rPr>
              <w:highlight w:val="none"/>
            </w:rPr>
            <w:t>132</w:t>
          </w:r>
          <w:r>
            <w:rPr>
              <w:highlight w:val="none"/>
            </w:rPr>
            <w:fldChar w:fldCharType="end"/>
          </w:r>
          <w:r>
            <w:rPr>
              <w:color w:val="auto"/>
              <w:highlight w:val="none"/>
            </w:rPr>
            <w:fldChar w:fldCharType="end"/>
          </w:r>
        </w:p>
        <w:p w14:paraId="102EB14A">
          <w:pPr>
            <w:pStyle w:val="19"/>
            <w:tabs>
              <w:tab w:val="right" w:leader="dot" w:pos="8306"/>
            </w:tabs>
            <w:rPr>
              <w:highlight w:val="none"/>
            </w:rPr>
          </w:pPr>
          <w:r>
            <w:rPr>
              <w:color w:val="auto"/>
              <w:highlight w:val="none"/>
            </w:rPr>
            <w:fldChar w:fldCharType="begin"/>
          </w:r>
          <w:r>
            <w:rPr>
              <w:highlight w:val="none"/>
            </w:rPr>
            <w:instrText xml:space="preserve"> HYPERLINK \l _Toc26164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_Toc26164 \h </w:instrText>
          </w:r>
          <w:r>
            <w:rPr>
              <w:highlight w:val="none"/>
            </w:rPr>
            <w:fldChar w:fldCharType="separate"/>
          </w:r>
          <w:r>
            <w:rPr>
              <w:highlight w:val="none"/>
            </w:rPr>
            <w:t>133</w:t>
          </w:r>
          <w:r>
            <w:rPr>
              <w:highlight w:val="none"/>
            </w:rPr>
            <w:fldChar w:fldCharType="end"/>
          </w:r>
          <w:r>
            <w:rPr>
              <w:color w:val="auto"/>
              <w:highlight w:val="none"/>
            </w:rPr>
            <w:fldChar w:fldCharType="end"/>
          </w:r>
        </w:p>
        <w:p w14:paraId="29A4850B">
          <w:pPr>
            <w:pStyle w:val="19"/>
            <w:tabs>
              <w:tab w:val="right" w:leader="dot" w:pos="8306"/>
            </w:tabs>
            <w:rPr>
              <w:highlight w:val="none"/>
            </w:rPr>
          </w:pPr>
          <w:r>
            <w:rPr>
              <w:color w:val="auto"/>
              <w:highlight w:val="none"/>
            </w:rPr>
            <w:fldChar w:fldCharType="begin"/>
          </w:r>
          <w:r>
            <w:rPr>
              <w:highlight w:val="none"/>
            </w:rPr>
            <w:instrText xml:space="preserve"> HYPERLINK \l _Toc10204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_Toc10204 \h </w:instrText>
          </w:r>
          <w:r>
            <w:rPr>
              <w:highlight w:val="none"/>
            </w:rPr>
            <w:fldChar w:fldCharType="separate"/>
          </w:r>
          <w:r>
            <w:rPr>
              <w:highlight w:val="none"/>
            </w:rPr>
            <w:t>135</w:t>
          </w:r>
          <w:r>
            <w:rPr>
              <w:highlight w:val="none"/>
            </w:rPr>
            <w:fldChar w:fldCharType="end"/>
          </w:r>
          <w:r>
            <w:rPr>
              <w:color w:val="auto"/>
              <w:highlight w:val="none"/>
            </w:rPr>
            <w:fldChar w:fldCharType="end"/>
          </w:r>
        </w:p>
        <w:p w14:paraId="0D03D796">
          <w:pPr>
            <w:pStyle w:val="19"/>
            <w:tabs>
              <w:tab w:val="right" w:leader="dot" w:pos="8306"/>
            </w:tabs>
            <w:rPr>
              <w:highlight w:val="none"/>
            </w:rPr>
          </w:pPr>
          <w:r>
            <w:rPr>
              <w:color w:val="auto"/>
              <w:highlight w:val="none"/>
            </w:rPr>
            <w:fldChar w:fldCharType="begin"/>
          </w:r>
          <w:r>
            <w:rPr>
              <w:highlight w:val="none"/>
            </w:rPr>
            <w:instrText xml:space="preserve"> HYPERLINK \l _Toc9229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_Toc9229 \h </w:instrText>
          </w:r>
          <w:r>
            <w:rPr>
              <w:highlight w:val="none"/>
            </w:rPr>
            <w:fldChar w:fldCharType="separate"/>
          </w:r>
          <w:r>
            <w:rPr>
              <w:highlight w:val="none"/>
            </w:rPr>
            <w:t>135</w:t>
          </w:r>
          <w:r>
            <w:rPr>
              <w:highlight w:val="none"/>
            </w:rPr>
            <w:fldChar w:fldCharType="end"/>
          </w:r>
          <w:r>
            <w:rPr>
              <w:color w:val="auto"/>
              <w:highlight w:val="none"/>
            </w:rPr>
            <w:fldChar w:fldCharType="end"/>
          </w:r>
        </w:p>
        <w:p w14:paraId="7636A648">
          <w:pPr>
            <w:pStyle w:val="19"/>
            <w:tabs>
              <w:tab w:val="right" w:leader="dot" w:pos="8306"/>
            </w:tabs>
            <w:rPr>
              <w:highlight w:val="none"/>
            </w:rPr>
          </w:pPr>
          <w:r>
            <w:rPr>
              <w:color w:val="auto"/>
              <w:highlight w:val="none"/>
            </w:rPr>
            <w:fldChar w:fldCharType="begin"/>
          </w:r>
          <w:r>
            <w:rPr>
              <w:highlight w:val="none"/>
            </w:rPr>
            <w:instrText xml:space="preserve"> HYPERLINK \l _Toc9774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_Toc9774 \h </w:instrText>
          </w:r>
          <w:r>
            <w:rPr>
              <w:highlight w:val="none"/>
            </w:rPr>
            <w:fldChar w:fldCharType="separate"/>
          </w:r>
          <w:r>
            <w:rPr>
              <w:highlight w:val="none"/>
            </w:rPr>
            <w:t>136</w:t>
          </w:r>
          <w:r>
            <w:rPr>
              <w:highlight w:val="none"/>
            </w:rPr>
            <w:fldChar w:fldCharType="end"/>
          </w:r>
          <w:r>
            <w:rPr>
              <w:color w:val="auto"/>
              <w:highlight w:val="none"/>
            </w:rPr>
            <w:fldChar w:fldCharType="end"/>
          </w:r>
        </w:p>
        <w:p w14:paraId="0515A724">
          <w:pPr>
            <w:pStyle w:val="19"/>
            <w:tabs>
              <w:tab w:val="right" w:leader="dot" w:pos="8306"/>
            </w:tabs>
            <w:rPr>
              <w:highlight w:val="none"/>
            </w:rPr>
          </w:pPr>
          <w:r>
            <w:rPr>
              <w:color w:val="auto"/>
              <w:highlight w:val="none"/>
            </w:rPr>
            <w:fldChar w:fldCharType="begin"/>
          </w:r>
          <w:r>
            <w:rPr>
              <w:highlight w:val="none"/>
            </w:rPr>
            <w:instrText xml:space="preserve"> HYPERLINK \l _Toc19739 </w:instrText>
          </w:r>
          <w:r>
            <w:rPr>
              <w:highlight w:val="none"/>
            </w:rPr>
            <w:fldChar w:fldCharType="separate"/>
          </w:r>
          <w:r>
            <w:rPr>
              <w:rFonts w:ascii="Times New Roman" w:hAnsi="Times New Roman" w:eastAsia="宋体"/>
              <w:highlight w:val="none"/>
            </w:rPr>
            <w:t xml:space="preserve">18. </w:t>
          </w:r>
          <w:r>
            <w:rPr>
              <w:highlight w:val="none"/>
            </w:rPr>
            <w:t>竣工试验和竣工验收</w:t>
          </w:r>
          <w:r>
            <w:rPr>
              <w:highlight w:val="none"/>
            </w:rPr>
            <w:tab/>
          </w:r>
          <w:r>
            <w:rPr>
              <w:highlight w:val="none"/>
            </w:rPr>
            <w:fldChar w:fldCharType="begin"/>
          </w:r>
          <w:r>
            <w:rPr>
              <w:highlight w:val="none"/>
            </w:rPr>
            <w:instrText xml:space="preserve"> PAGEREF _Toc19739 \h </w:instrText>
          </w:r>
          <w:r>
            <w:rPr>
              <w:highlight w:val="none"/>
            </w:rPr>
            <w:fldChar w:fldCharType="separate"/>
          </w:r>
          <w:r>
            <w:rPr>
              <w:highlight w:val="none"/>
            </w:rPr>
            <w:t>136</w:t>
          </w:r>
          <w:r>
            <w:rPr>
              <w:highlight w:val="none"/>
            </w:rPr>
            <w:fldChar w:fldCharType="end"/>
          </w:r>
          <w:r>
            <w:rPr>
              <w:color w:val="auto"/>
              <w:highlight w:val="none"/>
            </w:rPr>
            <w:fldChar w:fldCharType="end"/>
          </w:r>
        </w:p>
        <w:p w14:paraId="42E5A1EF">
          <w:pPr>
            <w:pStyle w:val="19"/>
            <w:tabs>
              <w:tab w:val="right" w:leader="dot" w:pos="8306"/>
            </w:tabs>
            <w:rPr>
              <w:highlight w:val="none"/>
            </w:rPr>
          </w:pPr>
          <w:r>
            <w:rPr>
              <w:color w:val="auto"/>
              <w:highlight w:val="none"/>
            </w:rPr>
            <w:fldChar w:fldCharType="begin"/>
          </w:r>
          <w:r>
            <w:rPr>
              <w:highlight w:val="none"/>
            </w:rPr>
            <w:instrText xml:space="preserve"> HYPERLINK \l _Toc23575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_Toc23575 \h </w:instrText>
          </w:r>
          <w:r>
            <w:rPr>
              <w:highlight w:val="none"/>
            </w:rPr>
            <w:fldChar w:fldCharType="separate"/>
          </w:r>
          <w:r>
            <w:rPr>
              <w:highlight w:val="none"/>
            </w:rPr>
            <w:t>136</w:t>
          </w:r>
          <w:r>
            <w:rPr>
              <w:highlight w:val="none"/>
            </w:rPr>
            <w:fldChar w:fldCharType="end"/>
          </w:r>
          <w:r>
            <w:rPr>
              <w:color w:val="auto"/>
              <w:highlight w:val="none"/>
            </w:rPr>
            <w:fldChar w:fldCharType="end"/>
          </w:r>
        </w:p>
        <w:p w14:paraId="5B247792">
          <w:pPr>
            <w:pStyle w:val="19"/>
            <w:tabs>
              <w:tab w:val="right" w:leader="dot" w:pos="8306"/>
            </w:tabs>
            <w:rPr>
              <w:highlight w:val="none"/>
            </w:rPr>
          </w:pPr>
          <w:r>
            <w:rPr>
              <w:color w:val="auto"/>
              <w:highlight w:val="none"/>
            </w:rPr>
            <w:fldChar w:fldCharType="begin"/>
          </w:r>
          <w:r>
            <w:rPr>
              <w:highlight w:val="none"/>
            </w:rPr>
            <w:instrText xml:space="preserve"> HYPERLINK \l _Toc16587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_Toc16587 \h </w:instrText>
          </w:r>
          <w:r>
            <w:rPr>
              <w:highlight w:val="none"/>
            </w:rPr>
            <w:fldChar w:fldCharType="separate"/>
          </w:r>
          <w:r>
            <w:rPr>
              <w:highlight w:val="none"/>
            </w:rPr>
            <w:t>137</w:t>
          </w:r>
          <w:r>
            <w:rPr>
              <w:highlight w:val="none"/>
            </w:rPr>
            <w:fldChar w:fldCharType="end"/>
          </w:r>
          <w:r>
            <w:rPr>
              <w:color w:val="auto"/>
              <w:highlight w:val="none"/>
            </w:rPr>
            <w:fldChar w:fldCharType="end"/>
          </w:r>
        </w:p>
        <w:p w14:paraId="52C57891">
          <w:pPr>
            <w:pStyle w:val="19"/>
            <w:tabs>
              <w:tab w:val="right" w:leader="dot" w:pos="8306"/>
            </w:tabs>
            <w:rPr>
              <w:highlight w:val="none"/>
            </w:rPr>
          </w:pPr>
          <w:r>
            <w:rPr>
              <w:color w:val="auto"/>
              <w:highlight w:val="none"/>
            </w:rPr>
            <w:fldChar w:fldCharType="begin"/>
          </w:r>
          <w:r>
            <w:rPr>
              <w:highlight w:val="none"/>
            </w:rPr>
            <w:instrText xml:space="preserve"> HYPERLINK \l _Toc18151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_Toc18151 \h </w:instrText>
          </w:r>
          <w:r>
            <w:rPr>
              <w:highlight w:val="none"/>
            </w:rPr>
            <w:fldChar w:fldCharType="separate"/>
          </w:r>
          <w:r>
            <w:rPr>
              <w:highlight w:val="none"/>
            </w:rPr>
            <w:t>137</w:t>
          </w:r>
          <w:r>
            <w:rPr>
              <w:highlight w:val="none"/>
            </w:rPr>
            <w:fldChar w:fldCharType="end"/>
          </w:r>
          <w:r>
            <w:rPr>
              <w:color w:val="auto"/>
              <w:highlight w:val="none"/>
            </w:rPr>
            <w:fldChar w:fldCharType="end"/>
          </w:r>
        </w:p>
        <w:p w14:paraId="53AD7B37">
          <w:pPr>
            <w:pStyle w:val="19"/>
            <w:tabs>
              <w:tab w:val="right" w:leader="dot" w:pos="8306"/>
            </w:tabs>
            <w:rPr>
              <w:highlight w:val="none"/>
            </w:rPr>
          </w:pPr>
          <w:r>
            <w:rPr>
              <w:color w:val="auto"/>
              <w:highlight w:val="none"/>
            </w:rPr>
            <w:fldChar w:fldCharType="begin"/>
          </w:r>
          <w:r>
            <w:rPr>
              <w:highlight w:val="none"/>
            </w:rPr>
            <w:instrText xml:space="preserve"> HYPERLINK \l _Toc7264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_Toc7264 \h </w:instrText>
          </w:r>
          <w:r>
            <w:rPr>
              <w:highlight w:val="none"/>
            </w:rPr>
            <w:fldChar w:fldCharType="separate"/>
          </w:r>
          <w:r>
            <w:rPr>
              <w:highlight w:val="none"/>
            </w:rPr>
            <w:t>138</w:t>
          </w:r>
          <w:r>
            <w:rPr>
              <w:highlight w:val="none"/>
            </w:rPr>
            <w:fldChar w:fldCharType="end"/>
          </w:r>
          <w:r>
            <w:rPr>
              <w:color w:val="auto"/>
              <w:highlight w:val="none"/>
            </w:rPr>
            <w:fldChar w:fldCharType="end"/>
          </w:r>
        </w:p>
        <w:p w14:paraId="24E76672">
          <w:pPr>
            <w:pStyle w:val="19"/>
            <w:tabs>
              <w:tab w:val="right" w:leader="dot" w:pos="8306"/>
            </w:tabs>
            <w:rPr>
              <w:highlight w:val="none"/>
            </w:rPr>
          </w:pPr>
          <w:r>
            <w:rPr>
              <w:color w:val="auto"/>
              <w:highlight w:val="none"/>
            </w:rPr>
            <w:fldChar w:fldCharType="begin"/>
          </w:r>
          <w:r>
            <w:rPr>
              <w:highlight w:val="none"/>
            </w:rPr>
            <w:instrText xml:space="preserve"> HYPERLINK \l _Toc5949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_Toc5949 \h </w:instrText>
          </w:r>
          <w:r>
            <w:rPr>
              <w:highlight w:val="none"/>
            </w:rPr>
            <w:fldChar w:fldCharType="separate"/>
          </w:r>
          <w:r>
            <w:rPr>
              <w:highlight w:val="none"/>
            </w:rPr>
            <w:t>138</w:t>
          </w:r>
          <w:r>
            <w:rPr>
              <w:highlight w:val="none"/>
            </w:rPr>
            <w:fldChar w:fldCharType="end"/>
          </w:r>
          <w:r>
            <w:rPr>
              <w:color w:val="auto"/>
              <w:highlight w:val="none"/>
            </w:rPr>
            <w:fldChar w:fldCharType="end"/>
          </w:r>
        </w:p>
        <w:p w14:paraId="74F0B285">
          <w:pPr>
            <w:pStyle w:val="19"/>
            <w:tabs>
              <w:tab w:val="right" w:leader="dot" w:pos="8306"/>
            </w:tabs>
            <w:rPr>
              <w:highlight w:val="none"/>
            </w:rPr>
          </w:pPr>
          <w:r>
            <w:rPr>
              <w:color w:val="auto"/>
              <w:highlight w:val="none"/>
            </w:rPr>
            <w:fldChar w:fldCharType="begin"/>
          </w:r>
          <w:r>
            <w:rPr>
              <w:highlight w:val="none"/>
            </w:rPr>
            <w:instrText xml:space="preserve"> HYPERLINK \l _Toc23738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_Toc23738 \h </w:instrText>
          </w:r>
          <w:r>
            <w:rPr>
              <w:highlight w:val="none"/>
            </w:rPr>
            <w:fldChar w:fldCharType="separate"/>
          </w:r>
          <w:r>
            <w:rPr>
              <w:highlight w:val="none"/>
            </w:rPr>
            <w:t>139</w:t>
          </w:r>
          <w:r>
            <w:rPr>
              <w:highlight w:val="none"/>
            </w:rPr>
            <w:fldChar w:fldCharType="end"/>
          </w:r>
          <w:r>
            <w:rPr>
              <w:color w:val="auto"/>
              <w:highlight w:val="none"/>
            </w:rPr>
            <w:fldChar w:fldCharType="end"/>
          </w:r>
        </w:p>
        <w:p w14:paraId="6D51D691">
          <w:pPr>
            <w:pStyle w:val="19"/>
            <w:tabs>
              <w:tab w:val="right" w:leader="dot" w:pos="8306"/>
            </w:tabs>
            <w:rPr>
              <w:highlight w:val="none"/>
            </w:rPr>
          </w:pPr>
          <w:r>
            <w:rPr>
              <w:color w:val="auto"/>
              <w:highlight w:val="none"/>
            </w:rPr>
            <w:fldChar w:fldCharType="begin"/>
          </w:r>
          <w:r>
            <w:rPr>
              <w:highlight w:val="none"/>
            </w:rPr>
            <w:instrText xml:space="preserve"> HYPERLINK \l _Toc12853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8</w:t>
          </w:r>
          <w:r>
            <w:rPr>
              <w:highlight w:val="none"/>
            </w:rPr>
            <w:t xml:space="preserve"> 施工队伍的撤离</w:t>
          </w:r>
          <w:r>
            <w:rPr>
              <w:highlight w:val="none"/>
            </w:rPr>
            <w:tab/>
          </w:r>
          <w:r>
            <w:rPr>
              <w:highlight w:val="none"/>
            </w:rPr>
            <w:fldChar w:fldCharType="begin"/>
          </w:r>
          <w:r>
            <w:rPr>
              <w:highlight w:val="none"/>
            </w:rPr>
            <w:instrText xml:space="preserve"> PAGEREF _Toc12853 \h </w:instrText>
          </w:r>
          <w:r>
            <w:rPr>
              <w:highlight w:val="none"/>
            </w:rPr>
            <w:fldChar w:fldCharType="separate"/>
          </w:r>
          <w:r>
            <w:rPr>
              <w:highlight w:val="none"/>
            </w:rPr>
            <w:t>139</w:t>
          </w:r>
          <w:r>
            <w:rPr>
              <w:highlight w:val="none"/>
            </w:rPr>
            <w:fldChar w:fldCharType="end"/>
          </w:r>
          <w:r>
            <w:rPr>
              <w:color w:val="auto"/>
              <w:highlight w:val="none"/>
            </w:rPr>
            <w:fldChar w:fldCharType="end"/>
          </w:r>
        </w:p>
        <w:p w14:paraId="47C366D5">
          <w:pPr>
            <w:pStyle w:val="19"/>
            <w:tabs>
              <w:tab w:val="right" w:leader="dot" w:pos="8306"/>
            </w:tabs>
            <w:rPr>
              <w:highlight w:val="none"/>
            </w:rPr>
          </w:pPr>
          <w:r>
            <w:rPr>
              <w:color w:val="auto"/>
              <w:highlight w:val="none"/>
            </w:rPr>
            <w:fldChar w:fldCharType="begin"/>
          </w:r>
          <w:r>
            <w:rPr>
              <w:highlight w:val="none"/>
            </w:rPr>
            <w:instrText xml:space="preserve"> HYPERLINK \l _Toc10074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9</w:t>
          </w:r>
          <w:r>
            <w:rPr>
              <w:highlight w:val="none"/>
            </w:rPr>
            <w:tab/>
          </w:r>
          <w:r>
            <w:rPr>
              <w:highlight w:val="none"/>
            </w:rPr>
            <w:fldChar w:fldCharType="begin"/>
          </w:r>
          <w:r>
            <w:rPr>
              <w:highlight w:val="none"/>
            </w:rPr>
            <w:instrText xml:space="preserve"> PAGEREF _Toc10074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1910DE17">
          <w:pPr>
            <w:pStyle w:val="19"/>
            <w:tabs>
              <w:tab w:val="right" w:leader="dot" w:pos="8306"/>
            </w:tabs>
            <w:rPr>
              <w:highlight w:val="none"/>
            </w:rPr>
          </w:pPr>
          <w:r>
            <w:rPr>
              <w:color w:val="auto"/>
              <w:highlight w:val="none"/>
            </w:rPr>
            <w:fldChar w:fldCharType="begin"/>
          </w:r>
          <w:r>
            <w:rPr>
              <w:highlight w:val="none"/>
            </w:rPr>
            <w:instrText xml:space="preserve"> HYPERLINK \l _Toc28888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9</w:t>
          </w:r>
          <w:r>
            <w:rPr>
              <w:highlight w:val="none"/>
            </w:rPr>
            <w:tab/>
          </w:r>
          <w:r>
            <w:rPr>
              <w:highlight w:val="none"/>
            </w:rPr>
            <w:fldChar w:fldCharType="begin"/>
          </w:r>
          <w:r>
            <w:rPr>
              <w:highlight w:val="none"/>
            </w:rPr>
            <w:instrText xml:space="preserve"> PAGEREF _Toc28888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22B3BD93">
          <w:pPr>
            <w:pStyle w:val="19"/>
            <w:tabs>
              <w:tab w:val="right" w:leader="dot" w:pos="8306"/>
            </w:tabs>
            <w:rPr>
              <w:highlight w:val="none"/>
            </w:rPr>
          </w:pPr>
          <w:r>
            <w:rPr>
              <w:color w:val="auto"/>
              <w:highlight w:val="none"/>
            </w:rPr>
            <w:fldChar w:fldCharType="begin"/>
          </w:r>
          <w:r>
            <w:rPr>
              <w:highlight w:val="none"/>
            </w:rPr>
            <w:instrText xml:space="preserve"> HYPERLINK \l _Toc15500 </w:instrText>
          </w:r>
          <w:r>
            <w:rPr>
              <w:highlight w:val="none"/>
            </w:rPr>
            <w:fldChar w:fldCharType="separate"/>
          </w:r>
          <w:r>
            <w:rPr>
              <w:rFonts w:ascii="Times New Roman" w:hAnsi="Times New Roman" w:eastAsia="宋体"/>
              <w:highlight w:val="none"/>
            </w:rPr>
            <w:t xml:space="preserve">19. </w:t>
          </w:r>
          <w:r>
            <w:rPr>
              <w:highlight w:val="none"/>
            </w:rPr>
            <w:t>缺陷责任与保修责任</w:t>
          </w:r>
          <w:r>
            <w:rPr>
              <w:highlight w:val="none"/>
            </w:rPr>
            <w:tab/>
          </w:r>
          <w:r>
            <w:rPr>
              <w:highlight w:val="none"/>
            </w:rPr>
            <w:fldChar w:fldCharType="begin"/>
          </w:r>
          <w:r>
            <w:rPr>
              <w:highlight w:val="none"/>
            </w:rPr>
            <w:instrText xml:space="preserve"> PAGEREF _Toc15500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7FD8B2E2">
          <w:pPr>
            <w:pStyle w:val="19"/>
            <w:tabs>
              <w:tab w:val="right" w:leader="dot" w:pos="8306"/>
            </w:tabs>
            <w:rPr>
              <w:highlight w:val="none"/>
            </w:rPr>
          </w:pPr>
          <w:r>
            <w:rPr>
              <w:color w:val="auto"/>
              <w:highlight w:val="none"/>
            </w:rPr>
            <w:fldChar w:fldCharType="begin"/>
          </w:r>
          <w:r>
            <w:rPr>
              <w:highlight w:val="none"/>
            </w:rPr>
            <w:instrText xml:space="preserve"> HYPERLINK \l _Toc14362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_Toc14362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53DB48A4">
          <w:pPr>
            <w:pStyle w:val="19"/>
            <w:tabs>
              <w:tab w:val="right" w:leader="dot" w:pos="8306"/>
            </w:tabs>
            <w:rPr>
              <w:highlight w:val="none"/>
            </w:rPr>
          </w:pPr>
          <w:r>
            <w:rPr>
              <w:color w:val="auto"/>
              <w:highlight w:val="none"/>
            </w:rPr>
            <w:fldChar w:fldCharType="begin"/>
          </w:r>
          <w:r>
            <w:rPr>
              <w:highlight w:val="none"/>
            </w:rPr>
            <w:instrText xml:space="preserve"> HYPERLINK \l _Toc25565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_Toc25565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7AAF4133">
          <w:pPr>
            <w:pStyle w:val="19"/>
            <w:tabs>
              <w:tab w:val="right" w:leader="dot" w:pos="8306"/>
            </w:tabs>
            <w:rPr>
              <w:highlight w:val="none"/>
            </w:rPr>
          </w:pPr>
          <w:r>
            <w:rPr>
              <w:color w:val="auto"/>
              <w:highlight w:val="none"/>
            </w:rPr>
            <w:fldChar w:fldCharType="begin"/>
          </w:r>
          <w:r>
            <w:rPr>
              <w:highlight w:val="none"/>
            </w:rPr>
            <w:instrText xml:space="preserve"> HYPERLINK \l _Toc5632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_Toc5632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3BF9EC1D">
          <w:pPr>
            <w:pStyle w:val="19"/>
            <w:tabs>
              <w:tab w:val="right" w:leader="dot" w:pos="8306"/>
            </w:tabs>
            <w:rPr>
              <w:highlight w:val="none"/>
            </w:rPr>
          </w:pPr>
          <w:r>
            <w:rPr>
              <w:color w:val="auto"/>
              <w:highlight w:val="none"/>
            </w:rPr>
            <w:fldChar w:fldCharType="begin"/>
          </w:r>
          <w:r>
            <w:rPr>
              <w:highlight w:val="none"/>
            </w:rPr>
            <w:instrText xml:space="preserve"> HYPERLINK \l _Toc27974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_Toc27974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14EBC625">
          <w:pPr>
            <w:pStyle w:val="19"/>
            <w:tabs>
              <w:tab w:val="right" w:leader="dot" w:pos="8306"/>
            </w:tabs>
            <w:rPr>
              <w:highlight w:val="none"/>
            </w:rPr>
          </w:pPr>
          <w:r>
            <w:rPr>
              <w:color w:val="auto"/>
              <w:highlight w:val="none"/>
            </w:rPr>
            <w:fldChar w:fldCharType="begin"/>
          </w:r>
          <w:r>
            <w:rPr>
              <w:highlight w:val="none"/>
            </w:rPr>
            <w:instrText xml:space="preserve"> HYPERLINK \l _Toc13460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_Toc13460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0CD8EB8F">
          <w:pPr>
            <w:pStyle w:val="19"/>
            <w:tabs>
              <w:tab w:val="right" w:leader="dot" w:pos="8306"/>
            </w:tabs>
            <w:rPr>
              <w:highlight w:val="none"/>
            </w:rPr>
          </w:pPr>
          <w:r>
            <w:rPr>
              <w:color w:val="auto"/>
              <w:highlight w:val="none"/>
            </w:rPr>
            <w:fldChar w:fldCharType="begin"/>
          </w:r>
          <w:r>
            <w:rPr>
              <w:highlight w:val="none"/>
            </w:rPr>
            <w:instrText xml:space="preserve"> HYPERLINK \l _Toc29880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_Toc29880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4A57E36E">
          <w:pPr>
            <w:pStyle w:val="19"/>
            <w:tabs>
              <w:tab w:val="right" w:leader="dot" w:pos="8306"/>
            </w:tabs>
            <w:rPr>
              <w:highlight w:val="none"/>
            </w:rPr>
          </w:pPr>
          <w:r>
            <w:rPr>
              <w:color w:val="auto"/>
              <w:highlight w:val="none"/>
            </w:rPr>
            <w:fldChar w:fldCharType="begin"/>
          </w:r>
          <w:r>
            <w:rPr>
              <w:highlight w:val="none"/>
            </w:rPr>
            <w:instrText xml:space="preserve"> HYPERLINK \l _Toc14801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7</w:t>
          </w:r>
          <w:r>
            <w:rPr>
              <w:highlight w:val="none"/>
            </w:rPr>
            <w:tab/>
          </w:r>
          <w:r>
            <w:rPr>
              <w:highlight w:val="none"/>
            </w:rPr>
            <w:fldChar w:fldCharType="begin"/>
          </w:r>
          <w:r>
            <w:rPr>
              <w:highlight w:val="none"/>
            </w:rPr>
            <w:instrText xml:space="preserve"> PAGEREF _Toc14801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7501C0B4">
          <w:pPr>
            <w:pStyle w:val="19"/>
            <w:tabs>
              <w:tab w:val="right" w:leader="dot" w:pos="8306"/>
            </w:tabs>
            <w:rPr>
              <w:highlight w:val="none"/>
            </w:rPr>
          </w:pPr>
          <w:r>
            <w:rPr>
              <w:color w:val="auto"/>
              <w:highlight w:val="none"/>
            </w:rPr>
            <w:fldChar w:fldCharType="begin"/>
          </w:r>
          <w:r>
            <w:rPr>
              <w:highlight w:val="none"/>
            </w:rPr>
            <w:instrText xml:space="preserve"> HYPERLINK \l _Toc17127 </w:instrText>
          </w:r>
          <w:r>
            <w:rPr>
              <w:highlight w:val="none"/>
            </w:rPr>
            <w:fldChar w:fldCharType="separate"/>
          </w:r>
          <w:r>
            <w:rPr>
              <w:rFonts w:ascii="Times New Roman" w:hAnsi="Times New Roman" w:eastAsia="宋体"/>
              <w:highlight w:val="none"/>
            </w:rPr>
            <w:t xml:space="preserve">20. </w:t>
          </w:r>
          <w:r>
            <w:rPr>
              <w:highlight w:val="none"/>
            </w:rPr>
            <w:t>保险</w:t>
          </w:r>
          <w:r>
            <w:rPr>
              <w:highlight w:val="none"/>
            </w:rPr>
            <w:tab/>
          </w:r>
          <w:r>
            <w:rPr>
              <w:highlight w:val="none"/>
            </w:rPr>
            <w:fldChar w:fldCharType="begin"/>
          </w:r>
          <w:r>
            <w:rPr>
              <w:highlight w:val="none"/>
            </w:rPr>
            <w:instrText xml:space="preserve"> PAGEREF _Toc17127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38D19EB0">
          <w:pPr>
            <w:pStyle w:val="19"/>
            <w:tabs>
              <w:tab w:val="right" w:leader="dot" w:pos="8306"/>
            </w:tabs>
            <w:rPr>
              <w:highlight w:val="none"/>
            </w:rPr>
          </w:pPr>
          <w:r>
            <w:rPr>
              <w:color w:val="auto"/>
              <w:highlight w:val="none"/>
            </w:rPr>
            <w:fldChar w:fldCharType="begin"/>
          </w:r>
          <w:r>
            <w:rPr>
              <w:highlight w:val="none"/>
            </w:rPr>
            <w:instrText xml:space="preserve"> HYPERLINK \l _Toc9143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_Toc9143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4023DC0D">
          <w:pPr>
            <w:pStyle w:val="19"/>
            <w:tabs>
              <w:tab w:val="right" w:leader="dot" w:pos="8306"/>
            </w:tabs>
            <w:rPr>
              <w:highlight w:val="none"/>
            </w:rPr>
          </w:pPr>
          <w:r>
            <w:rPr>
              <w:color w:val="auto"/>
              <w:highlight w:val="none"/>
            </w:rPr>
            <w:fldChar w:fldCharType="begin"/>
          </w:r>
          <w:r>
            <w:rPr>
              <w:highlight w:val="none"/>
            </w:rPr>
            <w:instrText xml:space="preserve"> HYPERLINK \l _Toc15746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_Toc15746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7FA1E7B2">
          <w:pPr>
            <w:pStyle w:val="19"/>
            <w:tabs>
              <w:tab w:val="right" w:leader="dot" w:pos="8306"/>
            </w:tabs>
            <w:rPr>
              <w:highlight w:val="none"/>
            </w:rPr>
          </w:pPr>
          <w:r>
            <w:rPr>
              <w:color w:val="auto"/>
              <w:highlight w:val="none"/>
            </w:rPr>
            <w:fldChar w:fldCharType="begin"/>
          </w:r>
          <w:r>
            <w:rPr>
              <w:highlight w:val="none"/>
            </w:rPr>
            <w:instrText xml:space="preserve"> HYPERLINK \l _Toc10826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_Toc10826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5E1FD144">
          <w:pPr>
            <w:pStyle w:val="19"/>
            <w:tabs>
              <w:tab w:val="right" w:leader="dot" w:pos="8306"/>
            </w:tabs>
            <w:rPr>
              <w:highlight w:val="none"/>
            </w:rPr>
          </w:pPr>
          <w:r>
            <w:rPr>
              <w:color w:val="auto"/>
              <w:highlight w:val="none"/>
            </w:rPr>
            <w:fldChar w:fldCharType="begin"/>
          </w:r>
          <w:r>
            <w:rPr>
              <w:highlight w:val="none"/>
            </w:rPr>
            <w:instrText xml:space="preserve"> HYPERLINK \l _Toc15358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_Toc15358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2240DEDC">
          <w:pPr>
            <w:pStyle w:val="19"/>
            <w:tabs>
              <w:tab w:val="right" w:leader="dot" w:pos="8306"/>
            </w:tabs>
            <w:rPr>
              <w:highlight w:val="none"/>
            </w:rPr>
          </w:pPr>
          <w:r>
            <w:rPr>
              <w:color w:val="auto"/>
              <w:highlight w:val="none"/>
            </w:rPr>
            <w:fldChar w:fldCharType="begin"/>
          </w:r>
          <w:r>
            <w:rPr>
              <w:highlight w:val="none"/>
            </w:rPr>
            <w:instrText xml:space="preserve"> HYPERLINK \l _Toc25495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_Toc25495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67B60057">
          <w:pPr>
            <w:pStyle w:val="19"/>
            <w:tabs>
              <w:tab w:val="right" w:leader="dot" w:pos="8306"/>
            </w:tabs>
            <w:rPr>
              <w:highlight w:val="none"/>
            </w:rPr>
          </w:pPr>
          <w:r>
            <w:rPr>
              <w:color w:val="auto"/>
              <w:highlight w:val="none"/>
            </w:rPr>
            <w:fldChar w:fldCharType="begin"/>
          </w:r>
          <w:r>
            <w:rPr>
              <w:highlight w:val="none"/>
            </w:rPr>
            <w:instrText xml:space="preserve"> HYPERLINK \l _Toc7261 </w:instrText>
          </w:r>
          <w:r>
            <w:rPr>
              <w:highlight w:val="none"/>
            </w:rPr>
            <w:fldChar w:fldCharType="separate"/>
          </w:r>
          <w:r>
            <w:rPr>
              <w:rFonts w:ascii="Times New Roman" w:hAnsi="Times New Roman" w:eastAsia="宋体"/>
              <w:highlight w:val="none"/>
            </w:rPr>
            <w:t xml:space="preserve">21. </w:t>
          </w:r>
          <w:r>
            <w:rPr>
              <w:highlight w:val="none"/>
            </w:rPr>
            <w:t>不可抗力</w:t>
          </w:r>
          <w:r>
            <w:rPr>
              <w:highlight w:val="none"/>
            </w:rPr>
            <w:tab/>
          </w:r>
          <w:r>
            <w:rPr>
              <w:highlight w:val="none"/>
            </w:rPr>
            <w:fldChar w:fldCharType="begin"/>
          </w:r>
          <w:r>
            <w:rPr>
              <w:highlight w:val="none"/>
            </w:rPr>
            <w:instrText xml:space="preserve"> PAGEREF _Toc7261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0824E5D7">
          <w:pPr>
            <w:pStyle w:val="19"/>
            <w:tabs>
              <w:tab w:val="right" w:leader="dot" w:pos="8306"/>
            </w:tabs>
            <w:rPr>
              <w:highlight w:val="none"/>
            </w:rPr>
          </w:pPr>
          <w:r>
            <w:rPr>
              <w:color w:val="auto"/>
              <w:highlight w:val="none"/>
            </w:rPr>
            <w:fldChar w:fldCharType="begin"/>
          </w:r>
          <w:r>
            <w:rPr>
              <w:highlight w:val="none"/>
            </w:rPr>
            <w:instrText xml:space="preserve"> HYPERLINK \l _Toc21069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_Toc21069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66E02C17">
          <w:pPr>
            <w:pStyle w:val="19"/>
            <w:tabs>
              <w:tab w:val="right" w:leader="dot" w:pos="8306"/>
            </w:tabs>
            <w:rPr>
              <w:highlight w:val="none"/>
            </w:rPr>
          </w:pPr>
          <w:r>
            <w:rPr>
              <w:color w:val="auto"/>
              <w:highlight w:val="none"/>
            </w:rPr>
            <w:fldChar w:fldCharType="begin"/>
          </w:r>
          <w:r>
            <w:rPr>
              <w:highlight w:val="none"/>
            </w:rPr>
            <w:instrText xml:space="preserve"> HYPERLINK \l _Toc739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_Toc739 \h </w:instrText>
          </w:r>
          <w:r>
            <w:rPr>
              <w:highlight w:val="none"/>
            </w:rPr>
            <w:fldChar w:fldCharType="separate"/>
          </w:r>
          <w:r>
            <w:rPr>
              <w:highlight w:val="none"/>
            </w:rPr>
            <w:t>144</w:t>
          </w:r>
          <w:r>
            <w:rPr>
              <w:highlight w:val="none"/>
            </w:rPr>
            <w:fldChar w:fldCharType="end"/>
          </w:r>
          <w:r>
            <w:rPr>
              <w:color w:val="auto"/>
              <w:highlight w:val="none"/>
            </w:rPr>
            <w:fldChar w:fldCharType="end"/>
          </w:r>
        </w:p>
        <w:p w14:paraId="693BF5C9">
          <w:pPr>
            <w:pStyle w:val="19"/>
            <w:tabs>
              <w:tab w:val="right" w:leader="dot" w:pos="8306"/>
            </w:tabs>
            <w:rPr>
              <w:highlight w:val="none"/>
            </w:rPr>
          </w:pPr>
          <w:r>
            <w:rPr>
              <w:color w:val="auto"/>
              <w:highlight w:val="none"/>
            </w:rPr>
            <w:fldChar w:fldCharType="begin"/>
          </w:r>
          <w:r>
            <w:rPr>
              <w:highlight w:val="none"/>
            </w:rPr>
            <w:instrText xml:space="preserve"> HYPERLINK \l _Toc24669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_Toc24669 \h </w:instrText>
          </w:r>
          <w:r>
            <w:rPr>
              <w:highlight w:val="none"/>
            </w:rPr>
            <w:fldChar w:fldCharType="separate"/>
          </w:r>
          <w:r>
            <w:rPr>
              <w:highlight w:val="none"/>
            </w:rPr>
            <w:t>144</w:t>
          </w:r>
          <w:r>
            <w:rPr>
              <w:highlight w:val="none"/>
            </w:rPr>
            <w:fldChar w:fldCharType="end"/>
          </w:r>
          <w:r>
            <w:rPr>
              <w:color w:val="auto"/>
              <w:highlight w:val="none"/>
            </w:rPr>
            <w:fldChar w:fldCharType="end"/>
          </w:r>
        </w:p>
        <w:p w14:paraId="1D7752BB">
          <w:pPr>
            <w:pStyle w:val="19"/>
            <w:tabs>
              <w:tab w:val="right" w:leader="dot" w:pos="8306"/>
            </w:tabs>
            <w:rPr>
              <w:highlight w:val="none"/>
            </w:rPr>
          </w:pPr>
          <w:r>
            <w:rPr>
              <w:color w:val="auto"/>
              <w:highlight w:val="none"/>
            </w:rPr>
            <w:fldChar w:fldCharType="begin"/>
          </w:r>
          <w:r>
            <w:rPr>
              <w:highlight w:val="none"/>
            </w:rPr>
            <w:instrText xml:space="preserve"> HYPERLINK \l _Toc1773 </w:instrText>
          </w:r>
          <w:r>
            <w:rPr>
              <w:highlight w:val="none"/>
            </w:rPr>
            <w:fldChar w:fldCharType="separate"/>
          </w:r>
          <w:r>
            <w:rPr>
              <w:rFonts w:ascii="Times New Roman" w:hAnsi="Times New Roman" w:eastAsia="宋体"/>
              <w:highlight w:val="none"/>
            </w:rPr>
            <w:t xml:space="preserve">22. </w:t>
          </w:r>
          <w:r>
            <w:rPr>
              <w:highlight w:val="none"/>
            </w:rPr>
            <w:t>违约</w:t>
          </w:r>
          <w:r>
            <w:rPr>
              <w:highlight w:val="none"/>
            </w:rPr>
            <w:tab/>
          </w:r>
          <w:r>
            <w:rPr>
              <w:highlight w:val="none"/>
            </w:rPr>
            <w:fldChar w:fldCharType="begin"/>
          </w:r>
          <w:r>
            <w:rPr>
              <w:highlight w:val="none"/>
            </w:rPr>
            <w:instrText xml:space="preserve"> PAGEREF _Toc1773 \h </w:instrText>
          </w:r>
          <w:r>
            <w:rPr>
              <w:highlight w:val="none"/>
            </w:rPr>
            <w:fldChar w:fldCharType="separate"/>
          </w:r>
          <w:r>
            <w:rPr>
              <w:highlight w:val="none"/>
            </w:rPr>
            <w:t>145</w:t>
          </w:r>
          <w:r>
            <w:rPr>
              <w:highlight w:val="none"/>
            </w:rPr>
            <w:fldChar w:fldCharType="end"/>
          </w:r>
          <w:r>
            <w:rPr>
              <w:color w:val="auto"/>
              <w:highlight w:val="none"/>
            </w:rPr>
            <w:fldChar w:fldCharType="end"/>
          </w:r>
        </w:p>
        <w:p w14:paraId="4D91BE4C">
          <w:pPr>
            <w:pStyle w:val="19"/>
            <w:tabs>
              <w:tab w:val="right" w:leader="dot" w:pos="8306"/>
            </w:tabs>
            <w:rPr>
              <w:highlight w:val="none"/>
            </w:rPr>
          </w:pPr>
          <w:r>
            <w:rPr>
              <w:color w:val="auto"/>
              <w:highlight w:val="none"/>
            </w:rPr>
            <w:fldChar w:fldCharType="begin"/>
          </w:r>
          <w:r>
            <w:rPr>
              <w:highlight w:val="none"/>
            </w:rPr>
            <w:instrText xml:space="preserve"> HYPERLINK \l _Toc28723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_Toc28723 \h </w:instrText>
          </w:r>
          <w:r>
            <w:rPr>
              <w:highlight w:val="none"/>
            </w:rPr>
            <w:fldChar w:fldCharType="separate"/>
          </w:r>
          <w:r>
            <w:rPr>
              <w:highlight w:val="none"/>
            </w:rPr>
            <w:t>145</w:t>
          </w:r>
          <w:r>
            <w:rPr>
              <w:highlight w:val="none"/>
            </w:rPr>
            <w:fldChar w:fldCharType="end"/>
          </w:r>
          <w:r>
            <w:rPr>
              <w:color w:val="auto"/>
              <w:highlight w:val="none"/>
            </w:rPr>
            <w:fldChar w:fldCharType="end"/>
          </w:r>
        </w:p>
        <w:p w14:paraId="1F5218A4">
          <w:pPr>
            <w:pStyle w:val="19"/>
            <w:tabs>
              <w:tab w:val="right" w:leader="dot" w:pos="8306"/>
            </w:tabs>
            <w:rPr>
              <w:highlight w:val="none"/>
            </w:rPr>
          </w:pPr>
          <w:r>
            <w:rPr>
              <w:color w:val="auto"/>
              <w:highlight w:val="none"/>
            </w:rPr>
            <w:fldChar w:fldCharType="begin"/>
          </w:r>
          <w:r>
            <w:rPr>
              <w:highlight w:val="none"/>
            </w:rPr>
            <w:instrText xml:space="preserve"> HYPERLINK \l _Toc4013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_Toc4013 \h </w:instrText>
          </w:r>
          <w:r>
            <w:rPr>
              <w:highlight w:val="none"/>
            </w:rPr>
            <w:fldChar w:fldCharType="separate"/>
          </w:r>
          <w:r>
            <w:rPr>
              <w:highlight w:val="none"/>
            </w:rPr>
            <w:t>147</w:t>
          </w:r>
          <w:r>
            <w:rPr>
              <w:highlight w:val="none"/>
            </w:rPr>
            <w:fldChar w:fldCharType="end"/>
          </w:r>
          <w:r>
            <w:rPr>
              <w:color w:val="auto"/>
              <w:highlight w:val="none"/>
            </w:rPr>
            <w:fldChar w:fldCharType="end"/>
          </w:r>
        </w:p>
        <w:p w14:paraId="7F9844C9">
          <w:pPr>
            <w:pStyle w:val="19"/>
            <w:tabs>
              <w:tab w:val="right" w:leader="dot" w:pos="8306"/>
            </w:tabs>
            <w:rPr>
              <w:highlight w:val="none"/>
            </w:rPr>
          </w:pPr>
          <w:r>
            <w:rPr>
              <w:color w:val="auto"/>
              <w:highlight w:val="none"/>
            </w:rPr>
            <w:fldChar w:fldCharType="begin"/>
          </w:r>
          <w:r>
            <w:rPr>
              <w:highlight w:val="none"/>
            </w:rPr>
            <w:instrText xml:space="preserve"> HYPERLINK \l _Toc2252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3</w:t>
          </w:r>
          <w:r>
            <w:rPr>
              <w:highlight w:val="none"/>
            </w:rPr>
            <w:t xml:space="preserve"> 第三人造成的违约</w:t>
          </w:r>
          <w:r>
            <w:rPr>
              <w:highlight w:val="none"/>
            </w:rPr>
            <w:tab/>
          </w:r>
          <w:r>
            <w:rPr>
              <w:highlight w:val="none"/>
            </w:rPr>
            <w:fldChar w:fldCharType="begin"/>
          </w:r>
          <w:r>
            <w:rPr>
              <w:highlight w:val="none"/>
            </w:rPr>
            <w:instrText xml:space="preserve"> PAGEREF _Toc2252 \h </w:instrText>
          </w:r>
          <w:r>
            <w:rPr>
              <w:highlight w:val="none"/>
            </w:rPr>
            <w:fldChar w:fldCharType="separate"/>
          </w:r>
          <w:r>
            <w:rPr>
              <w:highlight w:val="none"/>
            </w:rPr>
            <w:t>148</w:t>
          </w:r>
          <w:r>
            <w:rPr>
              <w:highlight w:val="none"/>
            </w:rPr>
            <w:fldChar w:fldCharType="end"/>
          </w:r>
          <w:r>
            <w:rPr>
              <w:color w:val="auto"/>
              <w:highlight w:val="none"/>
            </w:rPr>
            <w:fldChar w:fldCharType="end"/>
          </w:r>
        </w:p>
        <w:p w14:paraId="4360BBF6">
          <w:pPr>
            <w:pStyle w:val="19"/>
            <w:tabs>
              <w:tab w:val="right" w:leader="dot" w:pos="8306"/>
            </w:tabs>
            <w:rPr>
              <w:highlight w:val="none"/>
            </w:rPr>
          </w:pPr>
          <w:r>
            <w:rPr>
              <w:color w:val="auto"/>
              <w:highlight w:val="none"/>
            </w:rPr>
            <w:fldChar w:fldCharType="begin"/>
          </w:r>
          <w:r>
            <w:rPr>
              <w:highlight w:val="none"/>
            </w:rPr>
            <w:instrText xml:space="preserve"> HYPERLINK \l _Toc9031 </w:instrText>
          </w:r>
          <w:r>
            <w:rPr>
              <w:highlight w:val="none"/>
            </w:rPr>
            <w:fldChar w:fldCharType="separate"/>
          </w:r>
          <w:r>
            <w:rPr>
              <w:highlight w:val="none"/>
            </w:rPr>
            <w:t>23.1</w:t>
          </w:r>
          <w:r>
            <w:rPr>
              <w:highlight w:val="none"/>
            </w:rPr>
            <w:tab/>
          </w:r>
          <w:r>
            <w:rPr>
              <w:highlight w:val="none"/>
            </w:rPr>
            <w:fldChar w:fldCharType="begin"/>
          </w:r>
          <w:r>
            <w:rPr>
              <w:highlight w:val="none"/>
            </w:rPr>
            <w:instrText xml:space="preserve"> PAGEREF _Toc9031 \h </w:instrText>
          </w:r>
          <w:r>
            <w:rPr>
              <w:highlight w:val="none"/>
            </w:rPr>
            <w:fldChar w:fldCharType="separate"/>
          </w:r>
          <w:r>
            <w:rPr>
              <w:highlight w:val="none"/>
            </w:rPr>
            <w:t>148</w:t>
          </w:r>
          <w:r>
            <w:rPr>
              <w:highlight w:val="none"/>
            </w:rPr>
            <w:fldChar w:fldCharType="end"/>
          </w:r>
          <w:r>
            <w:rPr>
              <w:color w:val="auto"/>
              <w:highlight w:val="none"/>
            </w:rPr>
            <w:fldChar w:fldCharType="end"/>
          </w:r>
        </w:p>
        <w:p w14:paraId="7A7AA15A">
          <w:pPr>
            <w:pStyle w:val="19"/>
            <w:tabs>
              <w:tab w:val="right" w:leader="dot" w:pos="8306"/>
            </w:tabs>
            <w:rPr>
              <w:highlight w:val="none"/>
            </w:rPr>
          </w:pPr>
          <w:r>
            <w:rPr>
              <w:color w:val="auto"/>
              <w:highlight w:val="none"/>
            </w:rPr>
            <w:fldChar w:fldCharType="begin"/>
          </w:r>
          <w:r>
            <w:rPr>
              <w:highlight w:val="none"/>
            </w:rPr>
            <w:instrText xml:space="preserve"> HYPERLINK \l _Toc28810 </w:instrText>
          </w:r>
          <w:r>
            <w:rPr>
              <w:highlight w:val="none"/>
            </w:rPr>
            <w:fldChar w:fldCharType="separate"/>
          </w:r>
          <w:r>
            <w:rPr>
              <w:highlight w:val="none"/>
            </w:rPr>
            <w:t>23.2</w:t>
          </w:r>
          <w:r>
            <w:rPr>
              <w:highlight w:val="none"/>
            </w:rPr>
            <w:tab/>
          </w:r>
          <w:r>
            <w:rPr>
              <w:highlight w:val="none"/>
            </w:rPr>
            <w:fldChar w:fldCharType="begin"/>
          </w:r>
          <w:r>
            <w:rPr>
              <w:highlight w:val="none"/>
            </w:rPr>
            <w:instrText xml:space="preserve"> PAGEREF _Toc28810 \h </w:instrText>
          </w:r>
          <w:r>
            <w:rPr>
              <w:highlight w:val="none"/>
            </w:rPr>
            <w:fldChar w:fldCharType="separate"/>
          </w:r>
          <w:r>
            <w:rPr>
              <w:highlight w:val="none"/>
            </w:rPr>
            <w:t>148</w:t>
          </w:r>
          <w:r>
            <w:rPr>
              <w:highlight w:val="none"/>
            </w:rPr>
            <w:fldChar w:fldCharType="end"/>
          </w:r>
          <w:r>
            <w:rPr>
              <w:color w:val="auto"/>
              <w:highlight w:val="none"/>
            </w:rPr>
            <w:fldChar w:fldCharType="end"/>
          </w:r>
        </w:p>
        <w:p w14:paraId="152EEEAE">
          <w:pPr>
            <w:pStyle w:val="19"/>
            <w:tabs>
              <w:tab w:val="right" w:leader="dot" w:pos="8306"/>
            </w:tabs>
            <w:rPr>
              <w:highlight w:val="none"/>
            </w:rPr>
          </w:pPr>
          <w:r>
            <w:rPr>
              <w:color w:val="auto"/>
              <w:highlight w:val="none"/>
            </w:rPr>
            <w:fldChar w:fldCharType="begin"/>
          </w:r>
          <w:r>
            <w:rPr>
              <w:highlight w:val="none"/>
            </w:rPr>
            <w:instrText xml:space="preserve"> HYPERLINK \l _Toc11821 </w:instrText>
          </w:r>
          <w:r>
            <w:rPr>
              <w:highlight w:val="none"/>
            </w:rPr>
            <w:fldChar w:fldCharType="separate"/>
          </w:r>
          <w:r>
            <w:rPr>
              <w:highlight w:val="none"/>
            </w:rPr>
            <w:t>23.3</w:t>
          </w:r>
          <w:r>
            <w:rPr>
              <w:highlight w:val="none"/>
            </w:rPr>
            <w:tab/>
          </w:r>
          <w:r>
            <w:rPr>
              <w:highlight w:val="none"/>
            </w:rPr>
            <w:fldChar w:fldCharType="begin"/>
          </w:r>
          <w:r>
            <w:rPr>
              <w:highlight w:val="none"/>
            </w:rPr>
            <w:instrText xml:space="preserve"> PAGEREF _Toc11821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31389EE5">
          <w:pPr>
            <w:pStyle w:val="19"/>
            <w:tabs>
              <w:tab w:val="right" w:leader="dot" w:pos="8306"/>
            </w:tabs>
            <w:rPr>
              <w:highlight w:val="none"/>
            </w:rPr>
          </w:pPr>
          <w:r>
            <w:rPr>
              <w:color w:val="auto"/>
              <w:highlight w:val="none"/>
            </w:rPr>
            <w:fldChar w:fldCharType="begin"/>
          </w:r>
          <w:r>
            <w:rPr>
              <w:highlight w:val="none"/>
            </w:rPr>
            <w:instrText xml:space="preserve"> HYPERLINK \l _Toc12211 </w:instrText>
          </w:r>
          <w:r>
            <w:rPr>
              <w:highlight w:val="none"/>
            </w:rPr>
            <w:fldChar w:fldCharType="separate"/>
          </w:r>
          <w:r>
            <w:rPr>
              <w:highlight w:val="none"/>
            </w:rPr>
            <w:t>23.4</w:t>
          </w:r>
          <w:r>
            <w:rPr>
              <w:highlight w:val="none"/>
            </w:rPr>
            <w:tab/>
          </w:r>
          <w:r>
            <w:rPr>
              <w:highlight w:val="none"/>
            </w:rPr>
            <w:fldChar w:fldCharType="begin"/>
          </w:r>
          <w:r>
            <w:rPr>
              <w:highlight w:val="none"/>
            </w:rPr>
            <w:instrText xml:space="preserve"> PAGEREF _Toc12211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0DD34C5A">
          <w:pPr>
            <w:pStyle w:val="19"/>
            <w:tabs>
              <w:tab w:val="right" w:leader="dot" w:pos="8306"/>
            </w:tabs>
            <w:rPr>
              <w:highlight w:val="none"/>
            </w:rPr>
          </w:pPr>
          <w:r>
            <w:rPr>
              <w:color w:val="auto"/>
              <w:highlight w:val="none"/>
            </w:rPr>
            <w:fldChar w:fldCharType="begin"/>
          </w:r>
          <w:r>
            <w:rPr>
              <w:highlight w:val="none"/>
            </w:rPr>
            <w:instrText xml:space="preserve"> HYPERLINK \l _Toc15298 </w:instrText>
          </w:r>
          <w:r>
            <w:rPr>
              <w:highlight w:val="none"/>
            </w:rPr>
            <w:fldChar w:fldCharType="separate"/>
          </w:r>
          <w:r>
            <w:rPr>
              <w:highlight w:val="none"/>
            </w:rPr>
            <w:t>24.1</w:t>
          </w:r>
          <w:r>
            <w:rPr>
              <w:highlight w:val="none"/>
            </w:rPr>
            <w:tab/>
          </w:r>
          <w:r>
            <w:rPr>
              <w:highlight w:val="none"/>
            </w:rPr>
            <w:fldChar w:fldCharType="begin"/>
          </w:r>
          <w:r>
            <w:rPr>
              <w:highlight w:val="none"/>
            </w:rPr>
            <w:instrText xml:space="preserve"> PAGEREF _Toc15298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029371FD">
          <w:pPr>
            <w:pStyle w:val="19"/>
            <w:tabs>
              <w:tab w:val="right" w:leader="dot" w:pos="8306"/>
            </w:tabs>
            <w:rPr>
              <w:highlight w:val="none"/>
            </w:rPr>
          </w:pPr>
          <w:r>
            <w:rPr>
              <w:color w:val="auto"/>
              <w:highlight w:val="none"/>
            </w:rPr>
            <w:fldChar w:fldCharType="begin"/>
          </w:r>
          <w:r>
            <w:rPr>
              <w:highlight w:val="none"/>
            </w:rPr>
            <w:instrText xml:space="preserve"> HYPERLINK \l _Toc26077 </w:instrText>
          </w:r>
          <w:r>
            <w:rPr>
              <w:highlight w:val="none"/>
            </w:rPr>
            <w:fldChar w:fldCharType="separate"/>
          </w:r>
          <w:r>
            <w:rPr>
              <w:highlight w:val="none"/>
            </w:rPr>
            <w:t>24.2</w:t>
          </w:r>
          <w:r>
            <w:rPr>
              <w:highlight w:val="none"/>
            </w:rPr>
            <w:tab/>
          </w:r>
          <w:r>
            <w:rPr>
              <w:highlight w:val="none"/>
            </w:rPr>
            <w:fldChar w:fldCharType="begin"/>
          </w:r>
          <w:r>
            <w:rPr>
              <w:highlight w:val="none"/>
            </w:rPr>
            <w:instrText xml:space="preserve"> PAGEREF _Toc26077 \h </w:instrText>
          </w:r>
          <w:r>
            <w:rPr>
              <w:highlight w:val="none"/>
            </w:rPr>
            <w:fldChar w:fldCharType="separate"/>
          </w:r>
          <w:r>
            <w:rPr>
              <w:highlight w:val="none"/>
            </w:rPr>
            <w:t>150</w:t>
          </w:r>
          <w:r>
            <w:rPr>
              <w:highlight w:val="none"/>
            </w:rPr>
            <w:fldChar w:fldCharType="end"/>
          </w:r>
          <w:r>
            <w:rPr>
              <w:color w:val="auto"/>
              <w:highlight w:val="none"/>
            </w:rPr>
            <w:fldChar w:fldCharType="end"/>
          </w:r>
        </w:p>
        <w:p w14:paraId="1D4ABBDD">
          <w:pPr>
            <w:pStyle w:val="19"/>
            <w:tabs>
              <w:tab w:val="right" w:leader="dot" w:pos="8306"/>
            </w:tabs>
            <w:rPr>
              <w:highlight w:val="none"/>
            </w:rPr>
          </w:pPr>
          <w:r>
            <w:rPr>
              <w:color w:val="auto"/>
              <w:highlight w:val="none"/>
            </w:rPr>
            <w:fldChar w:fldCharType="begin"/>
          </w:r>
          <w:r>
            <w:rPr>
              <w:highlight w:val="none"/>
            </w:rPr>
            <w:instrText xml:space="preserve"> HYPERLINK \l _Toc15393 </w:instrText>
          </w:r>
          <w:r>
            <w:rPr>
              <w:highlight w:val="none"/>
            </w:rPr>
            <w:fldChar w:fldCharType="separate"/>
          </w:r>
          <w:r>
            <w:rPr>
              <w:highlight w:val="none"/>
            </w:rPr>
            <w:t>24.3</w:t>
          </w:r>
          <w:r>
            <w:rPr>
              <w:highlight w:val="none"/>
            </w:rPr>
            <w:tab/>
          </w:r>
          <w:r>
            <w:rPr>
              <w:highlight w:val="none"/>
            </w:rPr>
            <w:fldChar w:fldCharType="begin"/>
          </w:r>
          <w:r>
            <w:rPr>
              <w:highlight w:val="none"/>
            </w:rPr>
            <w:instrText xml:space="preserve"> PAGEREF _Toc15393 \h </w:instrText>
          </w:r>
          <w:r>
            <w:rPr>
              <w:highlight w:val="none"/>
            </w:rPr>
            <w:fldChar w:fldCharType="separate"/>
          </w:r>
          <w:r>
            <w:rPr>
              <w:highlight w:val="none"/>
            </w:rPr>
            <w:t>150</w:t>
          </w:r>
          <w:r>
            <w:rPr>
              <w:highlight w:val="none"/>
            </w:rPr>
            <w:fldChar w:fldCharType="end"/>
          </w:r>
          <w:r>
            <w:rPr>
              <w:color w:val="auto"/>
              <w:highlight w:val="none"/>
            </w:rPr>
            <w:fldChar w:fldCharType="end"/>
          </w:r>
        </w:p>
        <w:p w14:paraId="20C31B8C">
          <w:pPr>
            <w:pStyle w:val="31"/>
            <w:tabs>
              <w:tab w:val="right" w:leader="dot" w:pos="8306"/>
            </w:tabs>
            <w:rPr>
              <w:highlight w:val="none"/>
            </w:rPr>
          </w:pPr>
          <w:r>
            <w:rPr>
              <w:color w:val="auto"/>
              <w:highlight w:val="none"/>
            </w:rPr>
            <w:fldChar w:fldCharType="begin"/>
          </w:r>
          <w:r>
            <w:rPr>
              <w:highlight w:val="none"/>
            </w:rPr>
            <w:instrText xml:space="preserve"> HYPERLINK \l _Toc15687 </w:instrText>
          </w:r>
          <w:r>
            <w:rPr>
              <w:highlight w:val="none"/>
            </w:rPr>
            <w:fldChar w:fldCharType="separate"/>
          </w:r>
          <w:r>
            <w:rPr>
              <w:rFonts w:hint="eastAsia"/>
              <w:szCs w:val="28"/>
              <w:highlight w:val="none"/>
            </w:rPr>
            <w:t>第二节 专用合同条款</w:t>
          </w:r>
          <w:r>
            <w:rPr>
              <w:highlight w:val="none"/>
            </w:rPr>
            <w:tab/>
          </w:r>
          <w:r>
            <w:rPr>
              <w:highlight w:val="none"/>
            </w:rPr>
            <w:fldChar w:fldCharType="begin"/>
          </w:r>
          <w:r>
            <w:rPr>
              <w:highlight w:val="none"/>
            </w:rPr>
            <w:instrText xml:space="preserve"> PAGEREF _Toc15687 \h </w:instrText>
          </w:r>
          <w:r>
            <w:rPr>
              <w:highlight w:val="none"/>
            </w:rPr>
            <w:fldChar w:fldCharType="separate"/>
          </w:r>
          <w:r>
            <w:rPr>
              <w:highlight w:val="none"/>
            </w:rPr>
            <w:t>151</w:t>
          </w:r>
          <w:r>
            <w:rPr>
              <w:highlight w:val="none"/>
            </w:rPr>
            <w:fldChar w:fldCharType="end"/>
          </w:r>
          <w:r>
            <w:rPr>
              <w:color w:val="auto"/>
              <w:highlight w:val="none"/>
            </w:rPr>
            <w:fldChar w:fldCharType="end"/>
          </w:r>
        </w:p>
        <w:p w14:paraId="28ABDD56">
          <w:pPr>
            <w:pStyle w:val="31"/>
            <w:tabs>
              <w:tab w:val="right" w:leader="dot" w:pos="8306"/>
            </w:tabs>
            <w:rPr>
              <w:highlight w:val="none"/>
            </w:rPr>
          </w:pPr>
          <w:r>
            <w:rPr>
              <w:color w:val="auto"/>
              <w:highlight w:val="none"/>
            </w:rPr>
            <w:fldChar w:fldCharType="begin"/>
          </w:r>
          <w:r>
            <w:rPr>
              <w:highlight w:val="none"/>
            </w:rPr>
            <w:instrText xml:space="preserve"> HYPERLINK \l _Toc26585 </w:instrText>
          </w:r>
          <w:r>
            <w:rPr>
              <w:highlight w:val="none"/>
            </w:rPr>
            <w:fldChar w:fldCharType="separate"/>
          </w:r>
          <w:r>
            <w:rPr>
              <w:rFonts w:hint="eastAsia"/>
              <w:szCs w:val="28"/>
              <w:highlight w:val="none"/>
            </w:rPr>
            <w:t>第三节 合同附件格式</w:t>
          </w:r>
          <w:r>
            <w:rPr>
              <w:highlight w:val="none"/>
            </w:rPr>
            <w:tab/>
          </w:r>
          <w:r>
            <w:rPr>
              <w:highlight w:val="none"/>
            </w:rPr>
            <w:fldChar w:fldCharType="begin"/>
          </w:r>
          <w:r>
            <w:rPr>
              <w:highlight w:val="none"/>
            </w:rPr>
            <w:instrText xml:space="preserve"> PAGEREF _Toc26585 \h </w:instrText>
          </w:r>
          <w:r>
            <w:rPr>
              <w:highlight w:val="none"/>
            </w:rPr>
            <w:fldChar w:fldCharType="separate"/>
          </w:r>
          <w:r>
            <w:rPr>
              <w:highlight w:val="none"/>
            </w:rPr>
            <w:t>161</w:t>
          </w:r>
          <w:r>
            <w:rPr>
              <w:highlight w:val="none"/>
            </w:rPr>
            <w:fldChar w:fldCharType="end"/>
          </w:r>
          <w:r>
            <w:rPr>
              <w:color w:val="auto"/>
              <w:highlight w:val="none"/>
            </w:rPr>
            <w:fldChar w:fldCharType="end"/>
          </w:r>
        </w:p>
        <w:p w14:paraId="0C97C383">
          <w:pPr>
            <w:pStyle w:val="19"/>
            <w:tabs>
              <w:tab w:val="right" w:leader="dot" w:pos="8306"/>
            </w:tabs>
            <w:rPr>
              <w:highlight w:val="none"/>
            </w:rPr>
          </w:pPr>
          <w:r>
            <w:rPr>
              <w:color w:val="auto"/>
              <w:highlight w:val="none"/>
            </w:rPr>
            <w:fldChar w:fldCharType="begin"/>
          </w:r>
          <w:r>
            <w:rPr>
              <w:highlight w:val="none"/>
            </w:rPr>
            <w:instrText xml:space="preserve"> HYPERLINK \l _Toc30694 </w:instrText>
          </w:r>
          <w:r>
            <w:rPr>
              <w:highlight w:val="none"/>
            </w:rPr>
            <w:fldChar w:fldCharType="separate"/>
          </w:r>
          <w:r>
            <w:rPr>
              <w:rFonts w:hint="eastAsia"/>
              <w:highlight w:val="none"/>
            </w:rPr>
            <w:t>附件一：合同协议书</w:t>
          </w:r>
          <w:r>
            <w:rPr>
              <w:highlight w:val="none"/>
            </w:rPr>
            <w:tab/>
          </w:r>
          <w:r>
            <w:rPr>
              <w:highlight w:val="none"/>
            </w:rPr>
            <w:fldChar w:fldCharType="begin"/>
          </w:r>
          <w:r>
            <w:rPr>
              <w:highlight w:val="none"/>
            </w:rPr>
            <w:instrText xml:space="preserve"> PAGEREF _Toc30694 \h </w:instrText>
          </w:r>
          <w:r>
            <w:rPr>
              <w:highlight w:val="none"/>
            </w:rPr>
            <w:fldChar w:fldCharType="separate"/>
          </w:r>
          <w:r>
            <w:rPr>
              <w:highlight w:val="none"/>
            </w:rPr>
            <w:t>162</w:t>
          </w:r>
          <w:r>
            <w:rPr>
              <w:highlight w:val="none"/>
            </w:rPr>
            <w:fldChar w:fldCharType="end"/>
          </w:r>
          <w:r>
            <w:rPr>
              <w:color w:val="auto"/>
              <w:highlight w:val="none"/>
            </w:rPr>
            <w:fldChar w:fldCharType="end"/>
          </w:r>
        </w:p>
        <w:p w14:paraId="5F10D035">
          <w:pPr>
            <w:pStyle w:val="19"/>
            <w:tabs>
              <w:tab w:val="right" w:leader="dot" w:pos="8306"/>
            </w:tabs>
            <w:rPr>
              <w:highlight w:val="none"/>
            </w:rPr>
          </w:pPr>
          <w:r>
            <w:rPr>
              <w:color w:val="auto"/>
              <w:highlight w:val="none"/>
            </w:rPr>
            <w:fldChar w:fldCharType="begin"/>
          </w:r>
          <w:r>
            <w:rPr>
              <w:highlight w:val="none"/>
            </w:rPr>
            <w:instrText xml:space="preserve"> HYPERLINK \l _Toc10769 </w:instrText>
          </w:r>
          <w:r>
            <w:rPr>
              <w:highlight w:val="none"/>
            </w:rPr>
            <w:fldChar w:fldCharType="separate"/>
          </w:r>
          <w:r>
            <w:rPr>
              <w:rFonts w:hint="eastAsia"/>
              <w:highlight w:val="none"/>
            </w:rPr>
            <w:t>附件二：履约担保格式</w:t>
          </w:r>
          <w:r>
            <w:rPr>
              <w:highlight w:val="none"/>
            </w:rPr>
            <w:tab/>
          </w:r>
          <w:r>
            <w:rPr>
              <w:highlight w:val="none"/>
            </w:rPr>
            <w:fldChar w:fldCharType="begin"/>
          </w:r>
          <w:r>
            <w:rPr>
              <w:highlight w:val="none"/>
            </w:rPr>
            <w:instrText xml:space="preserve"> PAGEREF _Toc10769 \h </w:instrText>
          </w:r>
          <w:r>
            <w:rPr>
              <w:highlight w:val="none"/>
            </w:rPr>
            <w:fldChar w:fldCharType="separate"/>
          </w:r>
          <w:r>
            <w:rPr>
              <w:highlight w:val="none"/>
            </w:rPr>
            <w:t>163</w:t>
          </w:r>
          <w:r>
            <w:rPr>
              <w:highlight w:val="none"/>
            </w:rPr>
            <w:fldChar w:fldCharType="end"/>
          </w:r>
          <w:r>
            <w:rPr>
              <w:color w:val="auto"/>
              <w:highlight w:val="none"/>
            </w:rPr>
            <w:fldChar w:fldCharType="end"/>
          </w:r>
        </w:p>
        <w:p w14:paraId="28DBFD7D">
          <w:pPr>
            <w:pStyle w:val="27"/>
            <w:tabs>
              <w:tab w:val="right" w:leader="dot" w:pos="8306"/>
            </w:tabs>
            <w:rPr>
              <w:highlight w:val="none"/>
            </w:rPr>
          </w:pPr>
          <w:r>
            <w:rPr>
              <w:color w:val="auto"/>
              <w:highlight w:val="none"/>
            </w:rPr>
            <w:fldChar w:fldCharType="begin"/>
          </w:r>
          <w:r>
            <w:rPr>
              <w:highlight w:val="none"/>
            </w:rPr>
            <w:instrText xml:space="preserve"> HYPERLINK \l _Toc4749 </w:instrText>
          </w:r>
          <w:r>
            <w:rPr>
              <w:highlight w:val="none"/>
            </w:rPr>
            <w:fldChar w:fldCharType="separate"/>
          </w:r>
          <w:r>
            <w:rPr>
              <w:rFonts w:hint="eastAsia"/>
              <w:highlight w:val="none"/>
            </w:rPr>
            <w:t>第五章  发包人要求</w:t>
          </w:r>
          <w:r>
            <w:rPr>
              <w:highlight w:val="none"/>
            </w:rPr>
            <w:tab/>
          </w:r>
          <w:r>
            <w:rPr>
              <w:highlight w:val="none"/>
            </w:rPr>
            <w:fldChar w:fldCharType="begin"/>
          </w:r>
          <w:r>
            <w:rPr>
              <w:highlight w:val="none"/>
            </w:rPr>
            <w:instrText xml:space="preserve"> PAGEREF _Toc4749 \h </w:instrText>
          </w:r>
          <w:r>
            <w:rPr>
              <w:highlight w:val="none"/>
            </w:rPr>
            <w:fldChar w:fldCharType="separate"/>
          </w:r>
          <w:r>
            <w:rPr>
              <w:highlight w:val="none"/>
            </w:rPr>
            <w:t>164</w:t>
          </w:r>
          <w:r>
            <w:rPr>
              <w:highlight w:val="none"/>
            </w:rPr>
            <w:fldChar w:fldCharType="end"/>
          </w:r>
          <w:r>
            <w:rPr>
              <w:color w:val="auto"/>
              <w:highlight w:val="none"/>
            </w:rPr>
            <w:fldChar w:fldCharType="end"/>
          </w:r>
        </w:p>
        <w:p w14:paraId="524D3A8C">
          <w:pPr>
            <w:pStyle w:val="31"/>
            <w:tabs>
              <w:tab w:val="right" w:leader="dot" w:pos="8306"/>
            </w:tabs>
            <w:rPr>
              <w:highlight w:val="none"/>
            </w:rPr>
          </w:pPr>
          <w:r>
            <w:rPr>
              <w:color w:val="auto"/>
              <w:highlight w:val="none"/>
            </w:rPr>
            <w:fldChar w:fldCharType="begin"/>
          </w:r>
          <w:r>
            <w:rPr>
              <w:highlight w:val="none"/>
            </w:rPr>
            <w:instrText xml:space="preserve"> HYPERLINK \l _Toc10831 </w:instrText>
          </w:r>
          <w:r>
            <w:rPr>
              <w:highlight w:val="none"/>
            </w:rPr>
            <w:fldChar w:fldCharType="separate"/>
          </w:r>
          <w:r>
            <w:rPr>
              <w:rFonts w:hint="eastAsia"/>
              <w:highlight w:val="none"/>
            </w:rPr>
            <w:t>发包人要求</w:t>
          </w:r>
          <w:r>
            <w:rPr>
              <w:highlight w:val="none"/>
            </w:rPr>
            <w:tab/>
          </w:r>
          <w:r>
            <w:rPr>
              <w:highlight w:val="none"/>
            </w:rPr>
            <w:fldChar w:fldCharType="begin"/>
          </w:r>
          <w:r>
            <w:rPr>
              <w:highlight w:val="none"/>
            </w:rPr>
            <w:instrText xml:space="preserve"> PAGEREF _Toc10831 \h </w:instrText>
          </w:r>
          <w:r>
            <w:rPr>
              <w:highlight w:val="none"/>
            </w:rPr>
            <w:fldChar w:fldCharType="separate"/>
          </w:r>
          <w:r>
            <w:rPr>
              <w:highlight w:val="none"/>
            </w:rPr>
            <w:t>165</w:t>
          </w:r>
          <w:r>
            <w:rPr>
              <w:highlight w:val="none"/>
            </w:rPr>
            <w:fldChar w:fldCharType="end"/>
          </w:r>
          <w:r>
            <w:rPr>
              <w:color w:val="auto"/>
              <w:highlight w:val="none"/>
            </w:rPr>
            <w:fldChar w:fldCharType="end"/>
          </w:r>
        </w:p>
        <w:p w14:paraId="405E05DA">
          <w:pPr>
            <w:pStyle w:val="31"/>
            <w:tabs>
              <w:tab w:val="right" w:leader="dot" w:pos="8306"/>
            </w:tabs>
            <w:rPr>
              <w:highlight w:val="none"/>
            </w:rPr>
          </w:pPr>
          <w:r>
            <w:rPr>
              <w:color w:val="auto"/>
              <w:highlight w:val="none"/>
            </w:rPr>
            <w:fldChar w:fldCharType="begin"/>
          </w:r>
          <w:r>
            <w:rPr>
              <w:highlight w:val="none"/>
            </w:rPr>
            <w:instrText xml:space="preserve"> HYPERLINK \l _Toc17622 </w:instrText>
          </w:r>
          <w:r>
            <w:rPr>
              <w:highlight w:val="none"/>
            </w:rPr>
            <w:fldChar w:fldCharType="separate"/>
          </w:r>
          <w:r>
            <w:rPr>
              <w:rFonts w:hint="eastAsia"/>
              <w:highlight w:val="none"/>
            </w:rPr>
            <w:t>发包人要求附件清单</w:t>
          </w:r>
          <w:r>
            <w:rPr>
              <w:highlight w:val="none"/>
            </w:rPr>
            <w:tab/>
          </w:r>
          <w:r>
            <w:rPr>
              <w:highlight w:val="none"/>
            </w:rPr>
            <w:fldChar w:fldCharType="begin"/>
          </w:r>
          <w:r>
            <w:rPr>
              <w:highlight w:val="none"/>
            </w:rPr>
            <w:instrText xml:space="preserve"> PAGEREF _Toc17622 \h </w:instrText>
          </w:r>
          <w:r>
            <w:rPr>
              <w:highlight w:val="none"/>
            </w:rPr>
            <w:fldChar w:fldCharType="separate"/>
          </w:r>
          <w:r>
            <w:rPr>
              <w:highlight w:val="none"/>
            </w:rPr>
            <w:t>168</w:t>
          </w:r>
          <w:r>
            <w:rPr>
              <w:highlight w:val="none"/>
            </w:rPr>
            <w:fldChar w:fldCharType="end"/>
          </w:r>
          <w:r>
            <w:rPr>
              <w:color w:val="auto"/>
              <w:highlight w:val="none"/>
            </w:rPr>
            <w:fldChar w:fldCharType="end"/>
          </w:r>
        </w:p>
        <w:p w14:paraId="6F19E667">
          <w:pPr>
            <w:pStyle w:val="27"/>
            <w:tabs>
              <w:tab w:val="right" w:leader="dot" w:pos="8306"/>
            </w:tabs>
            <w:rPr>
              <w:highlight w:val="none"/>
            </w:rPr>
          </w:pPr>
          <w:r>
            <w:rPr>
              <w:color w:val="auto"/>
              <w:highlight w:val="none"/>
            </w:rPr>
            <w:fldChar w:fldCharType="begin"/>
          </w:r>
          <w:r>
            <w:rPr>
              <w:highlight w:val="none"/>
            </w:rPr>
            <w:instrText xml:space="preserve"> HYPERLINK \l _Toc3981 </w:instrText>
          </w:r>
          <w:r>
            <w:rPr>
              <w:highlight w:val="none"/>
            </w:rPr>
            <w:fldChar w:fldCharType="separate"/>
          </w:r>
          <w:r>
            <w:rPr>
              <w:rFonts w:hint="eastAsia"/>
              <w:highlight w:val="none"/>
            </w:rPr>
            <w:t>第六章  发包人提供的资料</w:t>
          </w:r>
          <w:r>
            <w:rPr>
              <w:highlight w:val="none"/>
            </w:rPr>
            <w:tab/>
          </w:r>
          <w:r>
            <w:rPr>
              <w:highlight w:val="none"/>
            </w:rPr>
            <w:fldChar w:fldCharType="begin"/>
          </w:r>
          <w:r>
            <w:rPr>
              <w:highlight w:val="none"/>
            </w:rPr>
            <w:instrText xml:space="preserve"> PAGEREF _Toc3981 \h </w:instrText>
          </w:r>
          <w:r>
            <w:rPr>
              <w:highlight w:val="none"/>
            </w:rPr>
            <w:fldChar w:fldCharType="separate"/>
          </w:r>
          <w:r>
            <w:rPr>
              <w:highlight w:val="none"/>
            </w:rPr>
            <w:t>169</w:t>
          </w:r>
          <w:r>
            <w:rPr>
              <w:highlight w:val="none"/>
            </w:rPr>
            <w:fldChar w:fldCharType="end"/>
          </w:r>
          <w:r>
            <w:rPr>
              <w:color w:val="auto"/>
              <w:highlight w:val="none"/>
            </w:rPr>
            <w:fldChar w:fldCharType="end"/>
          </w:r>
        </w:p>
        <w:p w14:paraId="0CC5DEAB">
          <w:pPr>
            <w:pStyle w:val="31"/>
            <w:tabs>
              <w:tab w:val="right" w:leader="dot" w:pos="8306"/>
            </w:tabs>
            <w:rPr>
              <w:highlight w:val="none"/>
            </w:rPr>
          </w:pPr>
          <w:r>
            <w:rPr>
              <w:color w:val="auto"/>
              <w:highlight w:val="none"/>
            </w:rPr>
            <w:fldChar w:fldCharType="begin"/>
          </w:r>
          <w:r>
            <w:rPr>
              <w:highlight w:val="none"/>
            </w:rPr>
            <w:instrText xml:space="preserve"> HYPERLINK \l _Toc24949 </w:instrText>
          </w:r>
          <w:r>
            <w:rPr>
              <w:highlight w:val="none"/>
            </w:rPr>
            <w:fldChar w:fldCharType="separate"/>
          </w:r>
          <w:r>
            <w:rPr>
              <w:rFonts w:hint="eastAsia"/>
              <w:highlight w:val="none"/>
            </w:rPr>
            <w:t>发包人提供的资料</w:t>
          </w:r>
          <w:r>
            <w:rPr>
              <w:highlight w:val="none"/>
            </w:rPr>
            <w:tab/>
          </w:r>
          <w:r>
            <w:rPr>
              <w:highlight w:val="none"/>
            </w:rPr>
            <w:fldChar w:fldCharType="begin"/>
          </w:r>
          <w:r>
            <w:rPr>
              <w:highlight w:val="none"/>
            </w:rPr>
            <w:instrText xml:space="preserve"> PAGEREF _Toc24949 \h </w:instrText>
          </w:r>
          <w:r>
            <w:rPr>
              <w:highlight w:val="none"/>
            </w:rPr>
            <w:fldChar w:fldCharType="separate"/>
          </w:r>
          <w:r>
            <w:rPr>
              <w:highlight w:val="none"/>
            </w:rPr>
            <w:t>170</w:t>
          </w:r>
          <w:r>
            <w:rPr>
              <w:highlight w:val="none"/>
            </w:rPr>
            <w:fldChar w:fldCharType="end"/>
          </w:r>
          <w:r>
            <w:rPr>
              <w:color w:val="auto"/>
              <w:highlight w:val="none"/>
            </w:rPr>
            <w:fldChar w:fldCharType="end"/>
          </w:r>
        </w:p>
        <w:p w14:paraId="3FFDAF9F">
          <w:pPr>
            <w:pStyle w:val="27"/>
            <w:tabs>
              <w:tab w:val="right" w:leader="dot" w:pos="8306"/>
            </w:tabs>
            <w:rPr>
              <w:highlight w:val="none"/>
            </w:rPr>
          </w:pPr>
          <w:r>
            <w:rPr>
              <w:color w:val="auto"/>
              <w:highlight w:val="none"/>
            </w:rPr>
            <w:fldChar w:fldCharType="begin"/>
          </w:r>
          <w:r>
            <w:rPr>
              <w:highlight w:val="none"/>
            </w:rPr>
            <w:instrText xml:space="preserve"> HYPERLINK \l _Toc4804 </w:instrText>
          </w:r>
          <w:r>
            <w:rPr>
              <w:highlight w:val="none"/>
            </w:rPr>
            <w:fldChar w:fldCharType="separate"/>
          </w:r>
          <w:r>
            <w:rPr>
              <w:rFonts w:hint="eastAsia"/>
              <w:highlight w:val="none"/>
            </w:rPr>
            <w:t>第七章  投标文件格式</w:t>
          </w:r>
          <w:r>
            <w:rPr>
              <w:highlight w:val="none"/>
            </w:rPr>
            <w:tab/>
          </w:r>
          <w:r>
            <w:rPr>
              <w:highlight w:val="none"/>
            </w:rPr>
            <w:fldChar w:fldCharType="begin"/>
          </w:r>
          <w:r>
            <w:rPr>
              <w:highlight w:val="none"/>
            </w:rPr>
            <w:instrText xml:space="preserve"> PAGEREF _Toc4804 \h </w:instrText>
          </w:r>
          <w:r>
            <w:rPr>
              <w:highlight w:val="none"/>
            </w:rPr>
            <w:fldChar w:fldCharType="separate"/>
          </w:r>
          <w:r>
            <w:rPr>
              <w:highlight w:val="none"/>
            </w:rPr>
            <w:t>171</w:t>
          </w:r>
          <w:r>
            <w:rPr>
              <w:highlight w:val="none"/>
            </w:rPr>
            <w:fldChar w:fldCharType="end"/>
          </w:r>
          <w:r>
            <w:rPr>
              <w:color w:val="auto"/>
              <w:highlight w:val="none"/>
            </w:rPr>
            <w:fldChar w:fldCharType="end"/>
          </w:r>
        </w:p>
        <w:p w14:paraId="58284369">
          <w:pPr>
            <w:pStyle w:val="31"/>
            <w:tabs>
              <w:tab w:val="right" w:leader="dot" w:pos="8306"/>
            </w:tabs>
            <w:rPr>
              <w:highlight w:val="none"/>
            </w:rPr>
          </w:pPr>
          <w:r>
            <w:rPr>
              <w:color w:val="auto"/>
              <w:highlight w:val="none"/>
            </w:rPr>
            <w:fldChar w:fldCharType="begin"/>
          </w:r>
          <w:r>
            <w:rPr>
              <w:highlight w:val="none"/>
            </w:rPr>
            <w:instrText xml:space="preserve"> HYPERLINK \l _Toc4656 </w:instrText>
          </w:r>
          <w:r>
            <w:rPr>
              <w:highlight w:val="none"/>
            </w:rPr>
            <w:fldChar w:fldCharType="separate"/>
          </w:r>
          <w:r>
            <w:rPr>
              <w:rFonts w:hint="eastAsia"/>
              <w:highlight w:val="none"/>
            </w:rPr>
            <w:t>目    录</w:t>
          </w:r>
          <w:r>
            <w:rPr>
              <w:highlight w:val="none"/>
            </w:rPr>
            <w:tab/>
          </w:r>
          <w:r>
            <w:rPr>
              <w:highlight w:val="none"/>
            </w:rPr>
            <w:fldChar w:fldCharType="begin"/>
          </w:r>
          <w:r>
            <w:rPr>
              <w:highlight w:val="none"/>
            </w:rPr>
            <w:instrText xml:space="preserve"> PAGEREF _Toc4656 \h </w:instrText>
          </w:r>
          <w:r>
            <w:rPr>
              <w:highlight w:val="none"/>
            </w:rPr>
            <w:fldChar w:fldCharType="separate"/>
          </w:r>
          <w:r>
            <w:rPr>
              <w:highlight w:val="none"/>
            </w:rPr>
            <w:t>173</w:t>
          </w:r>
          <w:r>
            <w:rPr>
              <w:highlight w:val="none"/>
            </w:rPr>
            <w:fldChar w:fldCharType="end"/>
          </w:r>
          <w:r>
            <w:rPr>
              <w:color w:val="auto"/>
              <w:highlight w:val="none"/>
            </w:rPr>
            <w:fldChar w:fldCharType="end"/>
          </w:r>
        </w:p>
        <w:p w14:paraId="5EBFB6A4">
          <w:pPr>
            <w:pStyle w:val="31"/>
            <w:tabs>
              <w:tab w:val="right" w:leader="dot" w:pos="8306"/>
            </w:tabs>
            <w:rPr>
              <w:highlight w:val="none"/>
            </w:rPr>
          </w:pPr>
          <w:r>
            <w:rPr>
              <w:color w:val="auto"/>
              <w:highlight w:val="none"/>
            </w:rPr>
            <w:fldChar w:fldCharType="begin"/>
          </w:r>
          <w:r>
            <w:rPr>
              <w:highlight w:val="none"/>
            </w:rPr>
            <w:instrText xml:space="preserve"> HYPERLINK \l _Toc143 </w:instrText>
          </w:r>
          <w:r>
            <w:rPr>
              <w:highlight w:val="none"/>
            </w:rPr>
            <w:fldChar w:fldCharType="separate"/>
          </w:r>
          <w:r>
            <w:rPr>
              <w:szCs w:val="28"/>
              <w:highlight w:val="none"/>
            </w:rPr>
            <w:t>一、投标函及投标函附录</w:t>
          </w:r>
          <w:r>
            <w:rPr>
              <w:highlight w:val="none"/>
            </w:rPr>
            <w:tab/>
          </w:r>
          <w:r>
            <w:rPr>
              <w:highlight w:val="none"/>
            </w:rPr>
            <w:fldChar w:fldCharType="begin"/>
          </w:r>
          <w:r>
            <w:rPr>
              <w:highlight w:val="none"/>
            </w:rPr>
            <w:instrText xml:space="preserve"> PAGEREF _Toc143 \h </w:instrText>
          </w:r>
          <w:r>
            <w:rPr>
              <w:highlight w:val="none"/>
            </w:rPr>
            <w:fldChar w:fldCharType="separate"/>
          </w:r>
          <w:r>
            <w:rPr>
              <w:highlight w:val="none"/>
            </w:rPr>
            <w:t>174</w:t>
          </w:r>
          <w:r>
            <w:rPr>
              <w:highlight w:val="none"/>
            </w:rPr>
            <w:fldChar w:fldCharType="end"/>
          </w:r>
          <w:r>
            <w:rPr>
              <w:color w:val="auto"/>
              <w:highlight w:val="none"/>
            </w:rPr>
            <w:fldChar w:fldCharType="end"/>
          </w:r>
        </w:p>
        <w:p w14:paraId="1C7E3163">
          <w:pPr>
            <w:pStyle w:val="19"/>
            <w:tabs>
              <w:tab w:val="right" w:leader="dot" w:pos="8306"/>
            </w:tabs>
            <w:rPr>
              <w:highlight w:val="none"/>
            </w:rPr>
          </w:pPr>
          <w:r>
            <w:rPr>
              <w:color w:val="auto"/>
              <w:highlight w:val="none"/>
            </w:rPr>
            <w:fldChar w:fldCharType="begin"/>
          </w:r>
          <w:r>
            <w:rPr>
              <w:highlight w:val="none"/>
            </w:rPr>
            <w:instrText xml:space="preserve"> HYPERLINK \l _Toc21703 </w:instrText>
          </w:r>
          <w:r>
            <w:rPr>
              <w:highlight w:val="none"/>
            </w:rPr>
            <w:fldChar w:fldCharType="separate"/>
          </w:r>
          <w:r>
            <w:rPr>
              <w:rFonts w:hint="eastAsia"/>
              <w:szCs w:val="28"/>
              <w:highlight w:val="none"/>
            </w:rPr>
            <w:t>（一）</w:t>
          </w:r>
          <w:r>
            <w:rPr>
              <w:szCs w:val="28"/>
              <w:highlight w:val="none"/>
            </w:rPr>
            <w:t>投标函</w:t>
          </w:r>
          <w:r>
            <w:rPr>
              <w:highlight w:val="none"/>
            </w:rPr>
            <w:tab/>
          </w:r>
          <w:r>
            <w:rPr>
              <w:highlight w:val="none"/>
            </w:rPr>
            <w:fldChar w:fldCharType="begin"/>
          </w:r>
          <w:r>
            <w:rPr>
              <w:highlight w:val="none"/>
            </w:rPr>
            <w:instrText xml:space="preserve"> PAGEREF _Toc21703 \h </w:instrText>
          </w:r>
          <w:r>
            <w:rPr>
              <w:highlight w:val="none"/>
            </w:rPr>
            <w:fldChar w:fldCharType="separate"/>
          </w:r>
          <w:r>
            <w:rPr>
              <w:highlight w:val="none"/>
            </w:rPr>
            <w:t>174</w:t>
          </w:r>
          <w:r>
            <w:rPr>
              <w:highlight w:val="none"/>
            </w:rPr>
            <w:fldChar w:fldCharType="end"/>
          </w:r>
          <w:r>
            <w:rPr>
              <w:color w:val="auto"/>
              <w:highlight w:val="none"/>
            </w:rPr>
            <w:fldChar w:fldCharType="end"/>
          </w:r>
        </w:p>
        <w:p w14:paraId="6C4B1F1F">
          <w:pPr>
            <w:pStyle w:val="19"/>
            <w:tabs>
              <w:tab w:val="right" w:leader="dot" w:pos="8306"/>
            </w:tabs>
            <w:rPr>
              <w:highlight w:val="none"/>
            </w:rPr>
          </w:pPr>
          <w:r>
            <w:rPr>
              <w:color w:val="auto"/>
              <w:highlight w:val="none"/>
            </w:rPr>
            <w:fldChar w:fldCharType="begin"/>
          </w:r>
          <w:r>
            <w:rPr>
              <w:highlight w:val="none"/>
            </w:rPr>
            <w:instrText xml:space="preserve"> HYPERLINK \l _Toc22043 </w:instrText>
          </w:r>
          <w:r>
            <w:rPr>
              <w:highlight w:val="none"/>
            </w:rPr>
            <w:fldChar w:fldCharType="separate"/>
          </w:r>
          <w:r>
            <w:rPr>
              <w:rFonts w:hint="eastAsia"/>
              <w:szCs w:val="28"/>
              <w:highlight w:val="none"/>
            </w:rPr>
            <w:t>（二）</w:t>
          </w:r>
          <w:r>
            <w:rPr>
              <w:szCs w:val="28"/>
              <w:highlight w:val="none"/>
            </w:rPr>
            <w:t>投标函附录</w:t>
          </w:r>
          <w:r>
            <w:rPr>
              <w:highlight w:val="none"/>
            </w:rPr>
            <w:tab/>
          </w:r>
          <w:r>
            <w:rPr>
              <w:highlight w:val="none"/>
            </w:rPr>
            <w:fldChar w:fldCharType="begin"/>
          </w:r>
          <w:r>
            <w:rPr>
              <w:highlight w:val="none"/>
            </w:rPr>
            <w:instrText xml:space="preserve"> PAGEREF _Toc22043 \h </w:instrText>
          </w:r>
          <w:r>
            <w:rPr>
              <w:highlight w:val="none"/>
            </w:rPr>
            <w:fldChar w:fldCharType="separate"/>
          </w:r>
          <w:r>
            <w:rPr>
              <w:highlight w:val="none"/>
            </w:rPr>
            <w:t>175</w:t>
          </w:r>
          <w:r>
            <w:rPr>
              <w:highlight w:val="none"/>
            </w:rPr>
            <w:fldChar w:fldCharType="end"/>
          </w:r>
          <w:r>
            <w:rPr>
              <w:color w:val="auto"/>
              <w:highlight w:val="none"/>
            </w:rPr>
            <w:fldChar w:fldCharType="end"/>
          </w:r>
        </w:p>
        <w:p w14:paraId="0A2BEC9C">
          <w:pPr>
            <w:pStyle w:val="31"/>
            <w:tabs>
              <w:tab w:val="right" w:leader="dot" w:pos="8306"/>
            </w:tabs>
            <w:rPr>
              <w:highlight w:val="none"/>
            </w:rPr>
          </w:pPr>
          <w:r>
            <w:rPr>
              <w:color w:val="auto"/>
              <w:highlight w:val="none"/>
            </w:rPr>
            <w:fldChar w:fldCharType="begin"/>
          </w:r>
          <w:r>
            <w:rPr>
              <w:highlight w:val="none"/>
            </w:rPr>
            <w:instrText xml:space="preserve"> HYPERLINK \l _Toc10292 </w:instrText>
          </w:r>
          <w:r>
            <w:rPr>
              <w:highlight w:val="none"/>
            </w:rPr>
            <w:fldChar w:fldCharType="separate"/>
          </w:r>
          <w:r>
            <w:rPr>
              <w:szCs w:val="28"/>
              <w:highlight w:val="none"/>
            </w:rPr>
            <w:t>二、法定代表人身份证明</w:t>
          </w:r>
          <w:r>
            <w:rPr>
              <w:highlight w:val="none"/>
            </w:rPr>
            <w:tab/>
          </w:r>
          <w:r>
            <w:rPr>
              <w:highlight w:val="none"/>
            </w:rPr>
            <w:fldChar w:fldCharType="begin"/>
          </w:r>
          <w:r>
            <w:rPr>
              <w:highlight w:val="none"/>
            </w:rPr>
            <w:instrText xml:space="preserve"> PAGEREF _Toc10292 \h </w:instrText>
          </w:r>
          <w:r>
            <w:rPr>
              <w:highlight w:val="none"/>
            </w:rPr>
            <w:fldChar w:fldCharType="separate"/>
          </w:r>
          <w:r>
            <w:rPr>
              <w:highlight w:val="none"/>
            </w:rPr>
            <w:t>177</w:t>
          </w:r>
          <w:r>
            <w:rPr>
              <w:highlight w:val="none"/>
            </w:rPr>
            <w:fldChar w:fldCharType="end"/>
          </w:r>
          <w:r>
            <w:rPr>
              <w:color w:val="auto"/>
              <w:highlight w:val="none"/>
            </w:rPr>
            <w:fldChar w:fldCharType="end"/>
          </w:r>
        </w:p>
        <w:p w14:paraId="43AB727C">
          <w:pPr>
            <w:pStyle w:val="31"/>
            <w:tabs>
              <w:tab w:val="right" w:leader="dot" w:pos="8306"/>
            </w:tabs>
            <w:rPr>
              <w:highlight w:val="none"/>
            </w:rPr>
          </w:pPr>
          <w:r>
            <w:rPr>
              <w:color w:val="auto"/>
              <w:highlight w:val="none"/>
            </w:rPr>
            <w:fldChar w:fldCharType="begin"/>
          </w:r>
          <w:r>
            <w:rPr>
              <w:highlight w:val="none"/>
            </w:rPr>
            <w:instrText xml:space="preserve"> HYPERLINK \l _Toc13979 </w:instrText>
          </w:r>
          <w:r>
            <w:rPr>
              <w:highlight w:val="none"/>
            </w:rPr>
            <w:fldChar w:fldCharType="separate"/>
          </w:r>
          <w:r>
            <w:rPr>
              <w:rFonts w:hint="eastAsia"/>
              <w:highlight w:val="none"/>
            </w:rPr>
            <w:t>三</w:t>
          </w:r>
          <w:r>
            <w:rPr>
              <w:highlight w:val="none"/>
            </w:rPr>
            <w:t>、</w:t>
          </w:r>
          <w:r>
            <w:rPr>
              <w:rFonts w:hint="eastAsia"/>
              <w:highlight w:val="none"/>
            </w:rPr>
            <w:t>授权委托书</w:t>
          </w:r>
          <w:r>
            <w:rPr>
              <w:highlight w:val="none"/>
            </w:rPr>
            <w:tab/>
          </w:r>
          <w:r>
            <w:rPr>
              <w:highlight w:val="none"/>
            </w:rPr>
            <w:fldChar w:fldCharType="begin"/>
          </w:r>
          <w:r>
            <w:rPr>
              <w:highlight w:val="none"/>
            </w:rPr>
            <w:instrText xml:space="preserve"> PAGEREF _Toc13979 \h </w:instrText>
          </w:r>
          <w:r>
            <w:rPr>
              <w:highlight w:val="none"/>
            </w:rPr>
            <w:fldChar w:fldCharType="separate"/>
          </w:r>
          <w:r>
            <w:rPr>
              <w:highlight w:val="none"/>
            </w:rPr>
            <w:t>178</w:t>
          </w:r>
          <w:r>
            <w:rPr>
              <w:highlight w:val="none"/>
            </w:rPr>
            <w:fldChar w:fldCharType="end"/>
          </w:r>
          <w:r>
            <w:rPr>
              <w:color w:val="auto"/>
              <w:highlight w:val="none"/>
            </w:rPr>
            <w:fldChar w:fldCharType="end"/>
          </w:r>
        </w:p>
        <w:p w14:paraId="0A8E95EC">
          <w:pPr>
            <w:pStyle w:val="31"/>
            <w:tabs>
              <w:tab w:val="right" w:leader="dot" w:pos="8306"/>
            </w:tabs>
            <w:rPr>
              <w:highlight w:val="none"/>
            </w:rPr>
          </w:pPr>
          <w:r>
            <w:rPr>
              <w:color w:val="auto"/>
              <w:highlight w:val="none"/>
            </w:rPr>
            <w:fldChar w:fldCharType="begin"/>
          </w:r>
          <w:r>
            <w:rPr>
              <w:highlight w:val="none"/>
            </w:rPr>
            <w:instrText xml:space="preserve"> HYPERLINK \l _Toc10370 </w:instrText>
          </w:r>
          <w:r>
            <w:rPr>
              <w:highlight w:val="none"/>
            </w:rPr>
            <w:fldChar w:fldCharType="separate"/>
          </w:r>
          <w:r>
            <w:rPr>
              <w:rFonts w:hint="eastAsia"/>
              <w:szCs w:val="28"/>
              <w:highlight w:val="none"/>
            </w:rPr>
            <w:t>四、联合体协议书</w:t>
          </w:r>
          <w:r>
            <w:rPr>
              <w:highlight w:val="none"/>
            </w:rPr>
            <w:tab/>
          </w:r>
          <w:r>
            <w:rPr>
              <w:highlight w:val="none"/>
            </w:rPr>
            <w:fldChar w:fldCharType="begin"/>
          </w:r>
          <w:r>
            <w:rPr>
              <w:highlight w:val="none"/>
            </w:rPr>
            <w:instrText xml:space="preserve"> PAGEREF _Toc10370 \h </w:instrText>
          </w:r>
          <w:r>
            <w:rPr>
              <w:highlight w:val="none"/>
            </w:rPr>
            <w:fldChar w:fldCharType="separate"/>
          </w:r>
          <w:r>
            <w:rPr>
              <w:highlight w:val="none"/>
            </w:rPr>
            <w:t>179</w:t>
          </w:r>
          <w:r>
            <w:rPr>
              <w:highlight w:val="none"/>
            </w:rPr>
            <w:fldChar w:fldCharType="end"/>
          </w:r>
          <w:r>
            <w:rPr>
              <w:color w:val="auto"/>
              <w:highlight w:val="none"/>
            </w:rPr>
            <w:fldChar w:fldCharType="end"/>
          </w:r>
        </w:p>
        <w:p w14:paraId="0EB25143">
          <w:pPr>
            <w:pStyle w:val="31"/>
            <w:tabs>
              <w:tab w:val="right" w:leader="dot" w:pos="8306"/>
            </w:tabs>
            <w:rPr>
              <w:highlight w:val="none"/>
            </w:rPr>
          </w:pPr>
          <w:r>
            <w:rPr>
              <w:color w:val="auto"/>
              <w:highlight w:val="none"/>
            </w:rPr>
            <w:fldChar w:fldCharType="begin"/>
          </w:r>
          <w:r>
            <w:rPr>
              <w:highlight w:val="none"/>
            </w:rPr>
            <w:instrText xml:space="preserve"> HYPERLINK \l _Toc14824 </w:instrText>
          </w:r>
          <w:r>
            <w:rPr>
              <w:highlight w:val="none"/>
            </w:rPr>
            <w:fldChar w:fldCharType="separate"/>
          </w:r>
          <w:r>
            <w:rPr>
              <w:rFonts w:hint="eastAsia"/>
              <w:szCs w:val="28"/>
              <w:highlight w:val="none"/>
            </w:rPr>
            <w:t>五</w:t>
          </w:r>
          <w:r>
            <w:rPr>
              <w:szCs w:val="28"/>
              <w:highlight w:val="none"/>
            </w:rPr>
            <w:t>、投标保证金</w:t>
          </w:r>
          <w:r>
            <w:rPr>
              <w:highlight w:val="none"/>
            </w:rPr>
            <w:tab/>
          </w:r>
          <w:r>
            <w:rPr>
              <w:highlight w:val="none"/>
            </w:rPr>
            <w:fldChar w:fldCharType="begin"/>
          </w:r>
          <w:r>
            <w:rPr>
              <w:highlight w:val="none"/>
            </w:rPr>
            <w:instrText xml:space="preserve"> PAGEREF _Toc14824 \h </w:instrText>
          </w:r>
          <w:r>
            <w:rPr>
              <w:highlight w:val="none"/>
            </w:rPr>
            <w:fldChar w:fldCharType="separate"/>
          </w:r>
          <w:r>
            <w:rPr>
              <w:highlight w:val="none"/>
            </w:rPr>
            <w:t>180</w:t>
          </w:r>
          <w:r>
            <w:rPr>
              <w:highlight w:val="none"/>
            </w:rPr>
            <w:fldChar w:fldCharType="end"/>
          </w:r>
          <w:r>
            <w:rPr>
              <w:color w:val="auto"/>
              <w:highlight w:val="none"/>
            </w:rPr>
            <w:fldChar w:fldCharType="end"/>
          </w:r>
        </w:p>
        <w:p w14:paraId="6DBB8A58">
          <w:pPr>
            <w:pStyle w:val="31"/>
            <w:tabs>
              <w:tab w:val="right" w:leader="dot" w:pos="8306"/>
            </w:tabs>
            <w:rPr>
              <w:highlight w:val="none"/>
            </w:rPr>
          </w:pPr>
          <w:r>
            <w:rPr>
              <w:color w:val="auto"/>
              <w:highlight w:val="none"/>
            </w:rPr>
            <w:fldChar w:fldCharType="begin"/>
          </w:r>
          <w:r>
            <w:rPr>
              <w:highlight w:val="none"/>
            </w:rPr>
            <w:instrText xml:space="preserve"> HYPERLINK \l _Toc21784 </w:instrText>
          </w:r>
          <w:r>
            <w:rPr>
              <w:highlight w:val="none"/>
            </w:rPr>
            <w:fldChar w:fldCharType="separate"/>
          </w:r>
          <w:r>
            <w:rPr>
              <w:rFonts w:hint="eastAsia"/>
              <w:szCs w:val="28"/>
              <w:highlight w:val="none"/>
            </w:rPr>
            <w:t>六</w:t>
          </w:r>
          <w:r>
            <w:rPr>
              <w:szCs w:val="28"/>
              <w:highlight w:val="none"/>
            </w:rPr>
            <w:t>、</w:t>
          </w:r>
          <w:r>
            <w:rPr>
              <w:rFonts w:hint="eastAsia"/>
              <w:szCs w:val="28"/>
              <w:highlight w:val="none"/>
            </w:rPr>
            <w:t>价格清单</w:t>
          </w:r>
          <w:r>
            <w:rPr>
              <w:highlight w:val="none"/>
            </w:rPr>
            <w:tab/>
          </w:r>
          <w:r>
            <w:rPr>
              <w:highlight w:val="none"/>
            </w:rPr>
            <w:fldChar w:fldCharType="begin"/>
          </w:r>
          <w:r>
            <w:rPr>
              <w:highlight w:val="none"/>
            </w:rPr>
            <w:instrText xml:space="preserve"> PAGEREF _Toc21784 \h </w:instrText>
          </w:r>
          <w:r>
            <w:rPr>
              <w:highlight w:val="none"/>
            </w:rPr>
            <w:fldChar w:fldCharType="separate"/>
          </w:r>
          <w:r>
            <w:rPr>
              <w:highlight w:val="none"/>
            </w:rPr>
            <w:t>181</w:t>
          </w:r>
          <w:r>
            <w:rPr>
              <w:highlight w:val="none"/>
            </w:rPr>
            <w:fldChar w:fldCharType="end"/>
          </w:r>
          <w:r>
            <w:rPr>
              <w:color w:val="auto"/>
              <w:highlight w:val="none"/>
            </w:rPr>
            <w:fldChar w:fldCharType="end"/>
          </w:r>
        </w:p>
        <w:p w14:paraId="36F14B9D">
          <w:pPr>
            <w:pStyle w:val="19"/>
            <w:tabs>
              <w:tab w:val="right" w:leader="dot" w:pos="8306"/>
            </w:tabs>
            <w:rPr>
              <w:highlight w:val="none"/>
            </w:rPr>
          </w:pPr>
          <w:r>
            <w:rPr>
              <w:color w:val="auto"/>
              <w:highlight w:val="none"/>
            </w:rPr>
            <w:fldChar w:fldCharType="begin"/>
          </w:r>
          <w:r>
            <w:rPr>
              <w:highlight w:val="none"/>
            </w:rPr>
            <w:instrText xml:space="preserve"> HYPERLINK \l _Toc18254 </w:instrText>
          </w:r>
          <w:r>
            <w:rPr>
              <w:highlight w:val="none"/>
            </w:rPr>
            <w:fldChar w:fldCharType="separate"/>
          </w:r>
          <w:r>
            <w:rPr>
              <w:rFonts w:hint="eastAsia"/>
              <w:highlight w:val="none"/>
            </w:rPr>
            <w:t>（一）价格清单说明</w:t>
          </w:r>
          <w:r>
            <w:rPr>
              <w:highlight w:val="none"/>
            </w:rPr>
            <w:tab/>
          </w:r>
          <w:r>
            <w:rPr>
              <w:highlight w:val="none"/>
            </w:rPr>
            <w:fldChar w:fldCharType="begin"/>
          </w:r>
          <w:r>
            <w:rPr>
              <w:highlight w:val="none"/>
            </w:rPr>
            <w:instrText xml:space="preserve"> PAGEREF _Toc18254 \h </w:instrText>
          </w:r>
          <w:r>
            <w:rPr>
              <w:highlight w:val="none"/>
            </w:rPr>
            <w:fldChar w:fldCharType="separate"/>
          </w:r>
          <w:r>
            <w:rPr>
              <w:highlight w:val="none"/>
            </w:rPr>
            <w:t>181</w:t>
          </w:r>
          <w:r>
            <w:rPr>
              <w:highlight w:val="none"/>
            </w:rPr>
            <w:fldChar w:fldCharType="end"/>
          </w:r>
          <w:r>
            <w:rPr>
              <w:color w:val="auto"/>
              <w:highlight w:val="none"/>
            </w:rPr>
            <w:fldChar w:fldCharType="end"/>
          </w:r>
        </w:p>
        <w:p w14:paraId="0C7FA440">
          <w:pPr>
            <w:pStyle w:val="19"/>
            <w:tabs>
              <w:tab w:val="right" w:leader="dot" w:pos="8306"/>
            </w:tabs>
            <w:rPr>
              <w:highlight w:val="none"/>
            </w:rPr>
          </w:pPr>
          <w:r>
            <w:rPr>
              <w:color w:val="auto"/>
              <w:highlight w:val="none"/>
            </w:rPr>
            <w:fldChar w:fldCharType="begin"/>
          </w:r>
          <w:r>
            <w:rPr>
              <w:highlight w:val="none"/>
            </w:rPr>
            <w:instrText xml:space="preserve"> HYPERLINK \l _Toc20366 </w:instrText>
          </w:r>
          <w:r>
            <w:rPr>
              <w:highlight w:val="none"/>
            </w:rPr>
            <w:fldChar w:fldCharType="separate"/>
          </w:r>
          <w:r>
            <w:rPr>
              <w:rFonts w:hint="eastAsia"/>
              <w:highlight w:val="none"/>
            </w:rPr>
            <w:t>（二）价格清单</w:t>
          </w:r>
          <w:r>
            <w:rPr>
              <w:highlight w:val="none"/>
            </w:rPr>
            <w:tab/>
          </w:r>
          <w:r>
            <w:rPr>
              <w:highlight w:val="none"/>
            </w:rPr>
            <w:fldChar w:fldCharType="begin"/>
          </w:r>
          <w:r>
            <w:rPr>
              <w:highlight w:val="none"/>
            </w:rPr>
            <w:instrText xml:space="preserve"> PAGEREF _Toc20366 \h </w:instrText>
          </w:r>
          <w:r>
            <w:rPr>
              <w:highlight w:val="none"/>
            </w:rPr>
            <w:fldChar w:fldCharType="separate"/>
          </w:r>
          <w:r>
            <w:rPr>
              <w:highlight w:val="none"/>
            </w:rPr>
            <w:t>182</w:t>
          </w:r>
          <w:r>
            <w:rPr>
              <w:highlight w:val="none"/>
            </w:rPr>
            <w:fldChar w:fldCharType="end"/>
          </w:r>
          <w:r>
            <w:rPr>
              <w:color w:val="auto"/>
              <w:highlight w:val="none"/>
            </w:rPr>
            <w:fldChar w:fldCharType="end"/>
          </w:r>
        </w:p>
        <w:p w14:paraId="24A0BCC1">
          <w:pPr>
            <w:pStyle w:val="31"/>
            <w:tabs>
              <w:tab w:val="right" w:leader="dot" w:pos="8306"/>
            </w:tabs>
            <w:rPr>
              <w:highlight w:val="none"/>
            </w:rPr>
          </w:pPr>
          <w:r>
            <w:rPr>
              <w:color w:val="auto"/>
              <w:highlight w:val="none"/>
            </w:rPr>
            <w:fldChar w:fldCharType="begin"/>
          </w:r>
          <w:r>
            <w:rPr>
              <w:highlight w:val="none"/>
            </w:rPr>
            <w:instrText xml:space="preserve"> HYPERLINK \l _Toc23448 </w:instrText>
          </w:r>
          <w:r>
            <w:rPr>
              <w:highlight w:val="none"/>
            </w:rPr>
            <w:fldChar w:fldCharType="separate"/>
          </w:r>
          <w:r>
            <w:rPr>
              <w:rFonts w:hint="eastAsia"/>
              <w:szCs w:val="28"/>
              <w:highlight w:val="none"/>
            </w:rPr>
            <w:t>七</w:t>
          </w:r>
          <w:r>
            <w:rPr>
              <w:szCs w:val="28"/>
              <w:highlight w:val="none"/>
            </w:rPr>
            <w:t>、</w:t>
          </w:r>
          <w:r>
            <w:rPr>
              <w:rFonts w:hint="eastAsia"/>
              <w:szCs w:val="28"/>
              <w:highlight w:val="none"/>
            </w:rPr>
            <w:t>承包人建议书</w:t>
          </w:r>
          <w:r>
            <w:rPr>
              <w:highlight w:val="none"/>
            </w:rPr>
            <w:tab/>
          </w:r>
          <w:r>
            <w:rPr>
              <w:highlight w:val="none"/>
            </w:rPr>
            <w:fldChar w:fldCharType="begin"/>
          </w:r>
          <w:r>
            <w:rPr>
              <w:highlight w:val="none"/>
            </w:rPr>
            <w:instrText xml:space="preserve"> PAGEREF _Toc23448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50793A12">
          <w:pPr>
            <w:pStyle w:val="19"/>
            <w:tabs>
              <w:tab w:val="right" w:leader="dot" w:pos="8306"/>
            </w:tabs>
            <w:rPr>
              <w:highlight w:val="none"/>
            </w:rPr>
          </w:pPr>
          <w:r>
            <w:rPr>
              <w:color w:val="auto"/>
              <w:highlight w:val="none"/>
            </w:rPr>
            <w:fldChar w:fldCharType="begin"/>
          </w:r>
          <w:r>
            <w:rPr>
              <w:highlight w:val="none"/>
            </w:rPr>
            <w:instrText xml:space="preserve"> HYPERLINK \l _Toc17609 </w:instrText>
          </w:r>
          <w:r>
            <w:rPr>
              <w:highlight w:val="none"/>
            </w:rPr>
            <w:fldChar w:fldCharType="separate"/>
          </w:r>
          <w:r>
            <w:rPr>
              <w:rFonts w:hint="eastAsia" w:ascii="宋体" w:hAnsi="宋体"/>
              <w:szCs w:val="21"/>
              <w:highlight w:val="none"/>
            </w:rPr>
            <w:t>（一）图纸</w:t>
          </w:r>
          <w:r>
            <w:rPr>
              <w:highlight w:val="none"/>
            </w:rPr>
            <w:tab/>
          </w:r>
          <w:r>
            <w:rPr>
              <w:highlight w:val="none"/>
            </w:rPr>
            <w:fldChar w:fldCharType="begin"/>
          </w:r>
          <w:r>
            <w:rPr>
              <w:highlight w:val="none"/>
            </w:rPr>
            <w:instrText xml:space="preserve"> PAGEREF _Toc17609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1E8738B9">
          <w:pPr>
            <w:pStyle w:val="19"/>
            <w:tabs>
              <w:tab w:val="right" w:leader="dot" w:pos="8306"/>
            </w:tabs>
            <w:rPr>
              <w:highlight w:val="none"/>
            </w:rPr>
          </w:pPr>
          <w:r>
            <w:rPr>
              <w:color w:val="auto"/>
              <w:highlight w:val="none"/>
            </w:rPr>
            <w:fldChar w:fldCharType="begin"/>
          </w:r>
          <w:r>
            <w:rPr>
              <w:highlight w:val="none"/>
            </w:rPr>
            <w:instrText xml:space="preserve"> HYPERLINK \l _Toc18590 </w:instrText>
          </w:r>
          <w:r>
            <w:rPr>
              <w:highlight w:val="none"/>
            </w:rPr>
            <w:fldChar w:fldCharType="separate"/>
          </w:r>
          <w:r>
            <w:rPr>
              <w:rFonts w:hint="eastAsia" w:ascii="宋体" w:hAnsi="宋体"/>
              <w:szCs w:val="21"/>
              <w:highlight w:val="none"/>
            </w:rPr>
            <w:t>（二）工程详细说明</w:t>
          </w:r>
          <w:r>
            <w:rPr>
              <w:highlight w:val="none"/>
            </w:rPr>
            <w:tab/>
          </w:r>
          <w:r>
            <w:rPr>
              <w:highlight w:val="none"/>
            </w:rPr>
            <w:fldChar w:fldCharType="begin"/>
          </w:r>
          <w:r>
            <w:rPr>
              <w:highlight w:val="none"/>
            </w:rPr>
            <w:instrText xml:space="preserve"> PAGEREF _Toc18590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7D4BA49D">
          <w:pPr>
            <w:pStyle w:val="19"/>
            <w:tabs>
              <w:tab w:val="right" w:leader="dot" w:pos="8306"/>
            </w:tabs>
            <w:rPr>
              <w:highlight w:val="none"/>
            </w:rPr>
          </w:pPr>
          <w:r>
            <w:rPr>
              <w:color w:val="auto"/>
              <w:highlight w:val="none"/>
            </w:rPr>
            <w:fldChar w:fldCharType="begin"/>
          </w:r>
          <w:r>
            <w:rPr>
              <w:highlight w:val="none"/>
            </w:rPr>
            <w:instrText xml:space="preserve"> HYPERLINK \l _Toc17276 </w:instrText>
          </w:r>
          <w:r>
            <w:rPr>
              <w:highlight w:val="none"/>
            </w:rPr>
            <w:fldChar w:fldCharType="separate"/>
          </w:r>
          <w:r>
            <w:rPr>
              <w:rFonts w:hint="eastAsia" w:ascii="宋体" w:hAnsi="宋体"/>
              <w:szCs w:val="21"/>
              <w:highlight w:val="none"/>
            </w:rPr>
            <w:t>（三）设备方案</w:t>
          </w:r>
          <w:r>
            <w:rPr>
              <w:highlight w:val="none"/>
            </w:rPr>
            <w:tab/>
          </w:r>
          <w:r>
            <w:rPr>
              <w:highlight w:val="none"/>
            </w:rPr>
            <w:fldChar w:fldCharType="begin"/>
          </w:r>
          <w:r>
            <w:rPr>
              <w:highlight w:val="none"/>
            </w:rPr>
            <w:instrText xml:space="preserve"> PAGEREF _Toc17276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4B229F49">
          <w:pPr>
            <w:pStyle w:val="19"/>
            <w:tabs>
              <w:tab w:val="right" w:leader="dot" w:pos="8306"/>
            </w:tabs>
            <w:rPr>
              <w:highlight w:val="none"/>
            </w:rPr>
          </w:pPr>
          <w:r>
            <w:rPr>
              <w:color w:val="auto"/>
              <w:highlight w:val="none"/>
            </w:rPr>
            <w:fldChar w:fldCharType="begin"/>
          </w:r>
          <w:r>
            <w:rPr>
              <w:highlight w:val="none"/>
            </w:rPr>
            <w:instrText xml:space="preserve"> HYPERLINK \l _Toc26897 </w:instrText>
          </w:r>
          <w:r>
            <w:rPr>
              <w:highlight w:val="none"/>
            </w:rPr>
            <w:fldChar w:fldCharType="separate"/>
          </w:r>
          <w:r>
            <w:rPr>
              <w:rFonts w:hint="eastAsia" w:ascii="宋体" w:hAnsi="宋体"/>
              <w:szCs w:val="21"/>
              <w:highlight w:val="none"/>
            </w:rPr>
            <w:t>（四）分包方案</w:t>
          </w:r>
          <w:r>
            <w:rPr>
              <w:highlight w:val="none"/>
            </w:rPr>
            <w:tab/>
          </w:r>
          <w:r>
            <w:rPr>
              <w:highlight w:val="none"/>
            </w:rPr>
            <w:fldChar w:fldCharType="begin"/>
          </w:r>
          <w:r>
            <w:rPr>
              <w:highlight w:val="none"/>
            </w:rPr>
            <w:instrText xml:space="preserve"> PAGEREF _Toc26897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672D8BDA">
          <w:pPr>
            <w:pStyle w:val="19"/>
            <w:tabs>
              <w:tab w:val="right" w:leader="dot" w:pos="8306"/>
            </w:tabs>
            <w:rPr>
              <w:highlight w:val="none"/>
            </w:rPr>
          </w:pPr>
          <w:r>
            <w:rPr>
              <w:color w:val="auto"/>
              <w:highlight w:val="none"/>
            </w:rPr>
            <w:fldChar w:fldCharType="begin"/>
          </w:r>
          <w:r>
            <w:rPr>
              <w:highlight w:val="none"/>
            </w:rPr>
            <w:instrText xml:space="preserve"> HYPERLINK \l _Toc28145 </w:instrText>
          </w:r>
          <w:r>
            <w:rPr>
              <w:highlight w:val="none"/>
            </w:rPr>
            <w:fldChar w:fldCharType="separate"/>
          </w:r>
          <w:r>
            <w:rPr>
              <w:rFonts w:hint="eastAsia" w:ascii="宋体" w:hAnsi="宋体"/>
              <w:szCs w:val="21"/>
              <w:highlight w:val="none"/>
            </w:rPr>
            <w:t>（五）对发包人要求错误的说明</w:t>
          </w:r>
          <w:r>
            <w:rPr>
              <w:highlight w:val="none"/>
            </w:rPr>
            <w:tab/>
          </w:r>
          <w:r>
            <w:rPr>
              <w:highlight w:val="none"/>
            </w:rPr>
            <w:fldChar w:fldCharType="begin"/>
          </w:r>
          <w:r>
            <w:rPr>
              <w:highlight w:val="none"/>
            </w:rPr>
            <w:instrText xml:space="preserve"> PAGEREF _Toc28145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5DC3D6BE">
          <w:pPr>
            <w:pStyle w:val="19"/>
            <w:tabs>
              <w:tab w:val="right" w:leader="dot" w:pos="8306"/>
            </w:tabs>
            <w:rPr>
              <w:highlight w:val="none"/>
            </w:rPr>
          </w:pPr>
          <w:r>
            <w:rPr>
              <w:color w:val="auto"/>
              <w:highlight w:val="none"/>
            </w:rPr>
            <w:fldChar w:fldCharType="begin"/>
          </w:r>
          <w:r>
            <w:rPr>
              <w:highlight w:val="none"/>
            </w:rPr>
            <w:instrText xml:space="preserve"> HYPERLINK \l _Toc5606 </w:instrText>
          </w:r>
          <w:r>
            <w:rPr>
              <w:highlight w:val="none"/>
            </w:rPr>
            <w:fldChar w:fldCharType="separate"/>
          </w:r>
          <w:r>
            <w:rPr>
              <w:rFonts w:hint="eastAsia" w:ascii="宋体" w:hAnsi="宋体"/>
              <w:szCs w:val="21"/>
              <w:highlight w:val="none"/>
            </w:rPr>
            <w:t>（六）其他</w:t>
          </w:r>
          <w:r>
            <w:rPr>
              <w:highlight w:val="none"/>
            </w:rPr>
            <w:tab/>
          </w:r>
          <w:r>
            <w:rPr>
              <w:highlight w:val="none"/>
            </w:rPr>
            <w:fldChar w:fldCharType="begin"/>
          </w:r>
          <w:r>
            <w:rPr>
              <w:highlight w:val="none"/>
            </w:rPr>
            <w:instrText xml:space="preserve"> PAGEREF _Toc5606 \h </w:instrText>
          </w:r>
          <w:r>
            <w:rPr>
              <w:highlight w:val="none"/>
            </w:rPr>
            <w:fldChar w:fldCharType="separate"/>
          </w:r>
          <w:r>
            <w:rPr>
              <w:highlight w:val="none"/>
            </w:rPr>
            <w:t>191</w:t>
          </w:r>
          <w:r>
            <w:rPr>
              <w:highlight w:val="none"/>
            </w:rPr>
            <w:fldChar w:fldCharType="end"/>
          </w:r>
          <w:r>
            <w:rPr>
              <w:color w:val="auto"/>
              <w:highlight w:val="none"/>
            </w:rPr>
            <w:fldChar w:fldCharType="end"/>
          </w:r>
        </w:p>
        <w:p w14:paraId="102C9A35">
          <w:pPr>
            <w:pStyle w:val="31"/>
            <w:tabs>
              <w:tab w:val="right" w:leader="dot" w:pos="8306"/>
            </w:tabs>
            <w:rPr>
              <w:highlight w:val="none"/>
            </w:rPr>
          </w:pPr>
          <w:r>
            <w:rPr>
              <w:color w:val="auto"/>
              <w:highlight w:val="none"/>
            </w:rPr>
            <w:fldChar w:fldCharType="begin"/>
          </w:r>
          <w:r>
            <w:rPr>
              <w:highlight w:val="none"/>
            </w:rPr>
            <w:instrText xml:space="preserve"> HYPERLINK \l _Toc29695 </w:instrText>
          </w:r>
          <w:r>
            <w:rPr>
              <w:highlight w:val="none"/>
            </w:rPr>
            <w:fldChar w:fldCharType="separate"/>
          </w:r>
          <w:r>
            <w:rPr>
              <w:rFonts w:hint="eastAsia"/>
              <w:szCs w:val="28"/>
              <w:highlight w:val="none"/>
            </w:rPr>
            <w:t>八</w:t>
          </w:r>
          <w:r>
            <w:rPr>
              <w:szCs w:val="28"/>
              <w:highlight w:val="none"/>
            </w:rPr>
            <w:t>、</w:t>
          </w:r>
          <w:r>
            <w:rPr>
              <w:rFonts w:hint="eastAsia"/>
              <w:szCs w:val="28"/>
              <w:highlight w:val="none"/>
            </w:rPr>
            <w:t>承包人实施</w:t>
          </w:r>
          <w:r>
            <w:rPr>
              <w:rFonts w:hint="eastAsia"/>
              <w:szCs w:val="28"/>
              <w:highlight w:val="none"/>
              <w:lang w:val="en-US" w:eastAsia="zh-CN"/>
            </w:rPr>
            <w:t>方案</w:t>
          </w:r>
          <w:r>
            <w:rPr>
              <w:highlight w:val="none"/>
            </w:rPr>
            <w:tab/>
          </w:r>
          <w:r>
            <w:rPr>
              <w:highlight w:val="none"/>
            </w:rPr>
            <w:fldChar w:fldCharType="begin"/>
          </w:r>
          <w:r>
            <w:rPr>
              <w:highlight w:val="none"/>
            </w:rPr>
            <w:instrText xml:space="preserve"> PAGEREF _Toc29695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55581562">
          <w:pPr>
            <w:pStyle w:val="19"/>
            <w:tabs>
              <w:tab w:val="right" w:leader="dot" w:pos="8306"/>
            </w:tabs>
            <w:rPr>
              <w:highlight w:val="none"/>
            </w:rPr>
          </w:pPr>
          <w:r>
            <w:rPr>
              <w:color w:val="auto"/>
              <w:highlight w:val="none"/>
            </w:rPr>
            <w:fldChar w:fldCharType="begin"/>
          </w:r>
          <w:r>
            <w:rPr>
              <w:highlight w:val="none"/>
            </w:rPr>
            <w:instrText xml:space="preserve"> HYPERLINK \l _Toc10938 </w:instrText>
          </w:r>
          <w:r>
            <w:rPr>
              <w:highlight w:val="none"/>
            </w:rPr>
            <w:fldChar w:fldCharType="separate"/>
          </w:r>
          <w:r>
            <w:rPr>
              <w:rFonts w:hint="eastAsia"/>
              <w:highlight w:val="none"/>
            </w:rPr>
            <w:t>（一）概述</w:t>
          </w:r>
          <w:r>
            <w:rPr>
              <w:highlight w:val="none"/>
            </w:rPr>
            <w:tab/>
          </w:r>
          <w:r>
            <w:rPr>
              <w:highlight w:val="none"/>
            </w:rPr>
            <w:fldChar w:fldCharType="begin"/>
          </w:r>
          <w:r>
            <w:rPr>
              <w:highlight w:val="none"/>
            </w:rPr>
            <w:instrText xml:space="preserve"> PAGEREF _Toc10938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38F9D6F7">
          <w:pPr>
            <w:pStyle w:val="19"/>
            <w:tabs>
              <w:tab w:val="right" w:leader="dot" w:pos="8306"/>
            </w:tabs>
            <w:rPr>
              <w:highlight w:val="none"/>
            </w:rPr>
          </w:pPr>
          <w:r>
            <w:rPr>
              <w:color w:val="auto"/>
              <w:highlight w:val="none"/>
            </w:rPr>
            <w:fldChar w:fldCharType="begin"/>
          </w:r>
          <w:r>
            <w:rPr>
              <w:highlight w:val="none"/>
            </w:rPr>
            <w:instrText xml:space="preserve"> HYPERLINK \l _Toc23201 </w:instrText>
          </w:r>
          <w:r>
            <w:rPr>
              <w:highlight w:val="none"/>
            </w:rPr>
            <w:fldChar w:fldCharType="separate"/>
          </w:r>
          <w:r>
            <w:rPr>
              <w:rFonts w:hint="eastAsia"/>
              <w:highlight w:val="none"/>
            </w:rPr>
            <w:t>（二）总体实施方案</w:t>
          </w:r>
          <w:r>
            <w:rPr>
              <w:highlight w:val="none"/>
            </w:rPr>
            <w:tab/>
          </w:r>
          <w:r>
            <w:rPr>
              <w:highlight w:val="none"/>
            </w:rPr>
            <w:fldChar w:fldCharType="begin"/>
          </w:r>
          <w:r>
            <w:rPr>
              <w:highlight w:val="none"/>
            </w:rPr>
            <w:instrText xml:space="preserve"> PAGEREF _Toc23201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08A5A4E2">
          <w:pPr>
            <w:pStyle w:val="19"/>
            <w:tabs>
              <w:tab w:val="right" w:leader="dot" w:pos="8306"/>
            </w:tabs>
            <w:rPr>
              <w:highlight w:val="none"/>
            </w:rPr>
          </w:pPr>
          <w:r>
            <w:rPr>
              <w:color w:val="auto"/>
              <w:highlight w:val="none"/>
            </w:rPr>
            <w:fldChar w:fldCharType="begin"/>
          </w:r>
          <w:r>
            <w:rPr>
              <w:highlight w:val="none"/>
            </w:rPr>
            <w:instrText xml:space="preserve"> HYPERLINK \l _Toc14613 </w:instrText>
          </w:r>
          <w:r>
            <w:rPr>
              <w:highlight w:val="none"/>
            </w:rPr>
            <w:fldChar w:fldCharType="separate"/>
          </w:r>
          <w:r>
            <w:rPr>
              <w:rFonts w:hint="eastAsia"/>
              <w:highlight w:val="none"/>
            </w:rPr>
            <w:t>（三）项目实施要点</w:t>
          </w:r>
          <w:r>
            <w:rPr>
              <w:highlight w:val="none"/>
            </w:rPr>
            <w:tab/>
          </w:r>
          <w:r>
            <w:rPr>
              <w:highlight w:val="none"/>
            </w:rPr>
            <w:fldChar w:fldCharType="begin"/>
          </w:r>
          <w:r>
            <w:rPr>
              <w:highlight w:val="none"/>
            </w:rPr>
            <w:instrText xml:space="preserve"> PAGEREF _Toc14613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57AAD4D6">
          <w:pPr>
            <w:pStyle w:val="19"/>
            <w:tabs>
              <w:tab w:val="right" w:leader="dot" w:pos="8306"/>
            </w:tabs>
            <w:rPr>
              <w:highlight w:val="none"/>
            </w:rPr>
          </w:pPr>
          <w:r>
            <w:rPr>
              <w:color w:val="auto"/>
              <w:highlight w:val="none"/>
            </w:rPr>
            <w:fldChar w:fldCharType="begin"/>
          </w:r>
          <w:r>
            <w:rPr>
              <w:highlight w:val="none"/>
            </w:rPr>
            <w:instrText xml:space="preserve"> HYPERLINK \l _Toc21487 </w:instrText>
          </w:r>
          <w:r>
            <w:rPr>
              <w:highlight w:val="none"/>
            </w:rPr>
            <w:fldChar w:fldCharType="separate"/>
          </w:r>
          <w:r>
            <w:rPr>
              <w:rFonts w:hint="eastAsia"/>
              <w:highlight w:val="none"/>
            </w:rPr>
            <w:t>（四）项目管理要点</w:t>
          </w:r>
          <w:r>
            <w:rPr>
              <w:highlight w:val="none"/>
            </w:rPr>
            <w:tab/>
          </w:r>
          <w:r>
            <w:rPr>
              <w:highlight w:val="none"/>
            </w:rPr>
            <w:fldChar w:fldCharType="begin"/>
          </w:r>
          <w:r>
            <w:rPr>
              <w:highlight w:val="none"/>
            </w:rPr>
            <w:instrText xml:space="preserve"> PAGEREF _Toc21487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167262B2">
          <w:pPr>
            <w:pStyle w:val="19"/>
            <w:tabs>
              <w:tab w:val="right" w:leader="dot" w:pos="8306"/>
            </w:tabs>
            <w:rPr>
              <w:highlight w:val="none"/>
            </w:rPr>
          </w:pPr>
          <w:r>
            <w:rPr>
              <w:color w:val="auto"/>
              <w:highlight w:val="none"/>
            </w:rPr>
            <w:fldChar w:fldCharType="begin"/>
          </w:r>
          <w:r>
            <w:rPr>
              <w:highlight w:val="none"/>
            </w:rPr>
            <w:instrText xml:space="preserve"> HYPERLINK \l _Toc7853 </w:instrText>
          </w:r>
          <w:r>
            <w:rPr>
              <w:highlight w:val="none"/>
            </w:rPr>
            <w:fldChar w:fldCharType="separate"/>
          </w:r>
          <w:r>
            <w:rPr>
              <w:highlight w:val="none"/>
            </w:rPr>
            <w:t>附表</w:t>
          </w:r>
          <w:r>
            <w:rPr>
              <w:rFonts w:hint="eastAsia"/>
              <w:highlight w:val="none"/>
              <w:lang w:val="en-US" w:eastAsia="zh-CN"/>
            </w:rPr>
            <w:t>一</w:t>
          </w:r>
          <w:r>
            <w:rPr>
              <w:highlight w:val="none"/>
            </w:rPr>
            <w:t>：</w:t>
          </w:r>
          <w:r>
            <w:rPr>
              <w:rFonts w:hint="eastAsia"/>
              <w:highlight w:val="none"/>
            </w:rPr>
            <w:t>拟投入本项目的劳动力计划表</w:t>
          </w:r>
          <w:r>
            <w:rPr>
              <w:highlight w:val="none"/>
            </w:rPr>
            <w:tab/>
          </w:r>
          <w:r>
            <w:rPr>
              <w:highlight w:val="none"/>
            </w:rPr>
            <w:fldChar w:fldCharType="begin"/>
          </w:r>
          <w:r>
            <w:rPr>
              <w:highlight w:val="none"/>
            </w:rPr>
            <w:instrText xml:space="preserve"> PAGEREF _Toc7853 \h </w:instrText>
          </w:r>
          <w:r>
            <w:rPr>
              <w:highlight w:val="none"/>
            </w:rPr>
            <w:fldChar w:fldCharType="separate"/>
          </w:r>
          <w:r>
            <w:rPr>
              <w:highlight w:val="none"/>
            </w:rPr>
            <w:t>194</w:t>
          </w:r>
          <w:r>
            <w:rPr>
              <w:highlight w:val="none"/>
            </w:rPr>
            <w:fldChar w:fldCharType="end"/>
          </w:r>
          <w:r>
            <w:rPr>
              <w:color w:val="auto"/>
              <w:highlight w:val="none"/>
            </w:rPr>
            <w:fldChar w:fldCharType="end"/>
          </w:r>
        </w:p>
        <w:p w14:paraId="32332CA8">
          <w:pPr>
            <w:pStyle w:val="19"/>
            <w:tabs>
              <w:tab w:val="right" w:leader="dot" w:pos="8306"/>
            </w:tabs>
            <w:rPr>
              <w:highlight w:val="none"/>
            </w:rPr>
          </w:pPr>
          <w:r>
            <w:rPr>
              <w:color w:val="auto"/>
              <w:highlight w:val="none"/>
            </w:rPr>
            <w:fldChar w:fldCharType="begin"/>
          </w:r>
          <w:r>
            <w:rPr>
              <w:highlight w:val="none"/>
            </w:rPr>
            <w:instrText xml:space="preserve"> HYPERLINK \l _Toc29376 </w:instrText>
          </w:r>
          <w:r>
            <w:rPr>
              <w:highlight w:val="none"/>
            </w:rPr>
            <w:fldChar w:fldCharType="separate"/>
          </w:r>
          <w:r>
            <w:rPr>
              <w:highlight w:val="none"/>
            </w:rPr>
            <w:t>附表</w:t>
          </w:r>
          <w:r>
            <w:rPr>
              <w:rFonts w:hint="eastAsia"/>
              <w:highlight w:val="none"/>
              <w:lang w:val="en-US" w:eastAsia="zh-CN"/>
            </w:rPr>
            <w:t>二</w:t>
          </w:r>
          <w:r>
            <w:rPr>
              <w:highlight w:val="none"/>
            </w:rPr>
            <w:t>：计划开</w:t>
          </w:r>
          <w:r>
            <w:rPr>
              <w:rFonts w:hint="eastAsia"/>
              <w:highlight w:val="none"/>
            </w:rPr>
            <w:t>工日期</w:t>
          </w:r>
          <w:r>
            <w:rPr>
              <w:highlight w:val="none"/>
            </w:rPr>
            <w:t>、</w:t>
          </w:r>
          <w:r>
            <w:rPr>
              <w:rFonts w:hint="eastAsia"/>
              <w:highlight w:val="none"/>
            </w:rPr>
            <w:t>完工</w:t>
          </w:r>
          <w:r>
            <w:rPr>
              <w:highlight w:val="none"/>
            </w:rPr>
            <w:t>日期和施工进度网络图</w:t>
          </w:r>
          <w:r>
            <w:rPr>
              <w:highlight w:val="none"/>
            </w:rPr>
            <w:tab/>
          </w:r>
          <w:r>
            <w:rPr>
              <w:highlight w:val="none"/>
            </w:rPr>
            <w:fldChar w:fldCharType="begin"/>
          </w:r>
          <w:r>
            <w:rPr>
              <w:highlight w:val="none"/>
            </w:rPr>
            <w:instrText xml:space="preserve"> PAGEREF _Toc29376 \h </w:instrText>
          </w:r>
          <w:r>
            <w:rPr>
              <w:highlight w:val="none"/>
            </w:rPr>
            <w:fldChar w:fldCharType="separate"/>
          </w:r>
          <w:r>
            <w:rPr>
              <w:highlight w:val="none"/>
            </w:rPr>
            <w:t>195</w:t>
          </w:r>
          <w:r>
            <w:rPr>
              <w:highlight w:val="none"/>
            </w:rPr>
            <w:fldChar w:fldCharType="end"/>
          </w:r>
          <w:r>
            <w:rPr>
              <w:color w:val="auto"/>
              <w:highlight w:val="none"/>
            </w:rPr>
            <w:fldChar w:fldCharType="end"/>
          </w:r>
        </w:p>
        <w:p w14:paraId="1DC77F79">
          <w:pPr>
            <w:pStyle w:val="19"/>
            <w:tabs>
              <w:tab w:val="right" w:leader="dot" w:pos="8306"/>
            </w:tabs>
            <w:rPr>
              <w:highlight w:val="none"/>
            </w:rPr>
          </w:pPr>
          <w:r>
            <w:rPr>
              <w:color w:val="auto"/>
              <w:highlight w:val="none"/>
            </w:rPr>
            <w:fldChar w:fldCharType="begin"/>
          </w:r>
          <w:r>
            <w:rPr>
              <w:highlight w:val="none"/>
            </w:rPr>
            <w:instrText xml:space="preserve"> HYPERLINK \l _Toc1811 </w:instrText>
          </w:r>
          <w:r>
            <w:rPr>
              <w:highlight w:val="none"/>
            </w:rPr>
            <w:fldChar w:fldCharType="separate"/>
          </w:r>
          <w:r>
            <w:rPr>
              <w:highlight w:val="none"/>
            </w:rPr>
            <w:t>附表</w:t>
          </w:r>
          <w:r>
            <w:rPr>
              <w:rFonts w:hint="eastAsia"/>
              <w:highlight w:val="none"/>
              <w:lang w:val="en-US" w:eastAsia="zh-CN"/>
            </w:rPr>
            <w:t>三</w:t>
          </w:r>
          <w:r>
            <w:rPr>
              <w:highlight w:val="none"/>
            </w:rPr>
            <w:t>：施工总平面图</w:t>
          </w:r>
          <w:r>
            <w:rPr>
              <w:highlight w:val="none"/>
            </w:rPr>
            <w:tab/>
          </w:r>
          <w:r>
            <w:rPr>
              <w:highlight w:val="none"/>
            </w:rPr>
            <w:fldChar w:fldCharType="begin"/>
          </w:r>
          <w:r>
            <w:rPr>
              <w:highlight w:val="none"/>
            </w:rPr>
            <w:instrText xml:space="preserve"> PAGEREF _Toc1811 \h </w:instrText>
          </w:r>
          <w:r>
            <w:rPr>
              <w:highlight w:val="none"/>
            </w:rPr>
            <w:fldChar w:fldCharType="separate"/>
          </w:r>
          <w:r>
            <w:rPr>
              <w:highlight w:val="none"/>
            </w:rPr>
            <w:t>196</w:t>
          </w:r>
          <w:r>
            <w:rPr>
              <w:highlight w:val="none"/>
            </w:rPr>
            <w:fldChar w:fldCharType="end"/>
          </w:r>
          <w:r>
            <w:rPr>
              <w:color w:val="auto"/>
              <w:highlight w:val="none"/>
            </w:rPr>
            <w:fldChar w:fldCharType="end"/>
          </w:r>
        </w:p>
        <w:p w14:paraId="7195C00A">
          <w:pPr>
            <w:pStyle w:val="19"/>
            <w:tabs>
              <w:tab w:val="right" w:leader="dot" w:pos="8306"/>
            </w:tabs>
            <w:rPr>
              <w:highlight w:val="none"/>
            </w:rPr>
          </w:pPr>
          <w:r>
            <w:rPr>
              <w:color w:val="auto"/>
              <w:highlight w:val="none"/>
            </w:rPr>
            <w:fldChar w:fldCharType="begin"/>
          </w:r>
          <w:r>
            <w:rPr>
              <w:highlight w:val="none"/>
            </w:rPr>
            <w:instrText xml:space="preserve"> HYPERLINK \l _Toc20523 </w:instrText>
          </w:r>
          <w:r>
            <w:rPr>
              <w:highlight w:val="none"/>
            </w:rPr>
            <w:fldChar w:fldCharType="separate"/>
          </w:r>
          <w:r>
            <w:rPr>
              <w:highlight w:val="none"/>
            </w:rPr>
            <w:t>附表</w:t>
          </w:r>
          <w:r>
            <w:rPr>
              <w:rFonts w:hint="eastAsia"/>
              <w:highlight w:val="none"/>
              <w:lang w:val="en-US" w:eastAsia="zh-CN"/>
            </w:rPr>
            <w:t>四</w:t>
          </w:r>
          <w:r>
            <w:rPr>
              <w:rFonts w:hint="eastAsia"/>
              <w:highlight w:val="none"/>
            </w:rPr>
            <w:t>：</w:t>
          </w:r>
          <w:r>
            <w:rPr>
              <w:highlight w:val="none"/>
            </w:rPr>
            <w:t>临时用地表</w:t>
          </w:r>
          <w:r>
            <w:rPr>
              <w:highlight w:val="none"/>
            </w:rPr>
            <w:tab/>
          </w:r>
          <w:r>
            <w:rPr>
              <w:highlight w:val="none"/>
            </w:rPr>
            <w:fldChar w:fldCharType="begin"/>
          </w:r>
          <w:r>
            <w:rPr>
              <w:highlight w:val="none"/>
            </w:rPr>
            <w:instrText xml:space="preserve"> PAGEREF _Toc20523 \h </w:instrText>
          </w:r>
          <w:r>
            <w:rPr>
              <w:highlight w:val="none"/>
            </w:rPr>
            <w:fldChar w:fldCharType="separate"/>
          </w:r>
          <w:r>
            <w:rPr>
              <w:highlight w:val="none"/>
            </w:rPr>
            <w:t>197</w:t>
          </w:r>
          <w:r>
            <w:rPr>
              <w:highlight w:val="none"/>
            </w:rPr>
            <w:fldChar w:fldCharType="end"/>
          </w:r>
          <w:r>
            <w:rPr>
              <w:color w:val="auto"/>
              <w:highlight w:val="none"/>
            </w:rPr>
            <w:fldChar w:fldCharType="end"/>
          </w:r>
        </w:p>
        <w:p w14:paraId="3F4D6B34">
          <w:pPr>
            <w:pStyle w:val="31"/>
            <w:tabs>
              <w:tab w:val="right" w:leader="dot" w:pos="8306"/>
            </w:tabs>
            <w:rPr>
              <w:highlight w:val="none"/>
            </w:rPr>
          </w:pPr>
          <w:r>
            <w:rPr>
              <w:color w:val="auto"/>
              <w:highlight w:val="none"/>
            </w:rPr>
            <w:fldChar w:fldCharType="begin"/>
          </w:r>
          <w:r>
            <w:rPr>
              <w:highlight w:val="none"/>
            </w:rPr>
            <w:instrText xml:space="preserve"> HYPERLINK \l _Toc31645 </w:instrText>
          </w:r>
          <w:r>
            <w:rPr>
              <w:highlight w:val="none"/>
            </w:rPr>
            <w:fldChar w:fldCharType="separate"/>
          </w:r>
          <w:r>
            <w:rPr>
              <w:rFonts w:hint="eastAsia"/>
              <w:szCs w:val="28"/>
              <w:highlight w:val="none"/>
            </w:rPr>
            <w:t>九</w:t>
          </w:r>
          <w:r>
            <w:rPr>
              <w:szCs w:val="28"/>
              <w:highlight w:val="none"/>
            </w:rPr>
            <w:t>、项目管理机构</w:t>
          </w:r>
          <w:r>
            <w:rPr>
              <w:highlight w:val="none"/>
            </w:rPr>
            <w:tab/>
          </w:r>
          <w:r>
            <w:rPr>
              <w:highlight w:val="none"/>
            </w:rPr>
            <w:fldChar w:fldCharType="begin"/>
          </w:r>
          <w:r>
            <w:rPr>
              <w:highlight w:val="none"/>
            </w:rPr>
            <w:instrText xml:space="preserve"> PAGEREF _Toc31645 \h </w:instrText>
          </w:r>
          <w:r>
            <w:rPr>
              <w:highlight w:val="none"/>
            </w:rPr>
            <w:fldChar w:fldCharType="separate"/>
          </w:r>
          <w:r>
            <w:rPr>
              <w:highlight w:val="none"/>
            </w:rPr>
            <w:t>198</w:t>
          </w:r>
          <w:r>
            <w:rPr>
              <w:highlight w:val="none"/>
            </w:rPr>
            <w:fldChar w:fldCharType="end"/>
          </w:r>
          <w:r>
            <w:rPr>
              <w:color w:val="auto"/>
              <w:highlight w:val="none"/>
            </w:rPr>
            <w:fldChar w:fldCharType="end"/>
          </w:r>
        </w:p>
        <w:p w14:paraId="7AA073A6">
          <w:pPr>
            <w:pStyle w:val="31"/>
            <w:tabs>
              <w:tab w:val="right" w:leader="dot" w:pos="8306"/>
            </w:tabs>
            <w:rPr>
              <w:highlight w:val="none"/>
            </w:rPr>
          </w:pPr>
          <w:r>
            <w:rPr>
              <w:color w:val="auto"/>
              <w:highlight w:val="none"/>
            </w:rPr>
            <w:fldChar w:fldCharType="begin"/>
          </w:r>
          <w:r>
            <w:rPr>
              <w:highlight w:val="none"/>
            </w:rPr>
            <w:instrText xml:space="preserve"> HYPERLINK \l _Toc31687 </w:instrText>
          </w:r>
          <w:r>
            <w:rPr>
              <w:highlight w:val="none"/>
            </w:rPr>
            <w:fldChar w:fldCharType="separate"/>
          </w:r>
          <w:r>
            <w:rPr>
              <w:rFonts w:hint="eastAsia"/>
              <w:szCs w:val="28"/>
              <w:highlight w:val="none"/>
            </w:rPr>
            <w:t>十</w:t>
          </w:r>
          <w:r>
            <w:rPr>
              <w:szCs w:val="28"/>
              <w:highlight w:val="none"/>
            </w:rPr>
            <w:t>、拟分包项目情况表</w:t>
          </w:r>
          <w:r>
            <w:rPr>
              <w:highlight w:val="none"/>
            </w:rPr>
            <w:tab/>
          </w:r>
          <w:r>
            <w:rPr>
              <w:highlight w:val="none"/>
            </w:rPr>
            <w:fldChar w:fldCharType="begin"/>
          </w:r>
          <w:r>
            <w:rPr>
              <w:highlight w:val="none"/>
            </w:rPr>
            <w:instrText xml:space="preserve"> PAGEREF _Toc31687 \h </w:instrText>
          </w:r>
          <w:r>
            <w:rPr>
              <w:highlight w:val="none"/>
            </w:rPr>
            <w:fldChar w:fldCharType="separate"/>
          </w:r>
          <w:r>
            <w:rPr>
              <w:highlight w:val="none"/>
            </w:rPr>
            <w:t>203</w:t>
          </w:r>
          <w:r>
            <w:rPr>
              <w:highlight w:val="none"/>
            </w:rPr>
            <w:fldChar w:fldCharType="end"/>
          </w:r>
          <w:r>
            <w:rPr>
              <w:color w:val="auto"/>
              <w:highlight w:val="none"/>
            </w:rPr>
            <w:fldChar w:fldCharType="end"/>
          </w:r>
        </w:p>
        <w:p w14:paraId="536D3A8B">
          <w:pPr>
            <w:pStyle w:val="31"/>
            <w:tabs>
              <w:tab w:val="right" w:leader="dot" w:pos="8306"/>
            </w:tabs>
            <w:rPr>
              <w:highlight w:val="none"/>
            </w:rPr>
          </w:pPr>
          <w:r>
            <w:rPr>
              <w:color w:val="auto"/>
              <w:highlight w:val="none"/>
            </w:rPr>
            <w:fldChar w:fldCharType="begin"/>
          </w:r>
          <w:r>
            <w:rPr>
              <w:highlight w:val="none"/>
            </w:rPr>
            <w:instrText xml:space="preserve"> HYPERLINK \l _Toc32136 </w:instrText>
          </w:r>
          <w:r>
            <w:rPr>
              <w:highlight w:val="none"/>
            </w:rPr>
            <w:fldChar w:fldCharType="separate"/>
          </w:r>
          <w:r>
            <w:rPr>
              <w:rFonts w:hint="eastAsia"/>
              <w:szCs w:val="28"/>
              <w:highlight w:val="none"/>
            </w:rPr>
            <w:t>十一、资格审查资料</w:t>
          </w:r>
          <w:r>
            <w:rPr>
              <w:highlight w:val="none"/>
            </w:rPr>
            <w:tab/>
          </w:r>
          <w:r>
            <w:rPr>
              <w:highlight w:val="none"/>
            </w:rPr>
            <w:fldChar w:fldCharType="begin"/>
          </w:r>
          <w:r>
            <w:rPr>
              <w:highlight w:val="none"/>
            </w:rPr>
            <w:instrText xml:space="preserve"> PAGEREF _Toc32136 \h </w:instrText>
          </w:r>
          <w:r>
            <w:rPr>
              <w:highlight w:val="none"/>
            </w:rPr>
            <w:fldChar w:fldCharType="separate"/>
          </w:r>
          <w:r>
            <w:rPr>
              <w:highlight w:val="none"/>
            </w:rPr>
            <w:t>204</w:t>
          </w:r>
          <w:r>
            <w:rPr>
              <w:highlight w:val="none"/>
            </w:rPr>
            <w:fldChar w:fldCharType="end"/>
          </w:r>
          <w:r>
            <w:rPr>
              <w:color w:val="auto"/>
              <w:highlight w:val="none"/>
            </w:rPr>
            <w:fldChar w:fldCharType="end"/>
          </w:r>
        </w:p>
        <w:p w14:paraId="7F801CFA">
          <w:pPr>
            <w:pStyle w:val="19"/>
            <w:tabs>
              <w:tab w:val="right" w:leader="dot" w:pos="8306"/>
            </w:tabs>
            <w:rPr>
              <w:highlight w:val="none"/>
            </w:rPr>
          </w:pPr>
          <w:r>
            <w:rPr>
              <w:color w:val="auto"/>
              <w:highlight w:val="none"/>
            </w:rPr>
            <w:fldChar w:fldCharType="begin"/>
          </w:r>
          <w:r>
            <w:rPr>
              <w:highlight w:val="none"/>
            </w:rPr>
            <w:instrText xml:space="preserve"> HYPERLINK \l _Toc10586 </w:instrText>
          </w:r>
          <w:r>
            <w:rPr>
              <w:highlight w:val="none"/>
            </w:rPr>
            <w:fldChar w:fldCharType="separate"/>
          </w:r>
          <w:r>
            <w:rPr>
              <w:rFonts w:hint="eastAsia"/>
              <w:szCs w:val="24"/>
              <w:highlight w:val="none"/>
            </w:rPr>
            <w:t>1-1投标人基本情况表</w:t>
          </w:r>
          <w:r>
            <w:rPr>
              <w:highlight w:val="none"/>
            </w:rPr>
            <w:tab/>
          </w:r>
          <w:r>
            <w:rPr>
              <w:highlight w:val="none"/>
            </w:rPr>
            <w:fldChar w:fldCharType="begin"/>
          </w:r>
          <w:r>
            <w:rPr>
              <w:highlight w:val="none"/>
            </w:rPr>
            <w:instrText xml:space="preserve"> PAGEREF _Toc10586 \h </w:instrText>
          </w:r>
          <w:r>
            <w:rPr>
              <w:highlight w:val="none"/>
            </w:rPr>
            <w:fldChar w:fldCharType="separate"/>
          </w:r>
          <w:r>
            <w:rPr>
              <w:highlight w:val="none"/>
            </w:rPr>
            <w:t>204</w:t>
          </w:r>
          <w:r>
            <w:rPr>
              <w:highlight w:val="none"/>
            </w:rPr>
            <w:fldChar w:fldCharType="end"/>
          </w:r>
          <w:r>
            <w:rPr>
              <w:color w:val="auto"/>
              <w:highlight w:val="none"/>
            </w:rPr>
            <w:fldChar w:fldCharType="end"/>
          </w:r>
        </w:p>
        <w:p w14:paraId="4DA67785">
          <w:pPr>
            <w:pStyle w:val="19"/>
            <w:tabs>
              <w:tab w:val="right" w:leader="dot" w:pos="8306"/>
            </w:tabs>
            <w:rPr>
              <w:highlight w:val="none"/>
            </w:rPr>
          </w:pPr>
          <w:r>
            <w:rPr>
              <w:color w:val="auto"/>
              <w:highlight w:val="none"/>
            </w:rPr>
            <w:fldChar w:fldCharType="begin"/>
          </w:r>
          <w:r>
            <w:rPr>
              <w:highlight w:val="none"/>
            </w:rPr>
            <w:instrText xml:space="preserve"> HYPERLINK \l _Toc9935 </w:instrText>
          </w:r>
          <w:r>
            <w:rPr>
              <w:highlight w:val="none"/>
            </w:rPr>
            <w:fldChar w:fldCharType="separate"/>
          </w:r>
          <w:r>
            <w:rPr>
              <w:rFonts w:hint="eastAsia"/>
              <w:szCs w:val="24"/>
              <w:highlight w:val="none"/>
            </w:rPr>
            <w:t>1-2项目管理机构主要人员及简历表</w:t>
          </w:r>
          <w:r>
            <w:rPr>
              <w:highlight w:val="none"/>
            </w:rPr>
            <w:tab/>
          </w:r>
          <w:r>
            <w:rPr>
              <w:highlight w:val="none"/>
            </w:rPr>
            <w:fldChar w:fldCharType="begin"/>
          </w:r>
          <w:r>
            <w:rPr>
              <w:highlight w:val="none"/>
            </w:rPr>
            <w:instrText xml:space="preserve"> PAGEREF _Toc9935 \h </w:instrText>
          </w:r>
          <w:r>
            <w:rPr>
              <w:highlight w:val="none"/>
            </w:rPr>
            <w:fldChar w:fldCharType="separate"/>
          </w:r>
          <w:r>
            <w:rPr>
              <w:highlight w:val="none"/>
            </w:rPr>
            <w:t>205</w:t>
          </w:r>
          <w:r>
            <w:rPr>
              <w:highlight w:val="none"/>
            </w:rPr>
            <w:fldChar w:fldCharType="end"/>
          </w:r>
          <w:r>
            <w:rPr>
              <w:color w:val="auto"/>
              <w:highlight w:val="none"/>
            </w:rPr>
            <w:fldChar w:fldCharType="end"/>
          </w:r>
        </w:p>
        <w:p w14:paraId="3F3C4425">
          <w:pPr>
            <w:pStyle w:val="19"/>
            <w:tabs>
              <w:tab w:val="right" w:leader="dot" w:pos="8306"/>
            </w:tabs>
            <w:rPr>
              <w:highlight w:val="none"/>
            </w:rPr>
          </w:pPr>
          <w:r>
            <w:rPr>
              <w:color w:val="auto"/>
              <w:highlight w:val="none"/>
            </w:rPr>
            <w:fldChar w:fldCharType="begin"/>
          </w:r>
          <w:r>
            <w:rPr>
              <w:highlight w:val="none"/>
            </w:rPr>
            <w:instrText xml:space="preserve"> HYPERLINK \l _Toc12065 </w:instrText>
          </w:r>
          <w:r>
            <w:rPr>
              <w:highlight w:val="none"/>
            </w:rPr>
            <w:fldChar w:fldCharType="separate"/>
          </w:r>
          <w:r>
            <w:rPr>
              <w:rFonts w:hint="eastAsia"/>
              <w:szCs w:val="24"/>
              <w:highlight w:val="none"/>
            </w:rPr>
            <w:t>1-3拟投入主要施工设备、试验和检测仪器设备</w:t>
          </w:r>
          <w:r>
            <w:rPr>
              <w:highlight w:val="none"/>
            </w:rPr>
            <w:tab/>
          </w:r>
          <w:r>
            <w:rPr>
              <w:highlight w:val="none"/>
            </w:rPr>
            <w:fldChar w:fldCharType="begin"/>
          </w:r>
          <w:r>
            <w:rPr>
              <w:highlight w:val="none"/>
            </w:rPr>
            <w:instrText xml:space="preserve"> PAGEREF _Toc12065 \h </w:instrText>
          </w:r>
          <w:r>
            <w:rPr>
              <w:highlight w:val="none"/>
            </w:rPr>
            <w:fldChar w:fldCharType="separate"/>
          </w:r>
          <w:r>
            <w:rPr>
              <w:highlight w:val="none"/>
            </w:rPr>
            <w:t>206</w:t>
          </w:r>
          <w:r>
            <w:rPr>
              <w:highlight w:val="none"/>
            </w:rPr>
            <w:fldChar w:fldCharType="end"/>
          </w:r>
          <w:r>
            <w:rPr>
              <w:color w:val="auto"/>
              <w:highlight w:val="none"/>
            </w:rPr>
            <w:fldChar w:fldCharType="end"/>
          </w:r>
        </w:p>
        <w:p w14:paraId="2CA08624">
          <w:pPr>
            <w:pStyle w:val="19"/>
            <w:tabs>
              <w:tab w:val="right" w:leader="dot" w:pos="8306"/>
            </w:tabs>
            <w:rPr>
              <w:highlight w:val="none"/>
            </w:rPr>
          </w:pPr>
          <w:r>
            <w:rPr>
              <w:color w:val="auto"/>
              <w:highlight w:val="none"/>
            </w:rPr>
            <w:fldChar w:fldCharType="begin"/>
          </w:r>
          <w:r>
            <w:rPr>
              <w:highlight w:val="none"/>
            </w:rPr>
            <w:instrText xml:space="preserve"> HYPERLINK \l _Toc18887 </w:instrText>
          </w:r>
          <w:r>
            <w:rPr>
              <w:highlight w:val="none"/>
            </w:rPr>
            <w:fldChar w:fldCharType="separate"/>
          </w:r>
          <w:r>
            <w:rPr>
              <w:rFonts w:hint="eastAsia"/>
              <w:szCs w:val="24"/>
              <w:highlight w:val="none"/>
            </w:rPr>
            <w:t>2-1近年财务状况表</w:t>
          </w:r>
          <w:r>
            <w:rPr>
              <w:highlight w:val="none"/>
            </w:rPr>
            <w:tab/>
          </w:r>
          <w:r>
            <w:rPr>
              <w:highlight w:val="none"/>
            </w:rPr>
            <w:fldChar w:fldCharType="begin"/>
          </w:r>
          <w:r>
            <w:rPr>
              <w:highlight w:val="none"/>
            </w:rPr>
            <w:instrText xml:space="preserve"> PAGEREF _Toc18887 \h </w:instrText>
          </w:r>
          <w:r>
            <w:rPr>
              <w:highlight w:val="none"/>
            </w:rPr>
            <w:fldChar w:fldCharType="separate"/>
          </w:r>
          <w:r>
            <w:rPr>
              <w:highlight w:val="none"/>
            </w:rPr>
            <w:t>207</w:t>
          </w:r>
          <w:r>
            <w:rPr>
              <w:highlight w:val="none"/>
            </w:rPr>
            <w:fldChar w:fldCharType="end"/>
          </w:r>
          <w:r>
            <w:rPr>
              <w:color w:val="auto"/>
              <w:highlight w:val="none"/>
            </w:rPr>
            <w:fldChar w:fldCharType="end"/>
          </w:r>
        </w:p>
        <w:p w14:paraId="233ED750">
          <w:pPr>
            <w:pStyle w:val="19"/>
            <w:tabs>
              <w:tab w:val="right" w:leader="dot" w:pos="8306"/>
            </w:tabs>
            <w:rPr>
              <w:highlight w:val="none"/>
            </w:rPr>
          </w:pPr>
          <w:r>
            <w:rPr>
              <w:color w:val="auto"/>
              <w:highlight w:val="none"/>
            </w:rPr>
            <w:fldChar w:fldCharType="begin"/>
          </w:r>
          <w:r>
            <w:rPr>
              <w:highlight w:val="none"/>
            </w:rPr>
            <w:instrText xml:space="preserve"> HYPERLINK \l _Toc32245 </w:instrText>
          </w:r>
          <w:r>
            <w:rPr>
              <w:highlight w:val="none"/>
            </w:rPr>
            <w:fldChar w:fldCharType="separate"/>
          </w:r>
          <w:r>
            <w:rPr>
              <w:rFonts w:hint="eastAsia"/>
              <w:szCs w:val="24"/>
              <w:highlight w:val="none"/>
            </w:rPr>
            <w:t>3-1 近年完成的类似项目汇总表</w:t>
          </w:r>
          <w:r>
            <w:rPr>
              <w:highlight w:val="none"/>
            </w:rPr>
            <w:tab/>
          </w:r>
          <w:r>
            <w:rPr>
              <w:highlight w:val="none"/>
            </w:rPr>
            <w:fldChar w:fldCharType="begin"/>
          </w:r>
          <w:r>
            <w:rPr>
              <w:highlight w:val="none"/>
            </w:rPr>
            <w:instrText xml:space="preserve"> PAGEREF _Toc32245 \h </w:instrText>
          </w:r>
          <w:r>
            <w:rPr>
              <w:highlight w:val="none"/>
            </w:rPr>
            <w:fldChar w:fldCharType="separate"/>
          </w:r>
          <w:r>
            <w:rPr>
              <w:highlight w:val="none"/>
            </w:rPr>
            <w:t>208</w:t>
          </w:r>
          <w:r>
            <w:rPr>
              <w:highlight w:val="none"/>
            </w:rPr>
            <w:fldChar w:fldCharType="end"/>
          </w:r>
          <w:r>
            <w:rPr>
              <w:color w:val="auto"/>
              <w:highlight w:val="none"/>
            </w:rPr>
            <w:fldChar w:fldCharType="end"/>
          </w:r>
        </w:p>
        <w:p w14:paraId="4098CBD7">
          <w:pPr>
            <w:pStyle w:val="19"/>
            <w:tabs>
              <w:tab w:val="right" w:leader="dot" w:pos="8306"/>
            </w:tabs>
            <w:rPr>
              <w:highlight w:val="none"/>
            </w:rPr>
          </w:pPr>
          <w:r>
            <w:rPr>
              <w:color w:val="auto"/>
              <w:highlight w:val="none"/>
            </w:rPr>
            <w:fldChar w:fldCharType="begin"/>
          </w:r>
          <w:r>
            <w:rPr>
              <w:highlight w:val="none"/>
            </w:rPr>
            <w:instrText xml:space="preserve"> HYPERLINK \l _Toc14532 </w:instrText>
          </w:r>
          <w:r>
            <w:rPr>
              <w:highlight w:val="none"/>
            </w:rPr>
            <w:fldChar w:fldCharType="separate"/>
          </w:r>
          <w:r>
            <w:rPr>
              <w:rFonts w:hint="eastAsia"/>
              <w:szCs w:val="24"/>
              <w:highlight w:val="none"/>
            </w:rPr>
            <w:t>3-2 近年完成的类似项目情况表</w:t>
          </w:r>
          <w:r>
            <w:rPr>
              <w:highlight w:val="none"/>
            </w:rPr>
            <w:tab/>
          </w:r>
          <w:r>
            <w:rPr>
              <w:highlight w:val="none"/>
            </w:rPr>
            <w:fldChar w:fldCharType="begin"/>
          </w:r>
          <w:r>
            <w:rPr>
              <w:highlight w:val="none"/>
            </w:rPr>
            <w:instrText xml:space="preserve"> PAGEREF _Toc14532 \h </w:instrText>
          </w:r>
          <w:r>
            <w:rPr>
              <w:highlight w:val="none"/>
            </w:rPr>
            <w:fldChar w:fldCharType="separate"/>
          </w:r>
          <w:r>
            <w:rPr>
              <w:highlight w:val="none"/>
            </w:rPr>
            <w:t>209</w:t>
          </w:r>
          <w:r>
            <w:rPr>
              <w:highlight w:val="none"/>
            </w:rPr>
            <w:fldChar w:fldCharType="end"/>
          </w:r>
          <w:r>
            <w:rPr>
              <w:color w:val="auto"/>
              <w:highlight w:val="none"/>
            </w:rPr>
            <w:fldChar w:fldCharType="end"/>
          </w:r>
        </w:p>
        <w:p w14:paraId="70095FCE">
          <w:pPr>
            <w:pStyle w:val="19"/>
            <w:tabs>
              <w:tab w:val="right" w:leader="dot" w:pos="8306"/>
            </w:tabs>
            <w:rPr>
              <w:highlight w:val="none"/>
            </w:rPr>
          </w:pPr>
          <w:r>
            <w:rPr>
              <w:color w:val="auto"/>
              <w:highlight w:val="none"/>
            </w:rPr>
            <w:fldChar w:fldCharType="begin"/>
          </w:r>
          <w:r>
            <w:rPr>
              <w:highlight w:val="none"/>
            </w:rPr>
            <w:instrText xml:space="preserve"> HYPERLINK \l _Toc22053 </w:instrText>
          </w:r>
          <w:r>
            <w:rPr>
              <w:highlight w:val="none"/>
            </w:rPr>
            <w:fldChar w:fldCharType="separate"/>
          </w:r>
          <w:r>
            <w:rPr>
              <w:rFonts w:hint="eastAsia"/>
              <w:szCs w:val="24"/>
              <w:highlight w:val="none"/>
            </w:rPr>
            <w:t>3-3 项目负责人的类似项目汇总表</w:t>
          </w:r>
          <w:r>
            <w:rPr>
              <w:highlight w:val="none"/>
            </w:rPr>
            <w:tab/>
          </w:r>
          <w:r>
            <w:rPr>
              <w:highlight w:val="none"/>
            </w:rPr>
            <w:fldChar w:fldCharType="begin"/>
          </w:r>
          <w:r>
            <w:rPr>
              <w:highlight w:val="none"/>
            </w:rPr>
            <w:instrText xml:space="preserve"> PAGEREF _Toc22053 \h </w:instrText>
          </w:r>
          <w:r>
            <w:rPr>
              <w:highlight w:val="none"/>
            </w:rPr>
            <w:fldChar w:fldCharType="separate"/>
          </w:r>
          <w:r>
            <w:rPr>
              <w:highlight w:val="none"/>
            </w:rPr>
            <w:t>210</w:t>
          </w:r>
          <w:r>
            <w:rPr>
              <w:highlight w:val="none"/>
            </w:rPr>
            <w:fldChar w:fldCharType="end"/>
          </w:r>
          <w:r>
            <w:rPr>
              <w:color w:val="auto"/>
              <w:highlight w:val="none"/>
            </w:rPr>
            <w:fldChar w:fldCharType="end"/>
          </w:r>
        </w:p>
        <w:p w14:paraId="79B11B92">
          <w:pPr>
            <w:pStyle w:val="19"/>
            <w:tabs>
              <w:tab w:val="right" w:leader="dot" w:pos="8306"/>
            </w:tabs>
            <w:rPr>
              <w:highlight w:val="none"/>
            </w:rPr>
          </w:pPr>
          <w:r>
            <w:rPr>
              <w:color w:val="auto"/>
              <w:highlight w:val="none"/>
            </w:rPr>
            <w:fldChar w:fldCharType="begin"/>
          </w:r>
          <w:r>
            <w:rPr>
              <w:highlight w:val="none"/>
            </w:rPr>
            <w:instrText xml:space="preserve"> HYPERLINK \l _Toc32632 </w:instrText>
          </w:r>
          <w:r>
            <w:rPr>
              <w:highlight w:val="none"/>
            </w:rPr>
            <w:fldChar w:fldCharType="separate"/>
          </w:r>
          <w:r>
            <w:rPr>
              <w:rFonts w:hint="eastAsia"/>
              <w:szCs w:val="24"/>
              <w:highlight w:val="none"/>
            </w:rPr>
            <w:t>3-4 项目负责人的类似项目情况表</w:t>
          </w:r>
          <w:r>
            <w:rPr>
              <w:highlight w:val="none"/>
            </w:rPr>
            <w:tab/>
          </w:r>
          <w:r>
            <w:rPr>
              <w:highlight w:val="none"/>
            </w:rPr>
            <w:fldChar w:fldCharType="begin"/>
          </w:r>
          <w:r>
            <w:rPr>
              <w:highlight w:val="none"/>
            </w:rPr>
            <w:instrText xml:space="preserve"> PAGEREF _Toc32632 \h </w:instrText>
          </w:r>
          <w:r>
            <w:rPr>
              <w:highlight w:val="none"/>
            </w:rPr>
            <w:fldChar w:fldCharType="separate"/>
          </w:r>
          <w:r>
            <w:rPr>
              <w:highlight w:val="none"/>
            </w:rPr>
            <w:t>211</w:t>
          </w:r>
          <w:r>
            <w:rPr>
              <w:highlight w:val="none"/>
            </w:rPr>
            <w:fldChar w:fldCharType="end"/>
          </w:r>
          <w:r>
            <w:rPr>
              <w:color w:val="auto"/>
              <w:highlight w:val="none"/>
            </w:rPr>
            <w:fldChar w:fldCharType="end"/>
          </w:r>
        </w:p>
        <w:p w14:paraId="34BB33EA">
          <w:pPr>
            <w:pStyle w:val="19"/>
            <w:tabs>
              <w:tab w:val="right" w:leader="dot" w:pos="8306"/>
            </w:tabs>
            <w:rPr>
              <w:highlight w:val="none"/>
            </w:rPr>
          </w:pPr>
          <w:r>
            <w:rPr>
              <w:color w:val="auto"/>
              <w:highlight w:val="none"/>
            </w:rPr>
            <w:fldChar w:fldCharType="begin"/>
          </w:r>
          <w:r>
            <w:rPr>
              <w:highlight w:val="none"/>
            </w:rPr>
            <w:instrText xml:space="preserve"> HYPERLINK \l _Toc6279 </w:instrText>
          </w:r>
          <w:r>
            <w:rPr>
              <w:highlight w:val="none"/>
            </w:rPr>
            <w:fldChar w:fldCharType="separate"/>
          </w:r>
          <w:r>
            <w:rPr>
              <w:rFonts w:hint="eastAsia"/>
              <w:szCs w:val="24"/>
              <w:highlight w:val="none"/>
            </w:rPr>
            <w:t>4-1 近年完成的类似设计项目汇总表</w:t>
          </w:r>
          <w:r>
            <w:rPr>
              <w:highlight w:val="none"/>
            </w:rPr>
            <w:tab/>
          </w:r>
          <w:r>
            <w:rPr>
              <w:highlight w:val="none"/>
            </w:rPr>
            <w:fldChar w:fldCharType="begin"/>
          </w:r>
          <w:r>
            <w:rPr>
              <w:highlight w:val="none"/>
            </w:rPr>
            <w:instrText xml:space="preserve"> PAGEREF _Toc6279 \h </w:instrText>
          </w:r>
          <w:r>
            <w:rPr>
              <w:highlight w:val="none"/>
            </w:rPr>
            <w:fldChar w:fldCharType="separate"/>
          </w:r>
          <w:r>
            <w:rPr>
              <w:highlight w:val="none"/>
            </w:rPr>
            <w:t>212</w:t>
          </w:r>
          <w:r>
            <w:rPr>
              <w:highlight w:val="none"/>
            </w:rPr>
            <w:fldChar w:fldCharType="end"/>
          </w:r>
          <w:r>
            <w:rPr>
              <w:color w:val="auto"/>
              <w:highlight w:val="none"/>
            </w:rPr>
            <w:fldChar w:fldCharType="end"/>
          </w:r>
        </w:p>
        <w:p w14:paraId="77A22C21">
          <w:pPr>
            <w:pStyle w:val="19"/>
            <w:tabs>
              <w:tab w:val="right" w:leader="dot" w:pos="8306"/>
            </w:tabs>
            <w:rPr>
              <w:highlight w:val="none"/>
            </w:rPr>
          </w:pPr>
          <w:r>
            <w:rPr>
              <w:color w:val="auto"/>
              <w:highlight w:val="none"/>
            </w:rPr>
            <w:fldChar w:fldCharType="begin"/>
          </w:r>
          <w:r>
            <w:rPr>
              <w:highlight w:val="none"/>
            </w:rPr>
            <w:instrText xml:space="preserve"> HYPERLINK \l _Toc3305 </w:instrText>
          </w:r>
          <w:r>
            <w:rPr>
              <w:highlight w:val="none"/>
            </w:rPr>
            <w:fldChar w:fldCharType="separate"/>
          </w:r>
          <w:r>
            <w:rPr>
              <w:rFonts w:hint="eastAsia"/>
              <w:szCs w:val="24"/>
              <w:highlight w:val="none"/>
            </w:rPr>
            <w:t>4-2 近年完成的类似设计项目情况表</w:t>
          </w:r>
          <w:r>
            <w:rPr>
              <w:highlight w:val="none"/>
            </w:rPr>
            <w:tab/>
          </w:r>
          <w:r>
            <w:rPr>
              <w:highlight w:val="none"/>
            </w:rPr>
            <w:fldChar w:fldCharType="begin"/>
          </w:r>
          <w:r>
            <w:rPr>
              <w:highlight w:val="none"/>
            </w:rPr>
            <w:instrText xml:space="preserve"> PAGEREF _Toc3305 \h </w:instrText>
          </w:r>
          <w:r>
            <w:rPr>
              <w:highlight w:val="none"/>
            </w:rPr>
            <w:fldChar w:fldCharType="separate"/>
          </w:r>
          <w:r>
            <w:rPr>
              <w:highlight w:val="none"/>
            </w:rPr>
            <w:t>213</w:t>
          </w:r>
          <w:r>
            <w:rPr>
              <w:highlight w:val="none"/>
            </w:rPr>
            <w:fldChar w:fldCharType="end"/>
          </w:r>
          <w:r>
            <w:rPr>
              <w:color w:val="auto"/>
              <w:highlight w:val="none"/>
            </w:rPr>
            <w:fldChar w:fldCharType="end"/>
          </w:r>
        </w:p>
        <w:p w14:paraId="3E2581B0">
          <w:pPr>
            <w:pStyle w:val="19"/>
            <w:tabs>
              <w:tab w:val="right" w:leader="dot" w:pos="8306"/>
            </w:tabs>
            <w:rPr>
              <w:highlight w:val="none"/>
            </w:rPr>
          </w:pPr>
          <w:r>
            <w:rPr>
              <w:color w:val="auto"/>
              <w:highlight w:val="none"/>
            </w:rPr>
            <w:fldChar w:fldCharType="begin"/>
          </w:r>
          <w:r>
            <w:rPr>
              <w:highlight w:val="none"/>
            </w:rPr>
            <w:instrText xml:space="preserve"> HYPERLINK \l _Toc10132 </w:instrText>
          </w:r>
          <w:r>
            <w:rPr>
              <w:highlight w:val="none"/>
            </w:rPr>
            <w:fldChar w:fldCharType="separate"/>
          </w:r>
          <w:r>
            <w:rPr>
              <w:rFonts w:hint="eastAsia"/>
              <w:szCs w:val="24"/>
              <w:highlight w:val="none"/>
            </w:rPr>
            <w:t>5-1 近年完成的类似施工项目汇总表</w:t>
          </w:r>
          <w:r>
            <w:rPr>
              <w:highlight w:val="none"/>
            </w:rPr>
            <w:tab/>
          </w:r>
          <w:r>
            <w:rPr>
              <w:highlight w:val="none"/>
            </w:rPr>
            <w:fldChar w:fldCharType="begin"/>
          </w:r>
          <w:r>
            <w:rPr>
              <w:highlight w:val="none"/>
            </w:rPr>
            <w:instrText xml:space="preserve"> PAGEREF _Toc10132 \h </w:instrText>
          </w:r>
          <w:r>
            <w:rPr>
              <w:highlight w:val="none"/>
            </w:rPr>
            <w:fldChar w:fldCharType="separate"/>
          </w:r>
          <w:r>
            <w:rPr>
              <w:highlight w:val="none"/>
            </w:rPr>
            <w:t>214</w:t>
          </w:r>
          <w:r>
            <w:rPr>
              <w:highlight w:val="none"/>
            </w:rPr>
            <w:fldChar w:fldCharType="end"/>
          </w:r>
          <w:r>
            <w:rPr>
              <w:color w:val="auto"/>
              <w:highlight w:val="none"/>
            </w:rPr>
            <w:fldChar w:fldCharType="end"/>
          </w:r>
        </w:p>
        <w:p w14:paraId="030E3141">
          <w:pPr>
            <w:pStyle w:val="19"/>
            <w:tabs>
              <w:tab w:val="right" w:leader="dot" w:pos="8306"/>
            </w:tabs>
            <w:rPr>
              <w:highlight w:val="none"/>
            </w:rPr>
          </w:pPr>
          <w:r>
            <w:rPr>
              <w:color w:val="auto"/>
              <w:highlight w:val="none"/>
            </w:rPr>
            <w:fldChar w:fldCharType="begin"/>
          </w:r>
          <w:r>
            <w:rPr>
              <w:highlight w:val="none"/>
            </w:rPr>
            <w:instrText xml:space="preserve"> HYPERLINK \l _Toc12603 </w:instrText>
          </w:r>
          <w:r>
            <w:rPr>
              <w:highlight w:val="none"/>
            </w:rPr>
            <w:fldChar w:fldCharType="separate"/>
          </w:r>
          <w:r>
            <w:rPr>
              <w:rFonts w:hint="eastAsia"/>
              <w:szCs w:val="24"/>
              <w:highlight w:val="none"/>
            </w:rPr>
            <w:t>5-2 近年完成的类似施工项目情况表</w:t>
          </w:r>
          <w:r>
            <w:rPr>
              <w:highlight w:val="none"/>
            </w:rPr>
            <w:tab/>
          </w:r>
          <w:r>
            <w:rPr>
              <w:highlight w:val="none"/>
            </w:rPr>
            <w:fldChar w:fldCharType="begin"/>
          </w:r>
          <w:r>
            <w:rPr>
              <w:highlight w:val="none"/>
            </w:rPr>
            <w:instrText xml:space="preserve"> PAGEREF _Toc12603 \h </w:instrText>
          </w:r>
          <w:r>
            <w:rPr>
              <w:highlight w:val="none"/>
            </w:rPr>
            <w:fldChar w:fldCharType="separate"/>
          </w:r>
          <w:r>
            <w:rPr>
              <w:highlight w:val="none"/>
            </w:rPr>
            <w:t>215</w:t>
          </w:r>
          <w:r>
            <w:rPr>
              <w:highlight w:val="none"/>
            </w:rPr>
            <w:fldChar w:fldCharType="end"/>
          </w:r>
          <w:r>
            <w:rPr>
              <w:color w:val="auto"/>
              <w:highlight w:val="none"/>
            </w:rPr>
            <w:fldChar w:fldCharType="end"/>
          </w:r>
        </w:p>
        <w:p w14:paraId="0266112C">
          <w:pPr>
            <w:pStyle w:val="19"/>
            <w:tabs>
              <w:tab w:val="right" w:leader="dot" w:pos="8306"/>
            </w:tabs>
            <w:rPr>
              <w:highlight w:val="none"/>
            </w:rPr>
          </w:pPr>
          <w:r>
            <w:rPr>
              <w:color w:val="auto"/>
              <w:highlight w:val="none"/>
            </w:rPr>
            <w:fldChar w:fldCharType="begin"/>
          </w:r>
          <w:r>
            <w:rPr>
              <w:highlight w:val="none"/>
            </w:rPr>
            <w:instrText xml:space="preserve"> HYPERLINK \l _Toc8704 </w:instrText>
          </w:r>
          <w:r>
            <w:rPr>
              <w:highlight w:val="none"/>
            </w:rPr>
            <w:fldChar w:fldCharType="separate"/>
          </w:r>
          <w:r>
            <w:rPr>
              <w:rFonts w:hint="eastAsia"/>
              <w:szCs w:val="24"/>
              <w:highlight w:val="none"/>
            </w:rPr>
            <w:t>6-1正在实施的和新承接的项目汇总表</w:t>
          </w:r>
          <w:r>
            <w:rPr>
              <w:highlight w:val="none"/>
            </w:rPr>
            <w:tab/>
          </w:r>
          <w:r>
            <w:rPr>
              <w:highlight w:val="none"/>
            </w:rPr>
            <w:fldChar w:fldCharType="begin"/>
          </w:r>
          <w:r>
            <w:rPr>
              <w:highlight w:val="none"/>
            </w:rPr>
            <w:instrText xml:space="preserve"> PAGEREF _Toc8704 \h </w:instrText>
          </w:r>
          <w:r>
            <w:rPr>
              <w:highlight w:val="none"/>
            </w:rPr>
            <w:fldChar w:fldCharType="separate"/>
          </w:r>
          <w:r>
            <w:rPr>
              <w:highlight w:val="none"/>
            </w:rPr>
            <w:t>216</w:t>
          </w:r>
          <w:r>
            <w:rPr>
              <w:highlight w:val="none"/>
            </w:rPr>
            <w:fldChar w:fldCharType="end"/>
          </w:r>
          <w:r>
            <w:rPr>
              <w:color w:val="auto"/>
              <w:highlight w:val="none"/>
            </w:rPr>
            <w:fldChar w:fldCharType="end"/>
          </w:r>
        </w:p>
        <w:p w14:paraId="2A8F0078">
          <w:pPr>
            <w:pStyle w:val="19"/>
            <w:tabs>
              <w:tab w:val="right" w:leader="dot" w:pos="8306"/>
            </w:tabs>
            <w:rPr>
              <w:highlight w:val="none"/>
            </w:rPr>
          </w:pPr>
          <w:r>
            <w:rPr>
              <w:color w:val="auto"/>
              <w:highlight w:val="none"/>
            </w:rPr>
            <w:fldChar w:fldCharType="begin"/>
          </w:r>
          <w:r>
            <w:rPr>
              <w:highlight w:val="none"/>
            </w:rPr>
            <w:instrText xml:space="preserve"> HYPERLINK \l _Toc5743 </w:instrText>
          </w:r>
          <w:r>
            <w:rPr>
              <w:highlight w:val="none"/>
            </w:rPr>
            <w:fldChar w:fldCharType="separate"/>
          </w:r>
          <w:r>
            <w:rPr>
              <w:rFonts w:hint="eastAsia"/>
              <w:szCs w:val="24"/>
              <w:highlight w:val="none"/>
            </w:rPr>
            <w:t>6-2 正在实施的和新承接的项目情况表</w:t>
          </w:r>
          <w:r>
            <w:rPr>
              <w:highlight w:val="none"/>
            </w:rPr>
            <w:tab/>
          </w:r>
          <w:r>
            <w:rPr>
              <w:highlight w:val="none"/>
            </w:rPr>
            <w:fldChar w:fldCharType="begin"/>
          </w:r>
          <w:r>
            <w:rPr>
              <w:highlight w:val="none"/>
            </w:rPr>
            <w:instrText xml:space="preserve"> PAGEREF _Toc5743 \h </w:instrText>
          </w:r>
          <w:r>
            <w:rPr>
              <w:highlight w:val="none"/>
            </w:rPr>
            <w:fldChar w:fldCharType="separate"/>
          </w:r>
          <w:r>
            <w:rPr>
              <w:highlight w:val="none"/>
            </w:rPr>
            <w:t>217</w:t>
          </w:r>
          <w:r>
            <w:rPr>
              <w:highlight w:val="none"/>
            </w:rPr>
            <w:fldChar w:fldCharType="end"/>
          </w:r>
          <w:r>
            <w:rPr>
              <w:color w:val="auto"/>
              <w:highlight w:val="none"/>
            </w:rPr>
            <w:fldChar w:fldCharType="end"/>
          </w:r>
        </w:p>
        <w:p w14:paraId="4EEF7D55">
          <w:pPr>
            <w:pStyle w:val="19"/>
            <w:tabs>
              <w:tab w:val="right" w:leader="dot" w:pos="8306"/>
            </w:tabs>
            <w:rPr>
              <w:highlight w:val="none"/>
            </w:rPr>
          </w:pPr>
          <w:r>
            <w:rPr>
              <w:color w:val="auto"/>
              <w:highlight w:val="none"/>
            </w:rPr>
            <w:fldChar w:fldCharType="begin"/>
          </w:r>
          <w:r>
            <w:rPr>
              <w:highlight w:val="none"/>
            </w:rPr>
            <w:instrText xml:space="preserve"> HYPERLINK \l _Toc13487 </w:instrText>
          </w:r>
          <w:r>
            <w:rPr>
              <w:highlight w:val="none"/>
            </w:rPr>
            <w:fldChar w:fldCharType="separate"/>
          </w:r>
          <w:r>
            <w:rPr>
              <w:rFonts w:hint="eastAsia"/>
              <w:szCs w:val="24"/>
              <w:highlight w:val="none"/>
            </w:rPr>
            <w:t>7-1 企业信誉声明</w:t>
          </w:r>
          <w:r>
            <w:rPr>
              <w:highlight w:val="none"/>
            </w:rPr>
            <w:tab/>
          </w:r>
          <w:r>
            <w:rPr>
              <w:highlight w:val="none"/>
            </w:rPr>
            <w:fldChar w:fldCharType="begin"/>
          </w:r>
          <w:r>
            <w:rPr>
              <w:highlight w:val="none"/>
            </w:rPr>
            <w:instrText xml:space="preserve"> PAGEREF _Toc13487 \h </w:instrText>
          </w:r>
          <w:r>
            <w:rPr>
              <w:highlight w:val="none"/>
            </w:rPr>
            <w:fldChar w:fldCharType="separate"/>
          </w:r>
          <w:r>
            <w:rPr>
              <w:highlight w:val="none"/>
            </w:rPr>
            <w:t>218</w:t>
          </w:r>
          <w:r>
            <w:rPr>
              <w:highlight w:val="none"/>
            </w:rPr>
            <w:fldChar w:fldCharType="end"/>
          </w:r>
          <w:r>
            <w:rPr>
              <w:color w:val="auto"/>
              <w:highlight w:val="none"/>
            </w:rPr>
            <w:fldChar w:fldCharType="end"/>
          </w:r>
        </w:p>
        <w:p w14:paraId="57775406">
          <w:pPr>
            <w:pStyle w:val="19"/>
            <w:tabs>
              <w:tab w:val="right" w:leader="dot" w:pos="8306"/>
            </w:tabs>
            <w:rPr>
              <w:highlight w:val="none"/>
            </w:rPr>
          </w:pPr>
          <w:r>
            <w:rPr>
              <w:color w:val="auto"/>
              <w:highlight w:val="none"/>
            </w:rPr>
            <w:fldChar w:fldCharType="begin"/>
          </w:r>
          <w:r>
            <w:rPr>
              <w:highlight w:val="none"/>
            </w:rPr>
            <w:instrText xml:space="preserve"> HYPERLINK \l _Toc13543 </w:instrText>
          </w:r>
          <w:r>
            <w:rPr>
              <w:highlight w:val="none"/>
            </w:rPr>
            <w:fldChar w:fldCharType="separate"/>
          </w:r>
          <w:r>
            <w:rPr>
              <w:rFonts w:hint="eastAsia"/>
              <w:szCs w:val="24"/>
              <w:highlight w:val="none"/>
            </w:rPr>
            <w:t>7</w:t>
          </w:r>
          <w:r>
            <w:rPr>
              <w:szCs w:val="24"/>
              <w:highlight w:val="none"/>
            </w:rPr>
            <w:t xml:space="preserve">-2 </w:t>
          </w:r>
          <w:r>
            <w:rPr>
              <w:rFonts w:hint="eastAsia"/>
              <w:szCs w:val="21"/>
              <w:highlight w:val="none"/>
            </w:rPr>
            <w:t>严重违法失信企业</w:t>
          </w:r>
          <w:r>
            <w:rPr>
              <w:rFonts w:hint="eastAsia"/>
              <w:szCs w:val="24"/>
              <w:highlight w:val="none"/>
            </w:rPr>
            <w:t>查询结果</w:t>
          </w:r>
          <w:r>
            <w:rPr>
              <w:highlight w:val="none"/>
            </w:rPr>
            <w:tab/>
          </w:r>
          <w:r>
            <w:rPr>
              <w:highlight w:val="none"/>
            </w:rPr>
            <w:fldChar w:fldCharType="begin"/>
          </w:r>
          <w:r>
            <w:rPr>
              <w:highlight w:val="none"/>
            </w:rPr>
            <w:instrText xml:space="preserve"> PAGEREF _Toc13543 \h </w:instrText>
          </w:r>
          <w:r>
            <w:rPr>
              <w:highlight w:val="none"/>
            </w:rPr>
            <w:fldChar w:fldCharType="separate"/>
          </w:r>
          <w:r>
            <w:rPr>
              <w:highlight w:val="none"/>
            </w:rPr>
            <w:t>219</w:t>
          </w:r>
          <w:r>
            <w:rPr>
              <w:highlight w:val="none"/>
            </w:rPr>
            <w:fldChar w:fldCharType="end"/>
          </w:r>
          <w:r>
            <w:rPr>
              <w:color w:val="auto"/>
              <w:highlight w:val="none"/>
            </w:rPr>
            <w:fldChar w:fldCharType="end"/>
          </w:r>
        </w:p>
        <w:p w14:paraId="4665CF0B">
          <w:pPr>
            <w:pStyle w:val="19"/>
            <w:tabs>
              <w:tab w:val="right" w:leader="dot" w:pos="8306"/>
            </w:tabs>
            <w:rPr>
              <w:highlight w:val="none"/>
            </w:rPr>
          </w:pPr>
          <w:r>
            <w:rPr>
              <w:color w:val="auto"/>
              <w:highlight w:val="none"/>
            </w:rPr>
            <w:fldChar w:fldCharType="begin"/>
          </w:r>
          <w:r>
            <w:rPr>
              <w:highlight w:val="none"/>
            </w:rPr>
            <w:instrText xml:space="preserve"> HYPERLINK \l _Toc16949 </w:instrText>
          </w:r>
          <w:r>
            <w:rPr>
              <w:highlight w:val="none"/>
            </w:rPr>
            <w:fldChar w:fldCharType="separate"/>
          </w:r>
          <w:r>
            <w:rPr>
              <w:rFonts w:hint="eastAsia"/>
              <w:szCs w:val="24"/>
              <w:highlight w:val="none"/>
            </w:rPr>
            <w:t>7-3 失信被执行人</w:t>
          </w:r>
          <w:r>
            <w:rPr>
              <w:szCs w:val="24"/>
              <w:highlight w:val="none"/>
            </w:rPr>
            <w:t>查询结果</w:t>
          </w:r>
          <w:r>
            <w:rPr>
              <w:highlight w:val="none"/>
            </w:rPr>
            <w:tab/>
          </w:r>
          <w:r>
            <w:rPr>
              <w:highlight w:val="none"/>
            </w:rPr>
            <w:fldChar w:fldCharType="begin"/>
          </w:r>
          <w:r>
            <w:rPr>
              <w:highlight w:val="none"/>
            </w:rPr>
            <w:instrText xml:space="preserve"> PAGEREF _Toc16949 \h </w:instrText>
          </w:r>
          <w:r>
            <w:rPr>
              <w:highlight w:val="none"/>
            </w:rPr>
            <w:fldChar w:fldCharType="separate"/>
          </w:r>
          <w:r>
            <w:rPr>
              <w:highlight w:val="none"/>
            </w:rPr>
            <w:t>220</w:t>
          </w:r>
          <w:r>
            <w:rPr>
              <w:highlight w:val="none"/>
            </w:rPr>
            <w:fldChar w:fldCharType="end"/>
          </w:r>
          <w:r>
            <w:rPr>
              <w:color w:val="auto"/>
              <w:highlight w:val="none"/>
            </w:rPr>
            <w:fldChar w:fldCharType="end"/>
          </w:r>
        </w:p>
        <w:p w14:paraId="16464673">
          <w:pPr>
            <w:pStyle w:val="19"/>
            <w:tabs>
              <w:tab w:val="right" w:leader="dot" w:pos="8306"/>
            </w:tabs>
            <w:rPr>
              <w:highlight w:val="none"/>
            </w:rPr>
          </w:pPr>
          <w:r>
            <w:rPr>
              <w:color w:val="auto"/>
              <w:highlight w:val="none"/>
            </w:rPr>
            <w:fldChar w:fldCharType="begin"/>
          </w:r>
          <w:r>
            <w:rPr>
              <w:highlight w:val="none"/>
            </w:rPr>
            <w:instrText xml:space="preserve"> HYPERLINK \l _Toc28569 </w:instrText>
          </w:r>
          <w:r>
            <w:rPr>
              <w:highlight w:val="none"/>
            </w:rPr>
            <w:fldChar w:fldCharType="separate"/>
          </w:r>
          <w:r>
            <w:rPr>
              <w:rFonts w:hint="eastAsia"/>
              <w:szCs w:val="24"/>
              <w:highlight w:val="none"/>
            </w:rPr>
            <w:t>7-4无行贿犯罪行为的声明</w:t>
          </w:r>
          <w:r>
            <w:rPr>
              <w:highlight w:val="none"/>
            </w:rPr>
            <w:tab/>
          </w:r>
          <w:r>
            <w:rPr>
              <w:highlight w:val="none"/>
            </w:rPr>
            <w:fldChar w:fldCharType="begin"/>
          </w:r>
          <w:r>
            <w:rPr>
              <w:highlight w:val="none"/>
            </w:rPr>
            <w:instrText xml:space="preserve"> PAGEREF _Toc28569 \h </w:instrText>
          </w:r>
          <w:r>
            <w:rPr>
              <w:highlight w:val="none"/>
            </w:rPr>
            <w:fldChar w:fldCharType="separate"/>
          </w:r>
          <w:r>
            <w:rPr>
              <w:highlight w:val="none"/>
            </w:rPr>
            <w:t>221</w:t>
          </w:r>
          <w:r>
            <w:rPr>
              <w:highlight w:val="none"/>
            </w:rPr>
            <w:fldChar w:fldCharType="end"/>
          </w:r>
          <w:r>
            <w:rPr>
              <w:color w:val="auto"/>
              <w:highlight w:val="none"/>
            </w:rPr>
            <w:fldChar w:fldCharType="end"/>
          </w:r>
        </w:p>
        <w:p w14:paraId="3F02610E">
          <w:pPr>
            <w:pStyle w:val="19"/>
            <w:tabs>
              <w:tab w:val="right" w:leader="dot" w:pos="8306"/>
            </w:tabs>
            <w:rPr>
              <w:highlight w:val="none"/>
            </w:rPr>
          </w:pPr>
          <w:r>
            <w:rPr>
              <w:color w:val="auto"/>
              <w:highlight w:val="none"/>
            </w:rPr>
            <w:fldChar w:fldCharType="begin"/>
          </w:r>
          <w:r>
            <w:rPr>
              <w:highlight w:val="none"/>
            </w:rPr>
            <w:instrText xml:space="preserve"> HYPERLINK \l _Toc10739 </w:instrText>
          </w:r>
          <w:r>
            <w:rPr>
              <w:highlight w:val="none"/>
            </w:rPr>
            <w:fldChar w:fldCharType="separate"/>
          </w:r>
          <w:r>
            <w:rPr>
              <w:rFonts w:hint="eastAsia"/>
              <w:szCs w:val="24"/>
              <w:highlight w:val="none"/>
            </w:rPr>
            <w:t>7-5 近年发生的诉讼和仲裁情况</w:t>
          </w:r>
          <w:r>
            <w:rPr>
              <w:highlight w:val="none"/>
            </w:rPr>
            <w:tab/>
          </w:r>
          <w:r>
            <w:rPr>
              <w:highlight w:val="none"/>
            </w:rPr>
            <w:fldChar w:fldCharType="begin"/>
          </w:r>
          <w:r>
            <w:rPr>
              <w:highlight w:val="none"/>
            </w:rPr>
            <w:instrText xml:space="preserve"> PAGEREF _Toc10739 \h </w:instrText>
          </w:r>
          <w:r>
            <w:rPr>
              <w:highlight w:val="none"/>
            </w:rPr>
            <w:fldChar w:fldCharType="separate"/>
          </w:r>
          <w:r>
            <w:rPr>
              <w:highlight w:val="none"/>
            </w:rPr>
            <w:t>222</w:t>
          </w:r>
          <w:r>
            <w:rPr>
              <w:highlight w:val="none"/>
            </w:rPr>
            <w:fldChar w:fldCharType="end"/>
          </w:r>
          <w:r>
            <w:rPr>
              <w:color w:val="auto"/>
              <w:highlight w:val="none"/>
            </w:rPr>
            <w:fldChar w:fldCharType="end"/>
          </w:r>
        </w:p>
        <w:p w14:paraId="6F549782">
          <w:pPr>
            <w:pStyle w:val="19"/>
            <w:tabs>
              <w:tab w:val="right" w:leader="dot" w:pos="8306"/>
            </w:tabs>
            <w:rPr>
              <w:highlight w:val="none"/>
            </w:rPr>
          </w:pPr>
          <w:r>
            <w:rPr>
              <w:color w:val="auto"/>
              <w:highlight w:val="none"/>
            </w:rPr>
            <w:fldChar w:fldCharType="begin"/>
          </w:r>
          <w:r>
            <w:rPr>
              <w:highlight w:val="none"/>
            </w:rPr>
            <w:instrText xml:space="preserve"> HYPERLINK \l _Toc11266 </w:instrText>
          </w:r>
          <w:r>
            <w:rPr>
              <w:highlight w:val="none"/>
            </w:rPr>
            <w:fldChar w:fldCharType="separate"/>
          </w:r>
          <w:r>
            <w:rPr>
              <w:rFonts w:hint="eastAsia"/>
              <w:szCs w:val="24"/>
              <w:highlight w:val="none"/>
            </w:rPr>
            <w:t>7-6 近年投标人工程获质量奖项</w:t>
          </w:r>
          <w:r>
            <w:rPr>
              <w:szCs w:val="24"/>
              <w:highlight w:val="none"/>
            </w:rPr>
            <w:t>情况表</w:t>
          </w:r>
          <w:r>
            <w:rPr>
              <w:highlight w:val="none"/>
            </w:rPr>
            <w:tab/>
          </w:r>
          <w:r>
            <w:rPr>
              <w:highlight w:val="none"/>
            </w:rPr>
            <w:fldChar w:fldCharType="begin"/>
          </w:r>
          <w:r>
            <w:rPr>
              <w:highlight w:val="none"/>
            </w:rPr>
            <w:instrText xml:space="preserve"> PAGEREF _Toc11266 \h </w:instrText>
          </w:r>
          <w:r>
            <w:rPr>
              <w:highlight w:val="none"/>
            </w:rPr>
            <w:fldChar w:fldCharType="separate"/>
          </w:r>
          <w:r>
            <w:rPr>
              <w:highlight w:val="none"/>
            </w:rPr>
            <w:t>223</w:t>
          </w:r>
          <w:r>
            <w:rPr>
              <w:highlight w:val="none"/>
            </w:rPr>
            <w:fldChar w:fldCharType="end"/>
          </w:r>
          <w:r>
            <w:rPr>
              <w:color w:val="auto"/>
              <w:highlight w:val="none"/>
            </w:rPr>
            <w:fldChar w:fldCharType="end"/>
          </w:r>
        </w:p>
        <w:p w14:paraId="61D3D619">
          <w:pPr>
            <w:pStyle w:val="19"/>
            <w:tabs>
              <w:tab w:val="right" w:leader="dot" w:pos="8306"/>
            </w:tabs>
            <w:rPr>
              <w:highlight w:val="none"/>
            </w:rPr>
          </w:pPr>
          <w:r>
            <w:rPr>
              <w:color w:val="auto"/>
              <w:highlight w:val="none"/>
            </w:rPr>
            <w:fldChar w:fldCharType="begin"/>
          </w:r>
          <w:r>
            <w:rPr>
              <w:highlight w:val="none"/>
            </w:rPr>
            <w:instrText xml:space="preserve"> HYPERLINK \l _Toc26734 </w:instrText>
          </w:r>
          <w:r>
            <w:rPr>
              <w:highlight w:val="none"/>
            </w:rPr>
            <w:fldChar w:fldCharType="separate"/>
          </w:r>
          <w:r>
            <w:rPr>
              <w:rFonts w:hint="eastAsia"/>
              <w:szCs w:val="24"/>
              <w:highlight w:val="none"/>
            </w:rPr>
            <w:t>7-7 近年项目负责人已完工程获质量奖项</w:t>
          </w:r>
          <w:r>
            <w:rPr>
              <w:szCs w:val="24"/>
              <w:highlight w:val="none"/>
            </w:rPr>
            <w:t>情况表</w:t>
          </w:r>
          <w:r>
            <w:rPr>
              <w:highlight w:val="none"/>
            </w:rPr>
            <w:tab/>
          </w:r>
          <w:r>
            <w:rPr>
              <w:highlight w:val="none"/>
            </w:rPr>
            <w:fldChar w:fldCharType="begin"/>
          </w:r>
          <w:r>
            <w:rPr>
              <w:highlight w:val="none"/>
            </w:rPr>
            <w:instrText xml:space="preserve"> PAGEREF _Toc26734 \h </w:instrText>
          </w:r>
          <w:r>
            <w:rPr>
              <w:highlight w:val="none"/>
            </w:rPr>
            <w:fldChar w:fldCharType="separate"/>
          </w:r>
          <w:r>
            <w:rPr>
              <w:highlight w:val="none"/>
            </w:rPr>
            <w:t>224</w:t>
          </w:r>
          <w:r>
            <w:rPr>
              <w:highlight w:val="none"/>
            </w:rPr>
            <w:fldChar w:fldCharType="end"/>
          </w:r>
          <w:r>
            <w:rPr>
              <w:color w:val="auto"/>
              <w:highlight w:val="none"/>
            </w:rPr>
            <w:fldChar w:fldCharType="end"/>
          </w:r>
        </w:p>
        <w:p w14:paraId="32D68DB8">
          <w:pPr>
            <w:pStyle w:val="31"/>
            <w:tabs>
              <w:tab w:val="right" w:leader="dot" w:pos="8306"/>
            </w:tabs>
            <w:rPr>
              <w:highlight w:val="none"/>
            </w:rPr>
          </w:pPr>
          <w:r>
            <w:rPr>
              <w:color w:val="auto"/>
              <w:highlight w:val="none"/>
            </w:rPr>
            <w:fldChar w:fldCharType="begin"/>
          </w:r>
          <w:r>
            <w:rPr>
              <w:highlight w:val="none"/>
            </w:rPr>
            <w:instrText xml:space="preserve"> HYPERLINK \l _Toc10638 </w:instrText>
          </w:r>
          <w:r>
            <w:rPr>
              <w:highlight w:val="none"/>
            </w:rPr>
            <w:fldChar w:fldCharType="separate"/>
          </w:r>
          <w:r>
            <w:rPr>
              <w:rFonts w:hint="eastAsia"/>
              <w:szCs w:val="28"/>
              <w:highlight w:val="none"/>
            </w:rPr>
            <w:t>十二、其他资料</w:t>
          </w:r>
          <w:r>
            <w:rPr>
              <w:highlight w:val="none"/>
            </w:rPr>
            <w:tab/>
          </w:r>
          <w:r>
            <w:rPr>
              <w:highlight w:val="none"/>
            </w:rPr>
            <w:fldChar w:fldCharType="begin"/>
          </w:r>
          <w:r>
            <w:rPr>
              <w:highlight w:val="none"/>
            </w:rPr>
            <w:instrText xml:space="preserve"> PAGEREF _Toc10638 \h </w:instrText>
          </w:r>
          <w:r>
            <w:rPr>
              <w:highlight w:val="none"/>
            </w:rPr>
            <w:fldChar w:fldCharType="separate"/>
          </w:r>
          <w:r>
            <w:rPr>
              <w:highlight w:val="none"/>
            </w:rPr>
            <w:t>225</w:t>
          </w:r>
          <w:r>
            <w:rPr>
              <w:highlight w:val="none"/>
            </w:rPr>
            <w:fldChar w:fldCharType="end"/>
          </w:r>
          <w:r>
            <w:rPr>
              <w:color w:val="auto"/>
              <w:highlight w:val="none"/>
            </w:rPr>
            <w:fldChar w:fldCharType="end"/>
          </w:r>
        </w:p>
        <w:p w14:paraId="182D342F">
          <w:pPr>
            <w:pStyle w:val="31"/>
            <w:tabs>
              <w:tab w:val="right" w:leader="dot" w:pos="8306"/>
            </w:tabs>
            <w:rPr>
              <w:highlight w:val="none"/>
            </w:rPr>
          </w:pPr>
          <w:r>
            <w:rPr>
              <w:color w:val="auto"/>
              <w:highlight w:val="none"/>
            </w:rPr>
            <w:fldChar w:fldCharType="begin"/>
          </w:r>
          <w:r>
            <w:rPr>
              <w:highlight w:val="none"/>
            </w:rPr>
            <w:instrText xml:space="preserve"> HYPERLINK \l _Toc13459 </w:instrText>
          </w:r>
          <w:r>
            <w:rPr>
              <w:highlight w:val="none"/>
            </w:rPr>
            <w:fldChar w:fldCharType="separate"/>
          </w:r>
          <w:r>
            <w:rPr>
              <w:rFonts w:hint="eastAsia" w:ascii="Arial" w:hAnsi="Arial" w:eastAsia="黑体" w:cs="宋体"/>
              <w:bCs w:val="0"/>
              <w:kern w:val="2"/>
              <w:szCs w:val="28"/>
              <w:highlight w:val="none"/>
              <w:lang w:val="en-US" w:eastAsia="zh-CN" w:bidi="ar-SA"/>
            </w:rPr>
            <w:t>十三、中小企业声明函</w:t>
          </w:r>
          <w:r>
            <w:rPr>
              <w:highlight w:val="none"/>
            </w:rPr>
            <w:tab/>
          </w:r>
          <w:r>
            <w:rPr>
              <w:highlight w:val="none"/>
            </w:rPr>
            <w:fldChar w:fldCharType="begin"/>
          </w:r>
          <w:r>
            <w:rPr>
              <w:highlight w:val="none"/>
            </w:rPr>
            <w:instrText xml:space="preserve"> PAGEREF _Toc13459 \h </w:instrText>
          </w:r>
          <w:r>
            <w:rPr>
              <w:highlight w:val="none"/>
            </w:rPr>
            <w:fldChar w:fldCharType="separate"/>
          </w:r>
          <w:r>
            <w:rPr>
              <w:highlight w:val="none"/>
            </w:rPr>
            <w:t>228</w:t>
          </w:r>
          <w:r>
            <w:rPr>
              <w:highlight w:val="none"/>
            </w:rPr>
            <w:fldChar w:fldCharType="end"/>
          </w:r>
          <w:r>
            <w:rPr>
              <w:color w:val="auto"/>
              <w:highlight w:val="none"/>
            </w:rPr>
            <w:fldChar w:fldCharType="end"/>
          </w:r>
        </w:p>
        <w:p w14:paraId="32E365A1">
          <w:pPr>
            <w:pStyle w:val="27"/>
            <w:tabs>
              <w:tab w:val="right" w:leader="dot" w:pos="8306"/>
            </w:tabs>
            <w:rPr>
              <w:highlight w:val="none"/>
            </w:rPr>
          </w:pPr>
          <w:r>
            <w:rPr>
              <w:color w:val="auto"/>
              <w:highlight w:val="none"/>
            </w:rPr>
            <w:fldChar w:fldCharType="begin"/>
          </w:r>
          <w:r>
            <w:rPr>
              <w:highlight w:val="none"/>
            </w:rPr>
            <w:instrText xml:space="preserve"> HYPERLINK \l _Toc1703 </w:instrText>
          </w:r>
          <w:r>
            <w:rPr>
              <w:highlight w:val="none"/>
            </w:rPr>
            <w:fldChar w:fldCharType="separate"/>
          </w:r>
          <w:r>
            <w:rPr>
              <w:rFonts w:hint="eastAsia"/>
              <w:highlight w:val="none"/>
            </w:rPr>
            <w:t>第八章  定标办法（参考）</w:t>
          </w:r>
          <w:r>
            <w:rPr>
              <w:highlight w:val="none"/>
            </w:rPr>
            <w:tab/>
          </w:r>
          <w:r>
            <w:rPr>
              <w:highlight w:val="none"/>
            </w:rPr>
            <w:fldChar w:fldCharType="begin"/>
          </w:r>
          <w:r>
            <w:rPr>
              <w:highlight w:val="none"/>
            </w:rPr>
            <w:instrText xml:space="preserve"> PAGEREF _Toc1703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16F697E8">
          <w:pPr>
            <w:pStyle w:val="31"/>
            <w:tabs>
              <w:tab w:val="right" w:leader="dot" w:pos="8306"/>
            </w:tabs>
            <w:rPr>
              <w:highlight w:val="none"/>
            </w:rPr>
          </w:pPr>
          <w:r>
            <w:rPr>
              <w:color w:val="auto"/>
              <w:highlight w:val="none"/>
            </w:rPr>
            <w:fldChar w:fldCharType="begin"/>
          </w:r>
          <w:r>
            <w:rPr>
              <w:highlight w:val="none"/>
            </w:rPr>
            <w:instrText xml:space="preserve"> HYPERLINK \l _Toc14943 </w:instrText>
          </w:r>
          <w:r>
            <w:rPr>
              <w:highlight w:val="none"/>
            </w:rPr>
            <w:fldChar w:fldCharType="separate"/>
          </w:r>
          <w:r>
            <w:rPr>
              <w:rFonts w:hint="eastAsia"/>
              <w:highlight w:val="none"/>
            </w:rPr>
            <w:t>1. 定标方法</w:t>
          </w:r>
          <w:r>
            <w:rPr>
              <w:highlight w:val="none"/>
            </w:rPr>
            <w:tab/>
          </w:r>
          <w:r>
            <w:rPr>
              <w:highlight w:val="none"/>
            </w:rPr>
            <w:fldChar w:fldCharType="begin"/>
          </w:r>
          <w:r>
            <w:rPr>
              <w:highlight w:val="none"/>
            </w:rPr>
            <w:instrText xml:space="preserve"> PAGEREF _Toc14943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2C463AC9">
          <w:pPr>
            <w:pStyle w:val="31"/>
            <w:tabs>
              <w:tab w:val="right" w:leader="dot" w:pos="8306"/>
            </w:tabs>
            <w:rPr>
              <w:highlight w:val="none"/>
            </w:rPr>
          </w:pPr>
          <w:r>
            <w:rPr>
              <w:color w:val="auto"/>
              <w:highlight w:val="none"/>
            </w:rPr>
            <w:fldChar w:fldCharType="begin"/>
          </w:r>
          <w:r>
            <w:rPr>
              <w:highlight w:val="none"/>
            </w:rPr>
            <w:instrText xml:space="preserve"> HYPERLINK \l _Toc25201 </w:instrText>
          </w:r>
          <w:r>
            <w:rPr>
              <w:highlight w:val="none"/>
            </w:rPr>
            <w:fldChar w:fldCharType="separate"/>
          </w:r>
          <w:r>
            <w:rPr>
              <w:rFonts w:hint="eastAsia"/>
              <w:highlight w:val="none"/>
            </w:rPr>
            <w:t>2. 定标标准</w:t>
          </w:r>
          <w:r>
            <w:rPr>
              <w:highlight w:val="none"/>
            </w:rPr>
            <w:tab/>
          </w:r>
          <w:r>
            <w:rPr>
              <w:highlight w:val="none"/>
            </w:rPr>
            <w:fldChar w:fldCharType="begin"/>
          </w:r>
          <w:r>
            <w:rPr>
              <w:highlight w:val="none"/>
            </w:rPr>
            <w:instrText xml:space="preserve"> PAGEREF _Toc25201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628AC3F8">
          <w:pPr>
            <w:pStyle w:val="19"/>
            <w:tabs>
              <w:tab w:val="right" w:leader="dot" w:pos="8306"/>
            </w:tabs>
            <w:rPr>
              <w:highlight w:val="none"/>
            </w:rPr>
          </w:pPr>
          <w:r>
            <w:rPr>
              <w:color w:val="auto"/>
              <w:highlight w:val="none"/>
            </w:rPr>
            <w:fldChar w:fldCharType="begin"/>
          </w:r>
          <w:r>
            <w:rPr>
              <w:highlight w:val="none"/>
            </w:rPr>
            <w:instrText xml:space="preserve"> HYPERLINK \l _Toc4010 </w:instrText>
          </w:r>
          <w:r>
            <w:rPr>
              <w:highlight w:val="none"/>
            </w:rPr>
            <w:fldChar w:fldCharType="separate"/>
          </w:r>
          <w:r>
            <w:rPr>
              <w:rFonts w:hint="eastAsia"/>
              <w:highlight w:val="none"/>
            </w:rPr>
            <w:t>2.1定标要素：</w:t>
          </w:r>
          <w:r>
            <w:rPr>
              <w:highlight w:val="none"/>
            </w:rPr>
            <w:tab/>
          </w:r>
          <w:r>
            <w:rPr>
              <w:highlight w:val="none"/>
            </w:rPr>
            <w:fldChar w:fldCharType="begin"/>
          </w:r>
          <w:r>
            <w:rPr>
              <w:highlight w:val="none"/>
            </w:rPr>
            <w:instrText xml:space="preserve"> PAGEREF _Toc4010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4389EE72">
          <w:pPr>
            <w:pStyle w:val="19"/>
            <w:tabs>
              <w:tab w:val="right" w:leader="dot" w:pos="8306"/>
            </w:tabs>
            <w:rPr>
              <w:highlight w:val="none"/>
            </w:rPr>
          </w:pPr>
          <w:r>
            <w:rPr>
              <w:color w:val="auto"/>
              <w:highlight w:val="none"/>
            </w:rPr>
            <w:fldChar w:fldCharType="begin"/>
          </w:r>
          <w:r>
            <w:rPr>
              <w:highlight w:val="none"/>
            </w:rPr>
            <w:instrText xml:space="preserve"> HYPERLINK \l _Toc10416 </w:instrText>
          </w:r>
          <w:r>
            <w:rPr>
              <w:highlight w:val="none"/>
            </w:rPr>
            <w:fldChar w:fldCharType="separate"/>
          </w:r>
          <w:r>
            <w:rPr>
              <w:rFonts w:hint="eastAsia"/>
              <w:highlight w:val="none"/>
            </w:rPr>
            <w:t>2.2优先顺序：</w:t>
          </w:r>
          <w:r>
            <w:rPr>
              <w:highlight w:val="none"/>
            </w:rPr>
            <w:tab/>
          </w:r>
          <w:r>
            <w:rPr>
              <w:highlight w:val="none"/>
            </w:rPr>
            <w:fldChar w:fldCharType="begin"/>
          </w:r>
          <w:r>
            <w:rPr>
              <w:highlight w:val="none"/>
            </w:rPr>
            <w:instrText xml:space="preserve"> PAGEREF _Toc10416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72A1A302">
          <w:pPr>
            <w:pStyle w:val="31"/>
            <w:tabs>
              <w:tab w:val="right" w:leader="dot" w:pos="8306"/>
            </w:tabs>
            <w:rPr>
              <w:highlight w:val="none"/>
            </w:rPr>
          </w:pPr>
          <w:r>
            <w:rPr>
              <w:color w:val="auto"/>
              <w:highlight w:val="none"/>
            </w:rPr>
            <w:fldChar w:fldCharType="begin"/>
          </w:r>
          <w:r>
            <w:rPr>
              <w:highlight w:val="none"/>
            </w:rPr>
            <w:instrText xml:space="preserve"> HYPERLINK \l _Toc29438 </w:instrText>
          </w:r>
          <w:r>
            <w:rPr>
              <w:highlight w:val="none"/>
            </w:rPr>
            <w:fldChar w:fldCharType="separate"/>
          </w:r>
          <w:r>
            <w:rPr>
              <w:rFonts w:hint="eastAsia"/>
              <w:highlight w:val="none"/>
            </w:rPr>
            <w:t>3.定标前准备</w:t>
          </w:r>
          <w:r>
            <w:rPr>
              <w:highlight w:val="none"/>
            </w:rPr>
            <w:tab/>
          </w:r>
          <w:r>
            <w:rPr>
              <w:highlight w:val="none"/>
            </w:rPr>
            <w:fldChar w:fldCharType="begin"/>
          </w:r>
          <w:r>
            <w:rPr>
              <w:highlight w:val="none"/>
            </w:rPr>
            <w:instrText xml:space="preserve"> PAGEREF _Toc29438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3C1F45AA">
          <w:pPr>
            <w:pStyle w:val="19"/>
            <w:tabs>
              <w:tab w:val="right" w:leader="dot" w:pos="8306"/>
            </w:tabs>
            <w:rPr>
              <w:highlight w:val="none"/>
            </w:rPr>
          </w:pPr>
          <w:r>
            <w:rPr>
              <w:color w:val="auto"/>
              <w:highlight w:val="none"/>
            </w:rPr>
            <w:fldChar w:fldCharType="begin"/>
          </w:r>
          <w:r>
            <w:rPr>
              <w:highlight w:val="none"/>
            </w:rPr>
            <w:instrText xml:space="preserve"> HYPERLINK \l _Toc29347 </w:instrText>
          </w:r>
          <w:r>
            <w:rPr>
              <w:highlight w:val="none"/>
            </w:rPr>
            <w:fldChar w:fldCharType="separate"/>
          </w:r>
          <w:r>
            <w:rPr>
              <w:rFonts w:hint="eastAsia"/>
              <w:highlight w:val="none"/>
            </w:rPr>
            <w:t>3.</w:t>
          </w:r>
          <w:r>
            <w:rPr>
              <w:rFonts w:hint="eastAsia"/>
              <w:highlight w:val="none"/>
              <w:lang w:val="en-US" w:eastAsia="zh-CN"/>
            </w:rPr>
            <w:t>1</w:t>
          </w:r>
          <w:r>
            <w:rPr>
              <w:rFonts w:hint="eastAsia"/>
              <w:highlight w:val="none"/>
            </w:rPr>
            <w:t>审查评标报告</w:t>
          </w:r>
          <w:r>
            <w:rPr>
              <w:highlight w:val="none"/>
            </w:rPr>
            <w:tab/>
          </w:r>
          <w:r>
            <w:rPr>
              <w:highlight w:val="none"/>
            </w:rPr>
            <w:fldChar w:fldCharType="begin"/>
          </w:r>
          <w:r>
            <w:rPr>
              <w:highlight w:val="none"/>
            </w:rPr>
            <w:instrText xml:space="preserve"> PAGEREF _Toc29347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5959415F">
          <w:pPr>
            <w:pStyle w:val="19"/>
            <w:tabs>
              <w:tab w:val="right" w:leader="dot" w:pos="8306"/>
            </w:tabs>
            <w:rPr>
              <w:highlight w:val="none"/>
            </w:rPr>
          </w:pPr>
          <w:r>
            <w:rPr>
              <w:color w:val="auto"/>
              <w:highlight w:val="none"/>
            </w:rPr>
            <w:fldChar w:fldCharType="begin"/>
          </w:r>
          <w:r>
            <w:rPr>
              <w:highlight w:val="none"/>
            </w:rPr>
            <w:instrText xml:space="preserve"> HYPERLINK \l _Toc29500 </w:instrText>
          </w:r>
          <w:r>
            <w:rPr>
              <w:highlight w:val="none"/>
            </w:rPr>
            <w:fldChar w:fldCharType="separate"/>
          </w:r>
          <w:r>
            <w:rPr>
              <w:rFonts w:hint="eastAsia"/>
              <w:highlight w:val="none"/>
            </w:rPr>
            <w:t>3.</w:t>
          </w:r>
          <w:r>
            <w:rPr>
              <w:rFonts w:hint="eastAsia"/>
              <w:highlight w:val="none"/>
              <w:lang w:val="en-US" w:eastAsia="zh-CN"/>
            </w:rPr>
            <w:t>2</w:t>
          </w:r>
          <w:r>
            <w:rPr>
              <w:rFonts w:hint="eastAsia"/>
              <w:highlight w:val="none"/>
            </w:rPr>
            <w:t>组织核验</w:t>
          </w:r>
          <w:r>
            <w:rPr>
              <w:highlight w:val="none"/>
            </w:rPr>
            <w:tab/>
          </w:r>
          <w:r>
            <w:rPr>
              <w:highlight w:val="none"/>
            </w:rPr>
            <w:fldChar w:fldCharType="begin"/>
          </w:r>
          <w:r>
            <w:rPr>
              <w:highlight w:val="none"/>
            </w:rPr>
            <w:instrText xml:space="preserve"> PAGEREF _Toc29500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0FF8E94A">
          <w:pPr>
            <w:pStyle w:val="19"/>
            <w:tabs>
              <w:tab w:val="right" w:leader="dot" w:pos="8306"/>
            </w:tabs>
            <w:rPr>
              <w:highlight w:val="none"/>
            </w:rPr>
          </w:pPr>
          <w:r>
            <w:rPr>
              <w:color w:val="auto"/>
              <w:highlight w:val="none"/>
            </w:rPr>
            <w:fldChar w:fldCharType="begin"/>
          </w:r>
          <w:r>
            <w:rPr>
              <w:highlight w:val="none"/>
            </w:rPr>
            <w:instrText xml:space="preserve"> HYPERLINK \l _Toc24902 </w:instrText>
          </w:r>
          <w:r>
            <w:rPr>
              <w:highlight w:val="none"/>
            </w:rPr>
            <w:fldChar w:fldCharType="separate"/>
          </w:r>
          <w:r>
            <w:rPr>
              <w:rFonts w:hint="eastAsia"/>
              <w:highlight w:val="none"/>
            </w:rPr>
            <w:t>3.</w:t>
          </w:r>
          <w:r>
            <w:rPr>
              <w:rFonts w:hint="eastAsia"/>
              <w:highlight w:val="none"/>
              <w:lang w:val="en-US" w:eastAsia="zh-CN"/>
            </w:rPr>
            <w:t>3</w:t>
          </w:r>
          <w:r>
            <w:rPr>
              <w:rFonts w:hint="eastAsia"/>
              <w:highlight w:val="none"/>
            </w:rPr>
            <w:t>开展考察（如有）</w:t>
          </w:r>
          <w:r>
            <w:rPr>
              <w:highlight w:val="none"/>
            </w:rPr>
            <w:tab/>
          </w:r>
          <w:r>
            <w:rPr>
              <w:highlight w:val="none"/>
            </w:rPr>
            <w:fldChar w:fldCharType="begin"/>
          </w:r>
          <w:r>
            <w:rPr>
              <w:highlight w:val="none"/>
            </w:rPr>
            <w:instrText xml:space="preserve"> PAGEREF _Toc24902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0143E680">
          <w:pPr>
            <w:pStyle w:val="31"/>
            <w:tabs>
              <w:tab w:val="right" w:leader="dot" w:pos="8306"/>
            </w:tabs>
            <w:rPr>
              <w:highlight w:val="none"/>
            </w:rPr>
          </w:pPr>
          <w:r>
            <w:rPr>
              <w:color w:val="auto"/>
              <w:highlight w:val="none"/>
            </w:rPr>
            <w:fldChar w:fldCharType="begin"/>
          </w:r>
          <w:r>
            <w:rPr>
              <w:highlight w:val="none"/>
            </w:rPr>
            <w:instrText xml:space="preserve"> HYPERLINK \l _Toc15448 </w:instrText>
          </w:r>
          <w:r>
            <w:rPr>
              <w:highlight w:val="none"/>
            </w:rPr>
            <w:fldChar w:fldCharType="separate"/>
          </w:r>
          <w:r>
            <w:rPr>
              <w:rFonts w:hint="eastAsia"/>
              <w:highlight w:val="none"/>
              <w:lang w:val="en-US" w:eastAsia="zh-CN"/>
            </w:rPr>
            <w:t>4</w:t>
          </w:r>
          <w:r>
            <w:rPr>
              <w:rFonts w:hint="eastAsia"/>
              <w:highlight w:val="none"/>
            </w:rPr>
            <w:t>. 定标程序</w:t>
          </w:r>
          <w:r>
            <w:rPr>
              <w:highlight w:val="none"/>
            </w:rPr>
            <w:tab/>
          </w:r>
          <w:r>
            <w:rPr>
              <w:highlight w:val="none"/>
            </w:rPr>
            <w:fldChar w:fldCharType="begin"/>
          </w:r>
          <w:r>
            <w:rPr>
              <w:highlight w:val="none"/>
            </w:rPr>
            <w:instrText xml:space="preserve"> PAGEREF _Toc15448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17B40CC3">
          <w:pPr>
            <w:pStyle w:val="19"/>
            <w:tabs>
              <w:tab w:val="right" w:leader="dot" w:pos="8306"/>
            </w:tabs>
            <w:rPr>
              <w:highlight w:val="none"/>
            </w:rPr>
          </w:pPr>
          <w:r>
            <w:rPr>
              <w:color w:val="auto"/>
              <w:highlight w:val="none"/>
            </w:rPr>
            <w:fldChar w:fldCharType="begin"/>
          </w:r>
          <w:r>
            <w:rPr>
              <w:highlight w:val="none"/>
            </w:rPr>
            <w:instrText xml:space="preserve"> HYPERLINK \l _Toc7553 </w:instrText>
          </w:r>
          <w:r>
            <w:rPr>
              <w:highlight w:val="none"/>
            </w:rPr>
            <w:fldChar w:fldCharType="separate"/>
          </w:r>
          <w:r>
            <w:rPr>
              <w:rFonts w:hint="eastAsia"/>
              <w:highlight w:val="none"/>
              <w:lang w:val="en-US" w:eastAsia="zh-CN"/>
            </w:rPr>
            <w:t>4</w:t>
          </w:r>
          <w:r>
            <w:rPr>
              <w:rFonts w:hint="eastAsia"/>
              <w:highlight w:val="none"/>
            </w:rPr>
            <w:t>.1定标准备</w:t>
          </w:r>
          <w:r>
            <w:rPr>
              <w:highlight w:val="none"/>
            </w:rPr>
            <w:tab/>
          </w:r>
          <w:r>
            <w:rPr>
              <w:highlight w:val="none"/>
            </w:rPr>
            <w:fldChar w:fldCharType="begin"/>
          </w:r>
          <w:r>
            <w:rPr>
              <w:highlight w:val="none"/>
            </w:rPr>
            <w:instrText xml:space="preserve"> PAGEREF _Toc7553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03D053EC">
          <w:pPr>
            <w:pStyle w:val="19"/>
            <w:tabs>
              <w:tab w:val="right" w:leader="dot" w:pos="8306"/>
            </w:tabs>
            <w:rPr>
              <w:highlight w:val="none"/>
            </w:rPr>
          </w:pPr>
          <w:r>
            <w:rPr>
              <w:color w:val="auto"/>
              <w:highlight w:val="none"/>
            </w:rPr>
            <w:fldChar w:fldCharType="begin"/>
          </w:r>
          <w:r>
            <w:rPr>
              <w:highlight w:val="none"/>
            </w:rPr>
            <w:instrText xml:space="preserve"> HYPERLINK \l _Toc15636 </w:instrText>
          </w:r>
          <w:r>
            <w:rPr>
              <w:highlight w:val="none"/>
            </w:rPr>
            <w:fldChar w:fldCharType="separate"/>
          </w:r>
          <w:r>
            <w:rPr>
              <w:rFonts w:hint="eastAsia"/>
              <w:highlight w:val="none"/>
              <w:lang w:val="en-US" w:eastAsia="zh-CN"/>
            </w:rPr>
            <w:t>4</w:t>
          </w:r>
          <w:r>
            <w:rPr>
              <w:rFonts w:hint="eastAsia"/>
              <w:highlight w:val="none"/>
            </w:rPr>
            <w:t>.2组织答辩（如有）</w:t>
          </w:r>
          <w:r>
            <w:rPr>
              <w:highlight w:val="none"/>
            </w:rPr>
            <w:tab/>
          </w:r>
          <w:r>
            <w:rPr>
              <w:highlight w:val="none"/>
            </w:rPr>
            <w:fldChar w:fldCharType="begin"/>
          </w:r>
          <w:r>
            <w:rPr>
              <w:highlight w:val="none"/>
            </w:rPr>
            <w:instrText xml:space="preserve"> PAGEREF _Toc15636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46FF8BB5">
          <w:pPr>
            <w:pStyle w:val="19"/>
            <w:tabs>
              <w:tab w:val="right" w:leader="dot" w:pos="8306"/>
            </w:tabs>
            <w:rPr>
              <w:highlight w:val="none"/>
            </w:rPr>
          </w:pPr>
          <w:r>
            <w:rPr>
              <w:color w:val="auto"/>
              <w:highlight w:val="none"/>
            </w:rPr>
            <w:fldChar w:fldCharType="begin"/>
          </w:r>
          <w:r>
            <w:rPr>
              <w:highlight w:val="none"/>
            </w:rPr>
            <w:instrText xml:space="preserve"> HYPERLINK \l _Toc1698 </w:instrText>
          </w:r>
          <w:r>
            <w:rPr>
              <w:highlight w:val="none"/>
            </w:rPr>
            <w:fldChar w:fldCharType="separate"/>
          </w:r>
          <w:r>
            <w:rPr>
              <w:rFonts w:hint="eastAsia"/>
              <w:highlight w:val="none"/>
              <w:lang w:val="en-US" w:eastAsia="zh-CN"/>
            </w:rPr>
            <w:t>4</w:t>
          </w:r>
          <w:r>
            <w:rPr>
              <w:rFonts w:hint="eastAsia"/>
              <w:highlight w:val="none"/>
            </w:rPr>
            <w:t>.3定标结果</w:t>
          </w:r>
          <w:r>
            <w:rPr>
              <w:highlight w:val="none"/>
            </w:rPr>
            <w:tab/>
          </w:r>
          <w:r>
            <w:rPr>
              <w:highlight w:val="none"/>
            </w:rPr>
            <w:fldChar w:fldCharType="begin"/>
          </w:r>
          <w:r>
            <w:rPr>
              <w:highlight w:val="none"/>
            </w:rPr>
            <w:instrText xml:space="preserve"> PAGEREF _Toc1698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61544394">
          <w:pPr>
            <w:pStyle w:val="31"/>
            <w:tabs>
              <w:tab w:val="right" w:leader="dot" w:pos="8306"/>
            </w:tabs>
            <w:rPr>
              <w:highlight w:val="none"/>
            </w:rPr>
          </w:pPr>
          <w:r>
            <w:rPr>
              <w:color w:val="auto"/>
              <w:highlight w:val="none"/>
            </w:rPr>
            <w:fldChar w:fldCharType="begin"/>
          </w:r>
          <w:r>
            <w:rPr>
              <w:highlight w:val="none"/>
            </w:rPr>
            <w:instrText xml:space="preserve"> HYPERLINK \l _Toc7380 </w:instrText>
          </w:r>
          <w:r>
            <w:rPr>
              <w:highlight w:val="none"/>
            </w:rPr>
            <w:fldChar w:fldCharType="separate"/>
          </w:r>
          <w:r>
            <w:rPr>
              <w:rFonts w:hint="eastAsia"/>
              <w:highlight w:val="none"/>
              <w:lang w:val="en-US" w:eastAsia="zh-CN"/>
            </w:rPr>
            <w:t>5</w:t>
          </w:r>
          <w:r>
            <w:rPr>
              <w:rFonts w:hint="eastAsia"/>
              <w:highlight w:val="none"/>
            </w:rPr>
            <w:t>. 特殊情况的处置程序</w:t>
          </w:r>
          <w:r>
            <w:rPr>
              <w:highlight w:val="none"/>
            </w:rPr>
            <w:tab/>
          </w:r>
          <w:r>
            <w:rPr>
              <w:highlight w:val="none"/>
            </w:rPr>
            <w:fldChar w:fldCharType="begin"/>
          </w:r>
          <w:r>
            <w:rPr>
              <w:highlight w:val="none"/>
            </w:rPr>
            <w:instrText xml:space="preserve"> PAGEREF _Toc7380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39D64CF0">
          <w:pPr>
            <w:pStyle w:val="19"/>
            <w:tabs>
              <w:tab w:val="right" w:leader="dot" w:pos="8306"/>
            </w:tabs>
            <w:rPr>
              <w:highlight w:val="none"/>
            </w:rPr>
          </w:pPr>
          <w:r>
            <w:rPr>
              <w:color w:val="auto"/>
              <w:highlight w:val="none"/>
            </w:rPr>
            <w:fldChar w:fldCharType="begin"/>
          </w:r>
          <w:r>
            <w:rPr>
              <w:highlight w:val="none"/>
            </w:rPr>
            <w:instrText xml:space="preserve"> HYPERLINK \l _Toc13643 </w:instrText>
          </w:r>
          <w:r>
            <w:rPr>
              <w:highlight w:val="none"/>
            </w:rPr>
            <w:fldChar w:fldCharType="separate"/>
          </w:r>
          <w:r>
            <w:rPr>
              <w:rFonts w:hint="eastAsia"/>
              <w:highlight w:val="none"/>
              <w:lang w:val="en-US" w:eastAsia="zh-CN"/>
            </w:rPr>
            <w:t>5</w:t>
          </w:r>
          <w:r>
            <w:rPr>
              <w:rFonts w:hint="eastAsia"/>
              <w:highlight w:val="none"/>
            </w:rPr>
            <w:t>.1 关于定标活动暂停</w:t>
          </w:r>
          <w:r>
            <w:rPr>
              <w:highlight w:val="none"/>
            </w:rPr>
            <w:tab/>
          </w:r>
          <w:r>
            <w:rPr>
              <w:highlight w:val="none"/>
            </w:rPr>
            <w:fldChar w:fldCharType="begin"/>
          </w:r>
          <w:r>
            <w:rPr>
              <w:highlight w:val="none"/>
            </w:rPr>
            <w:instrText xml:space="preserve"> PAGEREF _Toc13643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1FF2E0A6">
          <w:pPr>
            <w:pStyle w:val="19"/>
            <w:tabs>
              <w:tab w:val="right" w:leader="dot" w:pos="8306"/>
            </w:tabs>
            <w:rPr>
              <w:highlight w:val="none"/>
            </w:rPr>
          </w:pPr>
          <w:r>
            <w:rPr>
              <w:color w:val="auto"/>
              <w:highlight w:val="none"/>
            </w:rPr>
            <w:fldChar w:fldCharType="begin"/>
          </w:r>
          <w:r>
            <w:rPr>
              <w:highlight w:val="none"/>
            </w:rPr>
            <w:instrText xml:space="preserve"> HYPERLINK \l _Toc24973 </w:instrText>
          </w:r>
          <w:r>
            <w:rPr>
              <w:highlight w:val="none"/>
            </w:rPr>
            <w:fldChar w:fldCharType="separate"/>
          </w:r>
          <w:r>
            <w:rPr>
              <w:rFonts w:hint="eastAsia"/>
              <w:highlight w:val="none"/>
              <w:lang w:val="en-US" w:eastAsia="zh-CN"/>
            </w:rPr>
            <w:t>5</w:t>
          </w:r>
          <w:r>
            <w:rPr>
              <w:rFonts w:hint="eastAsia"/>
              <w:highlight w:val="none"/>
            </w:rPr>
            <w:t>.2 关于定标中途更换评标委员会成员</w:t>
          </w:r>
          <w:r>
            <w:rPr>
              <w:highlight w:val="none"/>
            </w:rPr>
            <w:tab/>
          </w:r>
          <w:r>
            <w:rPr>
              <w:highlight w:val="none"/>
            </w:rPr>
            <w:fldChar w:fldCharType="begin"/>
          </w:r>
          <w:r>
            <w:rPr>
              <w:highlight w:val="none"/>
            </w:rPr>
            <w:instrText xml:space="preserve"> PAGEREF _Toc24973 \h </w:instrText>
          </w:r>
          <w:r>
            <w:rPr>
              <w:highlight w:val="none"/>
            </w:rPr>
            <w:fldChar w:fldCharType="separate"/>
          </w:r>
          <w:r>
            <w:rPr>
              <w:highlight w:val="none"/>
            </w:rPr>
            <w:t>230</w:t>
          </w:r>
          <w:r>
            <w:rPr>
              <w:highlight w:val="none"/>
            </w:rPr>
            <w:fldChar w:fldCharType="end"/>
          </w:r>
          <w:r>
            <w:rPr>
              <w:color w:val="auto"/>
              <w:highlight w:val="none"/>
            </w:rPr>
            <w:fldChar w:fldCharType="end"/>
          </w:r>
        </w:p>
        <w:p w14:paraId="1DC846B4">
          <w:pPr>
            <w:pStyle w:val="19"/>
            <w:tabs>
              <w:tab w:val="right" w:leader="dot" w:pos="8306"/>
            </w:tabs>
            <w:rPr>
              <w:highlight w:val="none"/>
            </w:rPr>
          </w:pPr>
          <w:r>
            <w:rPr>
              <w:color w:val="auto"/>
              <w:highlight w:val="none"/>
            </w:rPr>
            <w:fldChar w:fldCharType="begin"/>
          </w:r>
          <w:r>
            <w:rPr>
              <w:highlight w:val="none"/>
            </w:rPr>
            <w:instrText xml:space="preserve"> HYPERLINK \l _Toc32424 </w:instrText>
          </w:r>
          <w:r>
            <w:rPr>
              <w:highlight w:val="none"/>
            </w:rPr>
            <w:fldChar w:fldCharType="separate"/>
          </w:r>
          <w:r>
            <w:rPr>
              <w:rFonts w:hint="eastAsia"/>
              <w:highlight w:val="none"/>
              <w:lang w:val="en-US" w:eastAsia="zh-CN"/>
            </w:rPr>
            <w:t>5</w:t>
          </w:r>
          <w:r>
            <w:rPr>
              <w:rFonts w:hint="eastAsia"/>
              <w:highlight w:val="none"/>
            </w:rPr>
            <w:t>.3 定标争议处理</w:t>
          </w:r>
          <w:r>
            <w:rPr>
              <w:highlight w:val="none"/>
            </w:rPr>
            <w:tab/>
          </w:r>
          <w:r>
            <w:rPr>
              <w:highlight w:val="none"/>
            </w:rPr>
            <w:fldChar w:fldCharType="begin"/>
          </w:r>
          <w:r>
            <w:rPr>
              <w:highlight w:val="none"/>
            </w:rPr>
            <w:instrText xml:space="preserve"> PAGEREF _Toc32424 \h </w:instrText>
          </w:r>
          <w:r>
            <w:rPr>
              <w:highlight w:val="none"/>
            </w:rPr>
            <w:fldChar w:fldCharType="separate"/>
          </w:r>
          <w:r>
            <w:rPr>
              <w:highlight w:val="none"/>
            </w:rPr>
            <w:t>231</w:t>
          </w:r>
          <w:r>
            <w:rPr>
              <w:highlight w:val="none"/>
            </w:rPr>
            <w:fldChar w:fldCharType="end"/>
          </w:r>
          <w:r>
            <w:rPr>
              <w:color w:val="auto"/>
              <w:highlight w:val="none"/>
            </w:rPr>
            <w:fldChar w:fldCharType="end"/>
          </w:r>
        </w:p>
        <w:p w14:paraId="2D45EADA">
          <w:pPr>
            <w:rPr>
              <w:color w:val="auto"/>
              <w:highlight w:val="none"/>
            </w:rPr>
          </w:pPr>
          <w:r>
            <w:rPr>
              <w:color w:val="auto"/>
              <w:highlight w:val="none"/>
            </w:rPr>
            <w:fldChar w:fldCharType="end"/>
          </w:r>
        </w:p>
      </w:sdtContent>
    </w:sdt>
    <w:p w14:paraId="454CE2EF">
      <w:pPr>
        <w:rPr>
          <w:rFonts w:hint="eastAsia" w:ascii="宋体" w:hAnsi="宋体" w:cs="宋体"/>
          <w:color w:val="auto"/>
          <w:szCs w:val="21"/>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14:paraId="2DF21E1D">
      <w:pPr>
        <w:pStyle w:val="117"/>
        <w:rPr>
          <w:rFonts w:hint="eastAsia"/>
          <w:color w:val="auto"/>
          <w:highlight w:val="none"/>
        </w:rPr>
      </w:pPr>
      <w:bookmarkStart w:id="9" w:name="_Toc12044"/>
      <w:bookmarkStart w:id="10" w:name="_Toc14588"/>
      <w:bookmarkStart w:id="11" w:name="_Toc10402_WPSOffice_Level1"/>
      <w:bookmarkStart w:id="12" w:name="_Toc247513933"/>
      <w:bookmarkStart w:id="13" w:name="_Toc2586"/>
      <w:bookmarkStart w:id="14" w:name="_Toc5575"/>
      <w:bookmarkStart w:id="15" w:name="_Toc13887"/>
      <w:bookmarkStart w:id="16" w:name="_Toc23969"/>
      <w:bookmarkStart w:id="17" w:name="_Toc247527534"/>
      <w:bookmarkStart w:id="18" w:name="_Toc519085251"/>
      <w:r>
        <w:rPr>
          <w:rFonts w:hint="eastAsia"/>
          <w:color w:val="auto"/>
          <w:highlight w:val="none"/>
        </w:rPr>
        <w:t>第一章 招标公告</w:t>
      </w:r>
      <w:bookmarkEnd w:id="9"/>
      <w:bookmarkEnd w:id="10"/>
      <w:bookmarkEnd w:id="11"/>
      <w:bookmarkEnd w:id="12"/>
      <w:bookmarkEnd w:id="13"/>
      <w:bookmarkEnd w:id="14"/>
      <w:bookmarkEnd w:id="15"/>
      <w:bookmarkEnd w:id="16"/>
      <w:bookmarkEnd w:id="17"/>
      <w:bookmarkEnd w:id="18"/>
    </w:p>
    <w:p w14:paraId="7FA41C71">
      <w:pPr>
        <w:spacing w:line="460" w:lineRule="exact"/>
        <w:rPr>
          <w:rFonts w:hint="eastAsia"/>
          <w:color w:val="auto"/>
          <w:szCs w:val="21"/>
          <w:highlight w:val="none"/>
        </w:rPr>
      </w:pPr>
    </w:p>
    <w:p w14:paraId="30A724D9">
      <w:pPr>
        <w:spacing w:line="460" w:lineRule="exact"/>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u w:val="single"/>
        </w:rPr>
        <w:t xml:space="preserve">        </w:t>
      </w:r>
      <w:bookmarkStart w:id="19" w:name="_Toc21377_WPSOffice_Level1"/>
      <w:bookmarkStart w:id="20" w:name="_Toc17437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（标段名称）工程总承包招标公告</w:t>
      </w:r>
      <w:bookmarkEnd w:id="19"/>
      <w:bookmarkEnd w:id="20"/>
    </w:p>
    <w:p w14:paraId="73CCAFA2">
      <w:pPr>
        <w:spacing w:line="440" w:lineRule="exact"/>
        <w:jc w:val="center"/>
        <w:rPr>
          <w:rFonts w:eastAsia="黑体"/>
          <w:color w:val="auto"/>
          <w:sz w:val="24"/>
          <w:highlight w:val="none"/>
        </w:rPr>
      </w:pPr>
    </w:p>
    <w:p w14:paraId="7CDECEA3">
      <w:pPr>
        <w:spacing w:line="440" w:lineRule="exact"/>
        <w:jc w:val="center"/>
        <w:rPr>
          <w:rFonts w:eastAsia="黑体"/>
          <w:color w:val="auto"/>
          <w:sz w:val="20"/>
          <w:szCs w:val="20"/>
          <w:highlight w:val="none"/>
        </w:rPr>
      </w:pPr>
      <w:r>
        <w:rPr>
          <w:rFonts w:eastAsia="黑体"/>
          <w:color w:val="auto"/>
          <w:sz w:val="29"/>
          <w:szCs w:val="29"/>
          <w:highlight w:val="none"/>
        </w:rPr>
        <w:t xml:space="preserve"> </w:t>
      </w:r>
      <w:r>
        <w:rPr>
          <w:rFonts w:eastAsia="黑体"/>
          <w:color w:val="auto"/>
          <w:sz w:val="20"/>
          <w:szCs w:val="20"/>
          <w:highlight w:val="none"/>
        </w:rPr>
        <w:t xml:space="preserve">               </w:t>
      </w:r>
    </w:p>
    <w:p w14:paraId="47F8946F">
      <w:pPr>
        <w:pStyle w:val="4"/>
        <w:spacing w:before="62"/>
        <w:rPr>
          <w:color w:val="auto"/>
          <w:sz w:val="28"/>
          <w:szCs w:val="28"/>
          <w:highlight w:val="none"/>
        </w:rPr>
      </w:pPr>
      <w:bookmarkStart w:id="21" w:name="_Toc152042288"/>
      <w:bookmarkStart w:id="22" w:name="_Toc16597"/>
      <w:bookmarkStart w:id="23" w:name="_Toc519085252"/>
      <w:bookmarkStart w:id="24" w:name="_Toc7607_WPSOffice_Level1"/>
      <w:bookmarkStart w:id="25" w:name="_Toc152045512"/>
      <w:bookmarkStart w:id="26" w:name="_Toc3860"/>
      <w:bookmarkStart w:id="27" w:name="_Toc247527535"/>
      <w:bookmarkStart w:id="28" w:name="_Toc247513934"/>
      <w:bookmarkStart w:id="29" w:name="_Toc144974480"/>
      <w:bookmarkStart w:id="30" w:name="_Toc21126"/>
      <w:bookmarkStart w:id="31" w:name="_Toc6182"/>
      <w:bookmarkStart w:id="32" w:name="_Toc12424"/>
      <w:bookmarkStart w:id="33" w:name="_Toc8374"/>
      <w:r>
        <w:rPr>
          <w:rFonts w:ascii="Times New Roman" w:hAnsi="Times New Roman"/>
          <w:color w:val="auto"/>
          <w:sz w:val="28"/>
          <w:szCs w:val="28"/>
          <w:highlight w:val="none"/>
        </w:rPr>
        <w:t>1</w:t>
      </w:r>
      <w:r>
        <w:rPr>
          <w:color w:val="auto"/>
          <w:sz w:val="28"/>
          <w:szCs w:val="28"/>
          <w:highlight w:val="none"/>
        </w:rPr>
        <w:t>. 招标条件</w:t>
      </w:r>
      <w:bookmarkEnd w:id="21"/>
      <w:bookmarkEnd w:id="22"/>
      <w:bookmarkEnd w:id="23"/>
      <w:bookmarkEnd w:id="24"/>
      <w:bookmarkEnd w:id="25"/>
      <w:bookmarkEnd w:id="26"/>
      <w:bookmarkEnd w:id="27"/>
      <w:bookmarkEnd w:id="28"/>
      <w:bookmarkEnd w:id="29"/>
      <w:bookmarkEnd w:id="30"/>
      <w:bookmarkEnd w:id="31"/>
      <w:bookmarkEnd w:id="32"/>
      <w:bookmarkEnd w:id="33"/>
    </w:p>
    <w:p w14:paraId="682E60E0">
      <w:pPr>
        <w:spacing w:line="460" w:lineRule="exact"/>
        <w:rPr>
          <w:color w:val="auto"/>
          <w:szCs w:val="21"/>
          <w:highlight w:val="none"/>
        </w:rPr>
      </w:pPr>
      <w:r>
        <w:rPr>
          <w:color w:val="auto"/>
          <w:szCs w:val="21"/>
          <w:highlight w:val="none"/>
        </w:rPr>
        <w:t>　　</w:t>
      </w:r>
      <w:r>
        <w:rPr>
          <w:rFonts w:hint="eastAsia"/>
          <w:color w:val="auto"/>
          <w:szCs w:val="21"/>
          <w:highlight w:val="none"/>
        </w:rPr>
        <w:t>本招标项目</w:t>
      </w:r>
      <w:r>
        <w:rPr>
          <w:color w:val="auto"/>
          <w:szCs w:val="21"/>
          <w:highlight w:val="none"/>
          <w:u w:val="single"/>
        </w:rPr>
        <w:t xml:space="preserve">          </w:t>
      </w:r>
      <w:r>
        <w:rPr>
          <w:color w:val="auto"/>
          <w:szCs w:val="21"/>
          <w:highlight w:val="none"/>
        </w:rPr>
        <w:t>（项目名称）已由</w:t>
      </w:r>
      <w:r>
        <w:rPr>
          <w:color w:val="auto"/>
          <w:szCs w:val="21"/>
          <w:highlight w:val="none"/>
          <w:u w:val="single"/>
        </w:rPr>
        <w:t xml:space="preserve">        </w:t>
      </w:r>
      <w:r>
        <w:rPr>
          <w:color w:val="auto"/>
          <w:szCs w:val="21"/>
          <w:highlight w:val="none"/>
        </w:rPr>
        <w:t>（项目审批、核准或备案机关名称）以</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（批文名称及编号）批准建设，项目业主为</w:t>
      </w:r>
      <w:r>
        <w:rPr>
          <w:color w:val="auto"/>
          <w:szCs w:val="21"/>
          <w:highlight w:val="none"/>
          <w:u w:val="single"/>
        </w:rPr>
        <w:t xml:space="preserve">          </w:t>
      </w:r>
      <w:r>
        <w:rPr>
          <w:color w:val="auto"/>
          <w:szCs w:val="21"/>
          <w:highlight w:val="none"/>
        </w:rPr>
        <w:t>，建设资金来自</w:t>
      </w:r>
      <w:r>
        <w:rPr>
          <w:color w:val="auto"/>
          <w:szCs w:val="21"/>
          <w:highlight w:val="none"/>
          <w:u w:val="single"/>
        </w:rPr>
        <w:t xml:space="preserve">          </w:t>
      </w:r>
      <w:r>
        <w:rPr>
          <w:color w:val="auto"/>
          <w:szCs w:val="21"/>
          <w:highlight w:val="none"/>
        </w:rPr>
        <w:t>（资金来源），出资比例为</w:t>
      </w:r>
      <w:r>
        <w:rPr>
          <w:color w:val="auto"/>
          <w:szCs w:val="21"/>
          <w:highlight w:val="none"/>
          <w:u w:val="single"/>
        </w:rPr>
        <w:t xml:space="preserve">           </w:t>
      </w:r>
      <w:r>
        <w:rPr>
          <w:color w:val="auto"/>
          <w:szCs w:val="21"/>
          <w:highlight w:val="none"/>
        </w:rPr>
        <w:t>，招标人为</w:t>
      </w:r>
      <w:r>
        <w:rPr>
          <w:color w:val="auto"/>
          <w:szCs w:val="21"/>
          <w:highlight w:val="none"/>
          <w:u w:val="single"/>
        </w:rPr>
        <w:t xml:space="preserve">          </w:t>
      </w:r>
      <w:r>
        <w:rPr>
          <w:rFonts w:hint="eastAsia"/>
          <w:color w:val="auto"/>
          <w:szCs w:val="21"/>
          <w:highlight w:val="none"/>
        </w:rPr>
        <w:t>，招标代理机构为</w:t>
      </w:r>
      <w:r>
        <w:rPr>
          <w:rFonts w:hint="eastAsia"/>
          <w:color w:val="auto"/>
          <w:szCs w:val="21"/>
          <w:highlight w:val="none"/>
          <w:u w:val="single"/>
        </w:rPr>
        <w:t xml:space="preserve">        </w:t>
      </w:r>
      <w:r>
        <w:rPr>
          <w:color w:val="auto"/>
          <w:szCs w:val="21"/>
          <w:highlight w:val="none"/>
        </w:rPr>
        <w:t>。项目已具备招标条件，现对该项目的</w:t>
      </w:r>
      <w:r>
        <w:rPr>
          <w:rFonts w:hint="eastAsia"/>
          <w:color w:val="auto"/>
          <w:szCs w:val="21"/>
          <w:highlight w:val="none"/>
        </w:rPr>
        <w:t>工程</w:t>
      </w:r>
      <w:r>
        <w:rPr>
          <w:color w:val="auto"/>
          <w:szCs w:val="21"/>
          <w:highlight w:val="none"/>
        </w:rPr>
        <w:t>总承包进行公开招标。</w:t>
      </w:r>
    </w:p>
    <w:p w14:paraId="6895E907">
      <w:pPr>
        <w:pStyle w:val="4"/>
        <w:spacing w:before="62"/>
        <w:rPr>
          <w:rFonts w:ascii="Times New Roman" w:hAnsi="Times New Roman"/>
          <w:color w:val="auto"/>
          <w:sz w:val="28"/>
          <w:szCs w:val="28"/>
          <w:highlight w:val="none"/>
        </w:rPr>
      </w:pPr>
      <w:bookmarkStart w:id="34" w:name="_Toc144974481"/>
      <w:bookmarkStart w:id="35" w:name="_Toc22989"/>
      <w:bookmarkStart w:id="36" w:name="_Toc519085253"/>
      <w:bookmarkStart w:id="37" w:name="_Toc247527536"/>
      <w:bookmarkStart w:id="38" w:name="_Toc18049"/>
      <w:bookmarkStart w:id="39" w:name="_Toc247513935"/>
      <w:bookmarkStart w:id="40" w:name="_Toc8884_WPSOffice_Level1"/>
      <w:bookmarkStart w:id="41" w:name="_Toc22154"/>
      <w:bookmarkStart w:id="42" w:name="_Toc2490"/>
      <w:bookmarkStart w:id="43" w:name="_Toc15891"/>
      <w:bookmarkStart w:id="44" w:name="_Toc152045513"/>
      <w:bookmarkStart w:id="45" w:name="_Toc152042289"/>
      <w:bookmarkStart w:id="46" w:name="_Toc3302"/>
      <w:r>
        <w:rPr>
          <w:rFonts w:ascii="Times New Roman" w:hAnsi="Times New Roman"/>
          <w:color w:val="auto"/>
          <w:sz w:val="28"/>
          <w:szCs w:val="28"/>
          <w:highlight w:val="none"/>
        </w:rPr>
        <w:t>2. 项目概况与招标范围</w:t>
      </w:r>
      <w:bookmarkEnd w:id="34"/>
      <w:bookmarkEnd w:id="35"/>
      <w:bookmarkEnd w:id="36"/>
      <w:bookmarkEnd w:id="37"/>
      <w:bookmarkEnd w:id="38"/>
      <w:bookmarkEnd w:id="39"/>
      <w:bookmarkEnd w:id="40"/>
      <w:bookmarkEnd w:id="41"/>
      <w:bookmarkEnd w:id="42"/>
      <w:bookmarkEnd w:id="43"/>
      <w:bookmarkEnd w:id="44"/>
      <w:bookmarkEnd w:id="45"/>
      <w:bookmarkEnd w:id="46"/>
    </w:p>
    <w:p w14:paraId="310A1D0D">
      <w:pPr>
        <w:spacing w:line="460" w:lineRule="exact"/>
        <w:ind w:firstLine="437"/>
        <w:rPr>
          <w:rFonts w:hint="eastAsia"/>
          <w:color w:val="auto"/>
          <w:szCs w:val="21"/>
          <w:highlight w:val="none"/>
        </w:rPr>
      </w:pPr>
      <w:bookmarkStart w:id="47" w:name="_Toc3980367"/>
      <w:bookmarkStart w:id="48" w:name="_Toc9394_WPSOffice_Level2"/>
      <w:bookmarkStart w:id="49" w:name="_Toc3980815"/>
      <w:bookmarkStart w:id="50" w:name="_Toc23695_WPSOffice_Level2"/>
      <w:bookmarkStart w:id="51" w:name="_Toc247513936"/>
      <w:bookmarkStart w:id="52" w:name="_Toc152045514"/>
      <w:bookmarkStart w:id="53" w:name="_Toc152042290"/>
      <w:bookmarkStart w:id="54" w:name="_Toc247527537"/>
      <w:bookmarkStart w:id="55" w:name="_Toc144974482"/>
      <w:bookmarkStart w:id="56" w:name="_Toc20818"/>
      <w:bookmarkStart w:id="57" w:name="_Toc519085254"/>
      <w:r>
        <w:rPr>
          <w:color w:val="auto"/>
          <w:szCs w:val="21"/>
          <w:highlight w:val="none"/>
        </w:rPr>
        <w:t xml:space="preserve">2.1 </w:t>
      </w:r>
      <w:r>
        <w:rPr>
          <w:rFonts w:hint="eastAsia"/>
          <w:color w:val="auto"/>
          <w:szCs w:val="21"/>
          <w:highlight w:val="none"/>
        </w:rPr>
        <w:t>项目概况</w:t>
      </w:r>
      <w:bookmarkEnd w:id="47"/>
      <w:bookmarkEnd w:id="48"/>
      <w:bookmarkEnd w:id="49"/>
      <w:bookmarkEnd w:id="50"/>
    </w:p>
    <w:p w14:paraId="36811327">
      <w:pPr>
        <w:spacing w:line="460" w:lineRule="exact"/>
        <w:ind w:firstLine="437"/>
        <w:rPr>
          <w:rFonts w:hint="eastAsia"/>
          <w:color w:val="auto"/>
          <w:szCs w:val="21"/>
          <w:highlight w:val="none"/>
        </w:rPr>
      </w:pPr>
      <w:r>
        <w:rPr>
          <w:rFonts w:hint="eastAsia"/>
          <w:color w:val="auto"/>
          <w:szCs w:val="21"/>
          <w:highlight w:val="none"/>
        </w:rPr>
        <w:t>建设地点：</w:t>
      </w:r>
      <w:r>
        <w:rPr>
          <w:rFonts w:hint="eastAsia"/>
          <w:color w:val="auto"/>
          <w:szCs w:val="21"/>
          <w:highlight w:val="none"/>
          <w:u w:val="single"/>
        </w:rPr>
        <w:t xml:space="preserve">                              </w:t>
      </w:r>
      <w:r>
        <w:rPr>
          <w:rFonts w:hint="eastAsia"/>
          <w:color w:val="auto"/>
          <w:szCs w:val="21"/>
          <w:highlight w:val="none"/>
        </w:rPr>
        <w:t xml:space="preserve"> 。</w:t>
      </w:r>
    </w:p>
    <w:p w14:paraId="1F7FF91A">
      <w:pPr>
        <w:spacing w:line="460" w:lineRule="exact"/>
        <w:ind w:firstLine="437"/>
        <w:rPr>
          <w:rFonts w:hint="eastAsia"/>
          <w:color w:val="auto"/>
          <w:szCs w:val="21"/>
          <w:highlight w:val="none"/>
        </w:rPr>
      </w:pPr>
      <w:r>
        <w:rPr>
          <w:rFonts w:hint="eastAsia"/>
          <w:color w:val="auto"/>
          <w:szCs w:val="21"/>
          <w:highlight w:val="none"/>
        </w:rPr>
        <w:t>建设规模：</w:t>
      </w:r>
      <w:r>
        <w:rPr>
          <w:rFonts w:hint="eastAsia"/>
          <w:color w:val="auto"/>
          <w:szCs w:val="21"/>
          <w:highlight w:val="none"/>
          <w:u w:val="single"/>
        </w:rPr>
        <w:t xml:space="preserve">                               </w:t>
      </w:r>
      <w:r>
        <w:rPr>
          <w:rFonts w:hint="eastAsia"/>
          <w:color w:val="auto"/>
          <w:szCs w:val="21"/>
          <w:highlight w:val="none"/>
        </w:rPr>
        <w:t>。</w:t>
      </w:r>
    </w:p>
    <w:p w14:paraId="7D338EA3">
      <w:pPr>
        <w:spacing w:line="460" w:lineRule="exact"/>
        <w:ind w:firstLine="437"/>
        <w:rPr>
          <w:rFonts w:hint="eastAsia"/>
          <w:color w:val="auto"/>
          <w:szCs w:val="21"/>
          <w:highlight w:val="none"/>
        </w:rPr>
      </w:pPr>
      <w:r>
        <w:rPr>
          <w:rFonts w:hint="eastAsia"/>
          <w:color w:val="auto"/>
          <w:szCs w:val="21"/>
          <w:highlight w:val="none"/>
        </w:rPr>
        <w:t>其他：</w:t>
      </w:r>
      <w:r>
        <w:rPr>
          <w:rFonts w:hint="eastAsia"/>
          <w:color w:val="auto"/>
          <w:szCs w:val="21"/>
          <w:highlight w:val="none"/>
          <w:u w:val="single"/>
        </w:rPr>
        <w:t xml:space="preserve">                                  </w:t>
      </w:r>
      <w:r>
        <w:rPr>
          <w:rFonts w:hint="eastAsia"/>
          <w:color w:val="auto"/>
          <w:szCs w:val="21"/>
          <w:highlight w:val="none"/>
        </w:rPr>
        <w:t xml:space="preserve"> 。</w:t>
      </w:r>
    </w:p>
    <w:p w14:paraId="5F665CFA">
      <w:pPr>
        <w:spacing w:line="460" w:lineRule="exact"/>
        <w:ind w:firstLine="437"/>
        <w:rPr>
          <w:rFonts w:hint="eastAsia"/>
          <w:color w:val="auto"/>
          <w:szCs w:val="21"/>
          <w:highlight w:val="none"/>
        </w:rPr>
      </w:pPr>
      <w:bookmarkStart w:id="58" w:name="_Toc3980816"/>
      <w:bookmarkStart w:id="59" w:name="_Toc6648_WPSOffice_Level2"/>
      <w:bookmarkStart w:id="60" w:name="_Toc3980368"/>
      <w:bookmarkStart w:id="61" w:name="_Toc32503_WPSOffice_Level2"/>
      <w:r>
        <w:rPr>
          <w:color w:val="auto"/>
          <w:szCs w:val="21"/>
          <w:highlight w:val="none"/>
        </w:rPr>
        <w:t>2.</w:t>
      </w:r>
      <w:r>
        <w:rPr>
          <w:rFonts w:hint="eastAsia"/>
          <w:color w:val="auto"/>
          <w:szCs w:val="21"/>
          <w:highlight w:val="none"/>
        </w:rPr>
        <w:t>2 招标范围</w:t>
      </w:r>
      <w:bookmarkEnd w:id="58"/>
      <w:bookmarkEnd w:id="59"/>
      <w:bookmarkEnd w:id="60"/>
      <w:bookmarkEnd w:id="61"/>
    </w:p>
    <w:p w14:paraId="53B5E4D6">
      <w:pPr>
        <w:spacing w:line="460" w:lineRule="exact"/>
        <w:ind w:firstLine="437"/>
        <w:rPr>
          <w:rFonts w:hint="eastAsia"/>
          <w:color w:val="auto"/>
          <w:szCs w:val="21"/>
          <w:highlight w:val="none"/>
        </w:rPr>
      </w:pPr>
      <w:r>
        <w:rPr>
          <w:rFonts w:hint="eastAsia"/>
          <w:color w:val="auto"/>
          <w:szCs w:val="21"/>
          <w:highlight w:val="none"/>
        </w:rPr>
        <w:t>招标范围：</w:t>
      </w:r>
      <w:r>
        <w:rPr>
          <w:rFonts w:hint="eastAsia"/>
          <w:color w:val="auto"/>
          <w:szCs w:val="21"/>
          <w:highlight w:val="none"/>
          <w:u w:val="single"/>
        </w:rPr>
        <w:t xml:space="preserve">                                </w:t>
      </w:r>
      <w:r>
        <w:rPr>
          <w:rFonts w:hint="eastAsia"/>
          <w:color w:val="auto"/>
          <w:szCs w:val="21"/>
          <w:highlight w:val="none"/>
        </w:rPr>
        <w:t>。</w:t>
      </w:r>
    </w:p>
    <w:p w14:paraId="258B6C53">
      <w:pPr>
        <w:spacing w:line="460" w:lineRule="exact"/>
        <w:ind w:firstLine="437"/>
        <w:rPr>
          <w:rFonts w:hint="eastAsia"/>
          <w:color w:val="auto"/>
          <w:szCs w:val="21"/>
          <w:highlight w:val="none"/>
        </w:rPr>
      </w:pPr>
      <w:r>
        <w:rPr>
          <w:rFonts w:hint="eastAsia"/>
          <w:color w:val="auto"/>
          <w:szCs w:val="21"/>
          <w:highlight w:val="none"/>
        </w:rPr>
        <w:t>标段划分：</w:t>
      </w:r>
      <w:r>
        <w:rPr>
          <w:rFonts w:hint="eastAsia"/>
          <w:i/>
          <w:iCs/>
          <w:color w:val="auto"/>
          <w:szCs w:val="21"/>
          <w:highlight w:val="none"/>
          <w:u w:val="single"/>
        </w:rPr>
        <w:t xml:space="preserve">                                </w:t>
      </w:r>
      <w:r>
        <w:rPr>
          <w:rFonts w:hint="eastAsia"/>
          <w:color w:val="auto"/>
          <w:szCs w:val="21"/>
          <w:highlight w:val="none"/>
        </w:rPr>
        <w:t>。</w:t>
      </w:r>
    </w:p>
    <w:p w14:paraId="56B4E727">
      <w:pPr>
        <w:spacing w:line="460" w:lineRule="exact"/>
        <w:ind w:firstLine="437"/>
        <w:rPr>
          <w:rFonts w:hint="eastAsia"/>
          <w:color w:val="auto"/>
          <w:szCs w:val="21"/>
          <w:highlight w:val="none"/>
        </w:rPr>
      </w:pPr>
      <w:r>
        <w:rPr>
          <w:rFonts w:hint="eastAsia"/>
          <w:color w:val="auto"/>
          <w:szCs w:val="21"/>
          <w:highlight w:val="none"/>
        </w:rPr>
        <w:t>计划工期：</w:t>
      </w:r>
      <w:r>
        <w:rPr>
          <w:rFonts w:hint="eastAsia"/>
          <w:color w:val="auto"/>
          <w:szCs w:val="21"/>
          <w:highlight w:val="none"/>
          <w:u w:val="single"/>
        </w:rPr>
        <w:t xml:space="preserve">           </w:t>
      </w:r>
      <w:r>
        <w:rPr>
          <w:rFonts w:hint="eastAsia"/>
          <w:color w:val="auto"/>
          <w:szCs w:val="21"/>
          <w:highlight w:val="none"/>
        </w:rPr>
        <w:t xml:space="preserve"> 日历天，计划开始工作日期</w:t>
      </w:r>
      <w:r>
        <w:rPr>
          <w:rFonts w:hint="eastAsia"/>
          <w:color w:val="auto"/>
          <w:szCs w:val="21"/>
          <w:highlight w:val="none"/>
          <w:u w:val="single"/>
        </w:rPr>
        <w:t xml:space="preserve">                  </w:t>
      </w:r>
      <w:r>
        <w:rPr>
          <w:rFonts w:hint="eastAsia"/>
          <w:color w:val="auto"/>
          <w:szCs w:val="21"/>
          <w:highlight w:val="none"/>
        </w:rPr>
        <w:t>。</w:t>
      </w:r>
    </w:p>
    <w:p w14:paraId="7D330CB3">
      <w:pPr>
        <w:spacing w:line="460" w:lineRule="exact"/>
        <w:ind w:firstLine="437"/>
        <w:rPr>
          <w:rFonts w:hint="eastAsia"/>
          <w:color w:val="auto"/>
          <w:szCs w:val="21"/>
          <w:highlight w:val="none"/>
        </w:rPr>
      </w:pPr>
      <w:r>
        <w:rPr>
          <w:rFonts w:hint="eastAsia"/>
          <w:color w:val="auto"/>
          <w:szCs w:val="21"/>
          <w:highlight w:val="none"/>
        </w:rPr>
        <w:t>合同估算价：</w:t>
      </w:r>
      <w:r>
        <w:rPr>
          <w:rFonts w:hint="eastAsia"/>
          <w:color w:val="auto"/>
          <w:szCs w:val="21"/>
          <w:highlight w:val="none"/>
          <w:u w:val="single"/>
        </w:rPr>
        <w:t xml:space="preserve">                            </w:t>
      </w:r>
      <w:r>
        <w:rPr>
          <w:rFonts w:hint="eastAsia"/>
          <w:color w:val="auto"/>
          <w:szCs w:val="21"/>
          <w:highlight w:val="none"/>
        </w:rPr>
        <w:t xml:space="preserve"> 。</w:t>
      </w:r>
    </w:p>
    <w:p w14:paraId="0BE2C171">
      <w:pPr>
        <w:spacing w:line="460" w:lineRule="exact"/>
        <w:ind w:firstLine="437"/>
        <w:rPr>
          <w:rFonts w:hint="eastAsia"/>
          <w:color w:val="auto"/>
          <w:highlight w:val="none"/>
        </w:rPr>
      </w:pPr>
      <w:bookmarkStart w:id="62" w:name="_Toc12749_WPSOffice_Level2"/>
      <w:bookmarkStart w:id="63" w:name="_Toc4227_WPSOffice_Level2"/>
      <w:r>
        <w:rPr>
          <w:color w:val="auto"/>
          <w:szCs w:val="21"/>
          <w:highlight w:val="none"/>
        </w:rPr>
        <w:t>2.</w:t>
      </w:r>
      <w:r>
        <w:rPr>
          <w:rFonts w:hint="eastAsia"/>
          <w:color w:val="auto"/>
          <w:szCs w:val="21"/>
          <w:highlight w:val="none"/>
        </w:rPr>
        <w:t>3 其他：</w:t>
      </w:r>
      <w:r>
        <w:rPr>
          <w:rFonts w:hint="eastAsia"/>
          <w:color w:val="auto"/>
          <w:szCs w:val="21"/>
          <w:highlight w:val="none"/>
          <w:u w:val="single"/>
        </w:rPr>
        <w:t xml:space="preserve">                                    </w:t>
      </w:r>
      <w:r>
        <w:rPr>
          <w:rFonts w:hint="eastAsia"/>
          <w:color w:val="auto"/>
          <w:szCs w:val="21"/>
          <w:highlight w:val="none"/>
        </w:rPr>
        <w:t>。</w:t>
      </w:r>
      <w:bookmarkEnd w:id="62"/>
      <w:bookmarkEnd w:id="63"/>
    </w:p>
    <w:p w14:paraId="6585D839">
      <w:pPr>
        <w:pStyle w:val="4"/>
        <w:spacing w:before="62"/>
        <w:rPr>
          <w:rFonts w:ascii="Times New Roman" w:hAnsi="Times New Roman"/>
          <w:color w:val="auto"/>
          <w:sz w:val="28"/>
          <w:szCs w:val="28"/>
          <w:highlight w:val="none"/>
        </w:rPr>
      </w:pPr>
      <w:bookmarkStart w:id="64" w:name="_Toc12582"/>
      <w:bookmarkStart w:id="65" w:name="_Toc11833"/>
      <w:bookmarkStart w:id="66" w:name="_Toc16437"/>
      <w:bookmarkStart w:id="67" w:name="_Toc4477_WPSOffice_Level1"/>
      <w:bookmarkStart w:id="68" w:name="_Toc13654"/>
      <w:bookmarkStart w:id="69" w:name="_Toc27200"/>
      <w:r>
        <w:rPr>
          <w:rFonts w:ascii="Times New Roman" w:hAnsi="Times New Roman"/>
          <w:color w:val="auto"/>
          <w:sz w:val="28"/>
          <w:szCs w:val="28"/>
          <w:highlight w:val="none"/>
        </w:rPr>
        <w:t>3. 投标人资格要求</w:t>
      </w:r>
      <w:bookmarkEnd w:id="51"/>
      <w:bookmarkEnd w:id="52"/>
      <w:bookmarkEnd w:id="53"/>
      <w:bookmarkEnd w:id="54"/>
      <w:bookmarkEnd w:id="55"/>
      <w:bookmarkEnd w:id="56"/>
      <w:bookmarkEnd w:id="57"/>
      <w:bookmarkEnd w:id="64"/>
      <w:bookmarkEnd w:id="65"/>
      <w:bookmarkEnd w:id="66"/>
      <w:r>
        <w:rPr>
          <w:rFonts w:hint="eastAsia" w:ascii="Times New Roman" w:hAnsi="Times New Roman"/>
          <w:color w:val="auto"/>
          <w:sz w:val="28"/>
          <w:szCs w:val="28"/>
          <w:highlight w:val="none"/>
        </w:rPr>
        <w:t>（应与网上发布的公告一致）</w:t>
      </w:r>
      <w:bookmarkEnd w:id="67"/>
      <w:bookmarkEnd w:id="68"/>
      <w:bookmarkEnd w:id="69"/>
    </w:p>
    <w:p w14:paraId="43F7E361">
      <w:pPr>
        <w:spacing w:line="460" w:lineRule="exact"/>
        <w:ind w:firstLine="437"/>
        <w:rPr>
          <w:color w:val="auto"/>
          <w:highlight w:val="none"/>
        </w:rPr>
      </w:pPr>
      <w:r>
        <w:rPr>
          <w:rFonts w:hint="eastAsia"/>
          <w:color w:val="auto"/>
          <w:highlight w:val="none"/>
        </w:rPr>
        <w:t>3.1本次招标要求投标人须具备</w:t>
      </w:r>
      <w:r>
        <w:rPr>
          <w:rFonts w:hint="eastAsia"/>
          <w:color w:val="auto"/>
          <w:highlight w:val="none"/>
          <w:u w:val="single"/>
        </w:rPr>
        <w:t xml:space="preserve">            </w:t>
      </w:r>
      <w:r>
        <w:rPr>
          <w:rFonts w:hint="eastAsia"/>
          <w:color w:val="auto"/>
          <w:highlight w:val="none"/>
        </w:rPr>
        <w:t>资质，</w:t>
      </w:r>
      <w:r>
        <w:rPr>
          <w:color w:val="auto"/>
          <w:szCs w:val="21"/>
          <w:highlight w:val="none"/>
          <w:u w:val="single"/>
        </w:rPr>
        <w:t>近</w:t>
      </w:r>
      <w:r>
        <w:rPr>
          <w:rFonts w:hint="eastAsia"/>
          <w:color w:val="auto"/>
          <w:szCs w:val="21"/>
          <w:highlight w:val="none"/>
          <w:u w:val="single"/>
        </w:rPr>
        <w:t xml:space="preserve">    </w:t>
      </w:r>
      <w:r>
        <w:rPr>
          <w:color w:val="auto"/>
          <w:szCs w:val="21"/>
          <w:highlight w:val="none"/>
          <w:u w:val="single"/>
        </w:rPr>
        <w:t>年完成过</w:t>
      </w:r>
      <w:r>
        <w:rPr>
          <w:rFonts w:hint="eastAsia"/>
          <w:color w:val="auto"/>
          <w:szCs w:val="21"/>
          <w:highlight w:val="none"/>
          <w:u w:val="single"/>
        </w:rPr>
        <w:t xml:space="preserve">   </w:t>
      </w:r>
      <w:r>
        <w:rPr>
          <w:color w:val="auto"/>
          <w:szCs w:val="21"/>
          <w:highlight w:val="none"/>
          <w:u w:val="single"/>
        </w:rPr>
        <w:t>项</w:t>
      </w:r>
      <w:r>
        <w:rPr>
          <w:rFonts w:hint="eastAsia"/>
          <w:color w:val="auto"/>
          <w:highlight w:val="none"/>
          <w:u w:val="single"/>
        </w:rPr>
        <w:t xml:space="preserve">   (类似项目描述)业绩，并在人员、设备、资金等方面具有相应的设计、施工能力，其中，投标人拟派项目经理须具备        专业       级注册建造师执业资格，具备有效的安全生产考核合格证书</w:t>
      </w:r>
      <w:r>
        <w:rPr>
          <w:color w:val="auto"/>
          <w:highlight w:val="none"/>
          <w:u w:val="single"/>
        </w:rPr>
        <w:t>（B</w:t>
      </w:r>
      <w:r>
        <w:rPr>
          <w:rFonts w:hint="eastAsia"/>
          <w:color w:val="auto"/>
          <w:highlight w:val="none"/>
          <w:u w:val="single"/>
        </w:rPr>
        <w:t>证</w:t>
      </w:r>
      <w:r>
        <w:rPr>
          <w:color w:val="auto"/>
          <w:highlight w:val="none"/>
          <w:u w:val="single"/>
        </w:rPr>
        <w:t>）</w:t>
      </w:r>
      <w:r>
        <w:rPr>
          <w:rFonts w:hint="eastAsia"/>
          <w:color w:val="auto"/>
          <w:highlight w:val="none"/>
          <w:u w:val="single"/>
        </w:rPr>
        <w:t>，且未担任其他在施建设工程项目的项目经理</w:t>
      </w:r>
      <w:r>
        <w:rPr>
          <w:rFonts w:hint="eastAsia"/>
          <w:color w:val="auto"/>
          <w:highlight w:val="none"/>
        </w:rPr>
        <w:t>。</w:t>
      </w:r>
    </w:p>
    <w:p w14:paraId="154C615F">
      <w:pPr>
        <w:spacing w:line="460" w:lineRule="exact"/>
        <w:ind w:firstLine="420" w:firstLineChars="200"/>
        <w:rPr>
          <w:rFonts w:hint="eastAsia"/>
          <w:color w:val="auto"/>
          <w:szCs w:val="21"/>
          <w:highlight w:val="none"/>
        </w:rPr>
      </w:pPr>
      <w:r>
        <w:rPr>
          <w:color w:val="auto"/>
          <w:szCs w:val="21"/>
          <w:highlight w:val="none"/>
        </w:rPr>
        <w:t>3.2 本次招标</w:t>
      </w:r>
      <w:r>
        <w:rPr>
          <w:color w:val="auto"/>
          <w:szCs w:val="21"/>
          <w:highlight w:val="none"/>
          <w:u w:val="single"/>
        </w:rPr>
        <w:t xml:space="preserve">         </w:t>
      </w:r>
      <w:r>
        <w:rPr>
          <w:color w:val="auto"/>
          <w:szCs w:val="21"/>
          <w:highlight w:val="none"/>
        </w:rPr>
        <w:t>（接受或不接受）联合体投标。联合体投标的，应满足下列要求：</w:t>
      </w:r>
      <w:r>
        <w:rPr>
          <w:color w:val="auto"/>
          <w:szCs w:val="21"/>
          <w:highlight w:val="none"/>
          <w:u w:val="single"/>
        </w:rPr>
        <w:t xml:space="preserve">                                 </w:t>
      </w:r>
      <w:r>
        <w:rPr>
          <w:color w:val="auto"/>
          <w:szCs w:val="21"/>
          <w:highlight w:val="none"/>
        </w:rPr>
        <w:t>。</w:t>
      </w:r>
    </w:p>
    <w:p w14:paraId="5583E54B">
      <w:pPr>
        <w:adjustRightInd w:val="0"/>
        <w:spacing w:line="400" w:lineRule="exact"/>
        <w:ind w:firstLine="420" w:firstLineChars="200"/>
        <w:rPr>
          <w:rFonts w:hint="eastAsia" w:ascii="宋体" w:hAnsi="宋体"/>
          <w:color w:val="auto"/>
          <w:szCs w:val="21"/>
          <w:highlight w:val="none"/>
        </w:rPr>
      </w:pPr>
      <w:r>
        <w:rPr>
          <w:rFonts w:hint="eastAsia"/>
          <w:color w:val="auto"/>
          <w:highlight w:val="none"/>
        </w:rPr>
        <w:t>3.3各投标人均可就本招标项目上述标段中的</w:t>
      </w:r>
      <w:r>
        <w:rPr>
          <w:rFonts w:hint="eastAsia"/>
          <w:color w:val="auto"/>
          <w:highlight w:val="none"/>
          <w:u w:val="single"/>
        </w:rPr>
        <w:t xml:space="preserve">          </w:t>
      </w:r>
      <w:r>
        <w:rPr>
          <w:rFonts w:hint="eastAsia"/>
          <w:color w:val="auto"/>
          <w:highlight w:val="none"/>
        </w:rPr>
        <w:t>(具体数量)个标段投标，</w:t>
      </w:r>
      <w:r>
        <w:rPr>
          <w:rFonts w:hint="eastAsia" w:ascii="宋体" w:hAnsi="宋体"/>
          <w:color w:val="auto"/>
          <w:szCs w:val="21"/>
          <w:highlight w:val="none"/>
        </w:rPr>
        <w:t>招标人按下列原则选择中标人：</w:t>
      </w:r>
    </w:p>
    <w:p w14:paraId="6593037A">
      <w:pPr>
        <w:adjustRightInd w:val="0"/>
        <w:spacing w:line="400" w:lineRule="exact"/>
        <w:ind w:firstLine="420" w:firstLineChars="200"/>
        <w:rPr>
          <w:rFonts w:hint="eastAsia"/>
          <w:color w:val="auto"/>
          <w:highlight w:val="none"/>
        </w:rPr>
      </w:pPr>
      <w:r>
        <w:rPr>
          <w:rFonts w:hint="eastAsia"/>
          <w:color w:val="auto"/>
          <w:highlight w:val="none"/>
        </w:rPr>
        <w:t>投标人最多只允许中标</w:t>
      </w:r>
      <w:r>
        <w:rPr>
          <w:rFonts w:hint="eastAsia"/>
          <w:color w:val="auto"/>
          <w:highlight w:val="none"/>
          <w:u w:val="single"/>
        </w:rPr>
        <w:t xml:space="preserve">   </w:t>
      </w:r>
      <w:r>
        <w:rPr>
          <w:rFonts w:hint="eastAsia"/>
          <w:color w:val="auto"/>
          <w:highlight w:val="none"/>
        </w:rPr>
        <w:t>个标段。如果同一投标人在多个标段中均排序第一，</w:t>
      </w:r>
      <w:r>
        <w:rPr>
          <w:color w:val="auto"/>
          <w:highlight w:val="none"/>
        </w:rPr>
        <w:t>推荐中标候选人顺序为：</w:t>
      </w:r>
    </w:p>
    <w:p w14:paraId="5BA1AE42">
      <w:pPr>
        <w:adjustRightInd w:val="0"/>
        <w:spacing w:line="400" w:lineRule="exact"/>
        <w:ind w:firstLine="630" w:firstLineChars="300"/>
        <w:rPr>
          <w:rFonts w:hint="eastAsia"/>
          <w:color w:val="auto"/>
          <w:highlight w:val="none"/>
        </w:rPr>
      </w:pPr>
      <w:r>
        <w:rPr>
          <w:rFonts w:hint="eastAsia"/>
          <w:color w:val="auto"/>
          <w:highlight w:val="none"/>
        </w:rPr>
        <w:t>□</w:t>
      </w:r>
      <w:r>
        <w:rPr>
          <w:color w:val="auto"/>
          <w:highlight w:val="none"/>
        </w:rPr>
        <w:t>按照标段顺序，投标人在前面标段被推荐为第一中标候选人后，所投其他标段将不再被推荐为中标候选人。</w:t>
      </w:r>
    </w:p>
    <w:p w14:paraId="0D6822DA">
      <w:pPr>
        <w:adjustRightInd w:val="0"/>
        <w:spacing w:line="400" w:lineRule="exact"/>
        <w:ind w:firstLine="630" w:firstLineChars="300"/>
        <w:rPr>
          <w:rFonts w:hint="eastAsia"/>
          <w:color w:val="auto"/>
          <w:highlight w:val="none"/>
        </w:rPr>
      </w:pPr>
      <w:r>
        <w:rPr>
          <w:rFonts w:hint="eastAsia"/>
          <w:color w:val="auto"/>
          <w:highlight w:val="none"/>
        </w:rPr>
        <w:t>□</w:t>
      </w:r>
      <w:r>
        <w:rPr>
          <w:color w:val="auto"/>
          <w:highlight w:val="none"/>
        </w:rPr>
        <w:t>按照标段</w:t>
      </w:r>
      <w:r>
        <w:rPr>
          <w:rFonts w:hint="eastAsia"/>
          <w:color w:val="auto"/>
          <w:highlight w:val="none"/>
        </w:rPr>
        <w:t>最高投标限价</w:t>
      </w:r>
      <w:r>
        <w:rPr>
          <w:color w:val="auto"/>
          <w:highlight w:val="none"/>
        </w:rPr>
        <w:t>从大到小的顺序，投标人在</w:t>
      </w:r>
      <w:r>
        <w:rPr>
          <w:rFonts w:hint="eastAsia"/>
          <w:color w:val="auto"/>
          <w:highlight w:val="none"/>
        </w:rPr>
        <w:t>最高投标限价</w:t>
      </w:r>
      <w:r>
        <w:rPr>
          <w:color w:val="auto"/>
          <w:highlight w:val="none"/>
        </w:rPr>
        <w:t>大的标段被推荐为第一中标候选人后，所投其他标段将不再被推荐为中标候选人。</w:t>
      </w:r>
    </w:p>
    <w:p w14:paraId="3081F9A7">
      <w:pPr>
        <w:spacing w:line="460" w:lineRule="exact"/>
        <w:ind w:firstLine="630" w:firstLineChars="300"/>
        <w:rPr>
          <w:rFonts w:hint="eastAsia"/>
          <w:color w:val="auto"/>
          <w:highlight w:val="none"/>
        </w:rPr>
      </w:pPr>
      <w:r>
        <w:rPr>
          <w:rFonts w:hint="eastAsia"/>
          <w:color w:val="auto"/>
          <w:highlight w:val="none"/>
        </w:rPr>
        <w:t>□</w:t>
      </w:r>
      <w:r>
        <w:rPr>
          <w:rFonts w:hint="eastAsia"/>
          <w:color w:val="auto"/>
          <w:highlight w:val="none"/>
          <w:u w:val="single"/>
        </w:rPr>
        <w:t xml:space="preserve">                                           </w:t>
      </w:r>
      <w:r>
        <w:rPr>
          <w:rFonts w:hint="eastAsia"/>
          <w:color w:val="auto"/>
          <w:highlight w:val="none"/>
        </w:rPr>
        <w:t>。</w:t>
      </w:r>
    </w:p>
    <w:p w14:paraId="4D8098EF">
      <w:pPr>
        <w:spacing w:line="500" w:lineRule="exact"/>
        <w:ind w:firstLine="424" w:firstLineChars="202"/>
        <w:rPr>
          <w:color w:val="auto"/>
          <w:highlight w:val="none"/>
        </w:rPr>
      </w:pPr>
      <w:r>
        <w:rPr>
          <w:color w:val="auto"/>
          <w:kern w:val="0"/>
          <w:highlight w:val="none"/>
          <w:lang w:val="zh-CN"/>
        </w:rPr>
        <w:t>3.</w:t>
      </w:r>
      <w:r>
        <w:rPr>
          <w:rFonts w:hint="eastAsia"/>
          <w:color w:val="auto"/>
          <w:kern w:val="0"/>
          <w:highlight w:val="none"/>
        </w:rPr>
        <w:t>4</w:t>
      </w:r>
      <w:r>
        <w:rPr>
          <w:rFonts w:hint="eastAsia"/>
          <w:color w:val="auto"/>
          <w:szCs w:val="21"/>
          <w:highlight w:val="none"/>
        </w:rPr>
        <w:t>根据湖北省住房和城乡建设厅 《关于推动全省建筑市场统一开放的通知》 （鄂建文〔2015〕83号）的规定，“省内外建筑企业在各市州区域流动，统一实行一体化平台登记管理”。投标人应当在“湖北省建筑市场监督与诚信一体化工作平台”（网址：</w:t>
      </w:r>
      <w:r>
        <w:rPr>
          <w:color w:val="auto"/>
          <w:szCs w:val="21"/>
          <w:highlight w:val="none"/>
        </w:rPr>
        <w:t>http://jg.hbcic.net.cn/web/</w:t>
      </w:r>
      <w:r>
        <w:rPr>
          <w:rFonts w:hint="eastAsia"/>
          <w:color w:val="auto"/>
          <w:szCs w:val="21"/>
          <w:highlight w:val="none"/>
        </w:rPr>
        <w:t>）进行企业基本信息和人员信息登记。</w:t>
      </w:r>
    </w:p>
    <w:p w14:paraId="2F6CF00B">
      <w:pPr>
        <w:spacing w:line="500" w:lineRule="exact"/>
        <w:ind w:firstLine="424" w:firstLineChars="202"/>
        <w:jc w:val="left"/>
        <w:rPr>
          <w:color w:val="auto"/>
          <w:kern w:val="0"/>
          <w:szCs w:val="21"/>
          <w:highlight w:val="none"/>
          <w:lang w:val="zh-CN"/>
        </w:rPr>
      </w:pPr>
      <w:r>
        <w:rPr>
          <w:rFonts w:hint="eastAsia"/>
          <w:color w:val="auto"/>
          <w:kern w:val="0"/>
          <w:szCs w:val="21"/>
          <w:highlight w:val="none"/>
        </w:rPr>
        <w:t>3.5</w:t>
      </w:r>
      <w:r>
        <w:rPr>
          <w:rFonts w:hint="eastAsia"/>
          <w:color w:val="auto"/>
          <w:kern w:val="0"/>
          <w:szCs w:val="21"/>
          <w:highlight w:val="none"/>
          <w:lang w:val="zh-CN"/>
        </w:rPr>
        <w:t>其它要求：</w:t>
      </w:r>
      <w:r>
        <w:rPr>
          <w:color w:val="auto"/>
          <w:kern w:val="0"/>
          <w:highlight w:val="none"/>
          <w:u w:val="single"/>
          <w:lang w:val="zh-CN"/>
        </w:rPr>
        <w:t xml:space="preserve">  </w:t>
      </w:r>
      <w:r>
        <w:rPr>
          <w:color w:val="auto"/>
          <w:kern w:val="0"/>
          <w:szCs w:val="21"/>
          <w:highlight w:val="none"/>
          <w:u w:val="single"/>
          <w:lang w:val="zh-CN"/>
        </w:rPr>
        <w:t xml:space="preserve"> </w:t>
      </w:r>
      <w:r>
        <w:rPr>
          <w:rFonts w:hint="eastAsia"/>
          <w:color w:val="auto"/>
          <w:kern w:val="0"/>
          <w:szCs w:val="21"/>
          <w:highlight w:val="none"/>
          <w:u w:val="single"/>
        </w:rPr>
        <w:t xml:space="preserve">    </w:t>
      </w:r>
      <w:r>
        <w:rPr>
          <w:color w:val="auto"/>
          <w:kern w:val="0"/>
          <w:szCs w:val="21"/>
          <w:highlight w:val="none"/>
          <w:u w:val="single"/>
          <w:lang w:val="zh-CN"/>
        </w:rPr>
        <w:t xml:space="preserve"> </w:t>
      </w:r>
      <w:r>
        <w:rPr>
          <w:color w:val="auto"/>
          <w:kern w:val="0"/>
          <w:highlight w:val="none"/>
          <w:u w:val="single"/>
          <w:lang w:val="zh-CN"/>
        </w:rPr>
        <w:t xml:space="preserve">  </w:t>
      </w:r>
      <w:r>
        <w:rPr>
          <w:color w:val="auto"/>
          <w:kern w:val="0"/>
          <w:highlight w:val="none"/>
          <w:lang w:val="zh-CN"/>
        </w:rPr>
        <w:t xml:space="preserve"> </w:t>
      </w:r>
      <w:r>
        <w:rPr>
          <w:rFonts w:hint="eastAsia"/>
          <w:color w:val="auto"/>
          <w:kern w:val="0"/>
          <w:highlight w:val="none"/>
          <w:lang w:val="zh-CN"/>
        </w:rPr>
        <w:t>。</w:t>
      </w:r>
    </w:p>
    <w:p w14:paraId="6C8B93AB">
      <w:pPr>
        <w:spacing w:line="460" w:lineRule="exact"/>
        <w:ind w:firstLine="630" w:firstLineChars="300"/>
        <w:rPr>
          <w:rFonts w:hint="eastAsia"/>
          <w:color w:val="auto"/>
          <w:highlight w:val="none"/>
        </w:rPr>
      </w:pPr>
    </w:p>
    <w:p w14:paraId="404EC996">
      <w:pPr>
        <w:pStyle w:val="4"/>
        <w:spacing w:before="62"/>
        <w:rPr>
          <w:rFonts w:ascii="Times New Roman" w:hAnsi="Times New Roman"/>
          <w:color w:val="auto"/>
          <w:sz w:val="28"/>
          <w:szCs w:val="28"/>
          <w:highlight w:val="none"/>
        </w:rPr>
      </w:pPr>
      <w:bookmarkStart w:id="70" w:name="_Toc519085255"/>
      <w:bookmarkStart w:id="71" w:name="_Toc247513937"/>
      <w:bookmarkStart w:id="72" w:name="_Toc27935"/>
      <w:bookmarkStart w:id="73" w:name="_Toc7591"/>
      <w:bookmarkStart w:id="74" w:name="_Toc152042291"/>
      <w:bookmarkStart w:id="75" w:name="_Toc152045515"/>
      <w:bookmarkStart w:id="76" w:name="_Toc4562"/>
      <w:bookmarkStart w:id="77" w:name="_Toc1768"/>
      <w:bookmarkStart w:id="78" w:name="_Toc144974483"/>
      <w:bookmarkStart w:id="79" w:name="_Toc247527538"/>
      <w:bookmarkStart w:id="80" w:name="_Toc19953_WPSOffice_Level1"/>
      <w:bookmarkStart w:id="81" w:name="_Toc30411"/>
      <w:bookmarkStart w:id="82" w:name="_Toc59"/>
      <w:r>
        <w:rPr>
          <w:rFonts w:ascii="Times New Roman" w:hAnsi="Times New Roman"/>
          <w:color w:val="auto"/>
          <w:sz w:val="28"/>
          <w:szCs w:val="28"/>
          <w:highlight w:val="none"/>
        </w:rPr>
        <w:t>4. 招标文件的获取</w:t>
      </w:r>
      <w:bookmarkEnd w:id="70"/>
      <w:bookmarkEnd w:id="71"/>
      <w:bookmarkEnd w:id="72"/>
      <w:bookmarkEnd w:id="73"/>
      <w:bookmarkEnd w:id="74"/>
      <w:bookmarkEnd w:id="75"/>
      <w:bookmarkEnd w:id="76"/>
      <w:bookmarkEnd w:id="77"/>
      <w:bookmarkEnd w:id="78"/>
      <w:bookmarkEnd w:id="79"/>
      <w:bookmarkEnd w:id="80"/>
      <w:bookmarkEnd w:id="81"/>
      <w:bookmarkEnd w:id="82"/>
    </w:p>
    <w:p w14:paraId="42EF597B">
      <w:pPr>
        <w:spacing w:after="156" w:afterLines="50" w:line="460" w:lineRule="exact"/>
        <w:ind w:firstLine="437"/>
        <w:rPr>
          <w:color w:val="auto"/>
          <w:highlight w:val="none"/>
        </w:rPr>
      </w:pPr>
      <w:r>
        <w:rPr>
          <w:rFonts w:hint="eastAsia"/>
          <w:color w:val="auto"/>
          <w:highlight w:val="none"/>
        </w:rPr>
        <w:t>4.1 凡有意参加投标者（若为联合体投标，指联合体所有成员），应当在武汉市公共资源交易平台招标投标交易系统（以下简称“市电子交易平台”，下同）（网址：</w:t>
      </w:r>
      <w:r>
        <w:rPr>
          <w:color w:val="auto"/>
          <w:highlight w:val="none"/>
        </w:rPr>
        <w:t>https://</w:t>
      </w:r>
      <w:r>
        <w:rPr>
          <w:rFonts w:hint="eastAsia"/>
          <w:color w:val="auto"/>
          <w:highlight w:val="none"/>
        </w:rPr>
        <w:t>www.whzbtbxt.cn）进行注册登记，并办理CA数字证书（具体操作参见“市电子交易平台”—操作指南—注册及帐号管理）。</w:t>
      </w:r>
    </w:p>
    <w:p w14:paraId="1A92BBA7">
      <w:pPr>
        <w:spacing w:after="156" w:afterLines="50" w:line="460" w:lineRule="exact"/>
        <w:ind w:firstLine="437"/>
        <w:rPr>
          <w:rFonts w:hint="eastAsia"/>
          <w:color w:val="auto"/>
          <w:highlight w:val="none"/>
        </w:rPr>
      </w:pPr>
      <w:r>
        <w:rPr>
          <w:rFonts w:hint="eastAsia"/>
          <w:color w:val="auto"/>
          <w:highlight w:val="none"/>
        </w:rPr>
        <w:t>4.2完成注册登记后，请</w:t>
      </w:r>
      <w:r>
        <w:rPr>
          <w:color w:val="auto"/>
          <w:highlight w:val="none"/>
        </w:rPr>
        <w:t>你单位</w:t>
      </w:r>
      <w:r>
        <w:rPr>
          <w:rFonts w:hint="eastAsia"/>
          <w:color w:val="auto"/>
          <w:highlight w:val="none"/>
        </w:rPr>
        <w:t>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分至</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分止（北京时间，</w:t>
      </w:r>
      <w:r>
        <w:rPr>
          <w:rFonts w:hint="eastAsia"/>
          <w:color w:val="auto"/>
          <w:szCs w:val="21"/>
          <w:highlight w:val="none"/>
        </w:rPr>
        <w:t>应与网上发布的资格预审公告一致，下同</w:t>
      </w:r>
      <w:r>
        <w:rPr>
          <w:rFonts w:hint="eastAsia"/>
          <w:color w:val="auto"/>
          <w:highlight w:val="none"/>
        </w:rPr>
        <w:t>），</w:t>
      </w:r>
      <w:r>
        <w:rPr>
          <w:color w:val="auto"/>
          <w:highlight w:val="none"/>
        </w:rPr>
        <w:t>通过</w:t>
      </w:r>
      <w:r>
        <w:rPr>
          <w:rFonts w:hint="eastAsia"/>
          <w:color w:val="auto"/>
          <w:highlight w:val="none"/>
        </w:rPr>
        <w:t>互联网</w:t>
      </w:r>
      <w:r>
        <w:rPr>
          <w:color w:val="auto"/>
          <w:highlight w:val="none"/>
        </w:rPr>
        <w:t>使用</w:t>
      </w:r>
      <w:r>
        <w:rPr>
          <w:rFonts w:hint="eastAsia"/>
          <w:color w:val="auto"/>
          <w:highlight w:val="none"/>
        </w:rPr>
        <w:t>CA数字证书</w:t>
      </w:r>
      <w:r>
        <w:rPr>
          <w:color w:val="auto"/>
          <w:highlight w:val="none"/>
        </w:rPr>
        <w:t>登录</w:t>
      </w:r>
      <w:r>
        <w:rPr>
          <w:rFonts w:hint="eastAsia"/>
          <w:color w:val="auto"/>
          <w:highlight w:val="none"/>
        </w:rPr>
        <w:t>“</w:t>
      </w:r>
      <w:r>
        <w:rPr>
          <w:color w:val="auto"/>
          <w:highlight w:val="none"/>
        </w:rPr>
        <w:t>市电子交易平台</w:t>
      </w:r>
      <w:r>
        <w:rPr>
          <w:rFonts w:hint="eastAsia"/>
          <w:color w:val="auto"/>
          <w:highlight w:val="none"/>
        </w:rPr>
        <w:t>”，</w:t>
      </w:r>
      <w:r>
        <w:rPr>
          <w:rFonts w:hint="eastAsia" w:ascii="宋体" w:hAnsi="宋体"/>
          <w:color w:val="auto"/>
          <w:kern w:val="0"/>
          <w:szCs w:val="21"/>
          <w:highlight w:val="none"/>
        </w:rPr>
        <w:t>在所投标段</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4833862D">
      <w:pPr>
        <w:pStyle w:val="4"/>
        <w:spacing w:before="62"/>
        <w:rPr>
          <w:rFonts w:ascii="Times New Roman" w:hAnsi="Times New Roman"/>
          <w:color w:val="auto"/>
          <w:sz w:val="28"/>
          <w:szCs w:val="28"/>
          <w:highlight w:val="none"/>
        </w:rPr>
      </w:pPr>
      <w:bookmarkStart w:id="83" w:name="_Toc20273"/>
      <w:bookmarkStart w:id="84" w:name="_Toc247527539"/>
      <w:bookmarkStart w:id="85" w:name="_Toc21211_WPSOffice_Level1"/>
      <w:bookmarkStart w:id="86" w:name="_Toc185"/>
      <w:bookmarkStart w:id="87" w:name="_Toc14784"/>
      <w:bookmarkStart w:id="88" w:name="_Toc152045516"/>
      <w:bookmarkStart w:id="89" w:name="_Toc21647"/>
      <w:bookmarkStart w:id="90" w:name="_Toc10071"/>
      <w:bookmarkStart w:id="91" w:name="_Toc15590"/>
      <w:bookmarkStart w:id="92" w:name="_Toc519085256"/>
      <w:bookmarkStart w:id="93" w:name="_Toc144974484"/>
      <w:bookmarkStart w:id="94" w:name="_Toc152042292"/>
      <w:bookmarkStart w:id="95" w:name="_Toc247513938"/>
      <w:r>
        <w:rPr>
          <w:rFonts w:ascii="Times New Roman" w:hAnsi="Times New Roman"/>
          <w:color w:val="auto"/>
          <w:sz w:val="28"/>
          <w:szCs w:val="28"/>
          <w:highlight w:val="none"/>
        </w:rPr>
        <w:t>5. 投标文件的递交</w:t>
      </w:r>
      <w:bookmarkEnd w:id="83"/>
      <w:bookmarkEnd w:id="84"/>
      <w:bookmarkEnd w:id="85"/>
      <w:bookmarkEnd w:id="86"/>
      <w:bookmarkEnd w:id="87"/>
      <w:bookmarkEnd w:id="88"/>
      <w:bookmarkEnd w:id="89"/>
      <w:bookmarkEnd w:id="90"/>
      <w:bookmarkEnd w:id="91"/>
      <w:bookmarkEnd w:id="92"/>
      <w:bookmarkEnd w:id="93"/>
      <w:bookmarkEnd w:id="94"/>
      <w:bookmarkEnd w:id="95"/>
    </w:p>
    <w:p w14:paraId="5E6A39DE">
      <w:pPr>
        <w:spacing w:before="249" w:beforeLines="80" w:after="249" w:afterLines="80" w:line="460" w:lineRule="exact"/>
        <w:ind w:firstLine="420" w:firstLineChars="200"/>
        <w:rPr>
          <w:rFonts w:hint="eastAsia"/>
          <w:color w:val="auto"/>
          <w:highlight w:val="none"/>
        </w:rPr>
      </w:pPr>
      <w:r>
        <w:rPr>
          <w:rFonts w:hint="eastAsia"/>
          <w:color w:val="auto"/>
          <w:highlight w:val="none"/>
        </w:rPr>
        <w:t>5.1投标文件与投标保证金递交的截止时间为</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分。投标人应当在投标截止时间前，按照招标文件中第二章“投标人须知”的规定提交投标保证金。</w:t>
      </w:r>
    </w:p>
    <w:p w14:paraId="607D3F05">
      <w:pPr>
        <w:spacing w:before="249" w:beforeLines="80" w:after="249" w:afterLines="80" w:line="460" w:lineRule="exact"/>
        <w:ind w:firstLine="420" w:firstLineChars="200"/>
        <w:rPr>
          <w:rFonts w:hint="eastAsia"/>
          <w:color w:val="auto"/>
          <w:highlight w:val="none"/>
        </w:rPr>
      </w:pPr>
      <w:r>
        <w:rPr>
          <w:rFonts w:hint="eastAsia"/>
          <w:color w:val="auto"/>
          <w:highlight w:val="none"/>
        </w:rPr>
        <w:t>5.2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3DE753DC">
      <w:pPr>
        <w:pStyle w:val="4"/>
        <w:spacing w:before="62"/>
        <w:rPr>
          <w:rFonts w:hint="eastAsia" w:ascii="Times New Roman" w:hAnsi="Times New Roman"/>
          <w:color w:val="auto"/>
          <w:sz w:val="28"/>
          <w:szCs w:val="28"/>
          <w:highlight w:val="none"/>
        </w:rPr>
      </w:pPr>
      <w:bookmarkStart w:id="96" w:name="_Toc14293"/>
      <w:bookmarkStart w:id="97" w:name="_Toc5382"/>
      <w:bookmarkStart w:id="98" w:name="_Toc27644_WPSOffice_Level1"/>
      <w:bookmarkStart w:id="99" w:name="_Toc23251"/>
      <w:bookmarkStart w:id="100" w:name="_Toc1791"/>
      <w:bookmarkStart w:id="101" w:name="_Toc524907998"/>
      <w:bookmarkStart w:id="102" w:name="_Toc11912"/>
      <w:r>
        <w:rPr>
          <w:rFonts w:hint="eastAsia" w:ascii="Times New Roman" w:hAnsi="Times New Roman"/>
          <w:color w:val="auto"/>
          <w:sz w:val="28"/>
          <w:szCs w:val="28"/>
          <w:highlight w:val="none"/>
        </w:rPr>
        <w:t>6. 投标相关事宜</w:t>
      </w:r>
      <w:bookmarkEnd w:id="96"/>
      <w:bookmarkEnd w:id="97"/>
      <w:bookmarkEnd w:id="98"/>
      <w:bookmarkEnd w:id="99"/>
      <w:bookmarkEnd w:id="100"/>
      <w:bookmarkEnd w:id="101"/>
      <w:bookmarkEnd w:id="102"/>
    </w:p>
    <w:p w14:paraId="4A2DA3E1">
      <w:pPr>
        <w:spacing w:after="156" w:afterLines="50" w:line="460" w:lineRule="exact"/>
        <w:ind w:firstLine="437"/>
        <w:rPr>
          <w:rFonts w:hint="eastAsia"/>
          <w:color w:val="auto"/>
          <w:highlight w:val="none"/>
        </w:rPr>
      </w:pPr>
      <w:r>
        <w:rPr>
          <w:rFonts w:hint="eastAsia"/>
          <w:color w:val="auto"/>
          <w:highlight w:val="none"/>
          <w:u w:val="single"/>
        </w:rPr>
        <w:t xml:space="preserve">                                 </w:t>
      </w:r>
      <w:r>
        <w:rPr>
          <w:rFonts w:hint="eastAsia"/>
          <w:color w:val="auto"/>
          <w:highlight w:val="none"/>
        </w:rPr>
        <w:t>。</w:t>
      </w:r>
    </w:p>
    <w:p w14:paraId="08D863BE">
      <w:pPr>
        <w:pStyle w:val="4"/>
        <w:spacing w:before="62"/>
        <w:rPr>
          <w:rFonts w:hint="eastAsia" w:ascii="Times New Roman" w:hAnsi="Times New Roman"/>
          <w:color w:val="auto"/>
          <w:sz w:val="28"/>
          <w:szCs w:val="28"/>
          <w:highlight w:val="none"/>
        </w:rPr>
      </w:pPr>
      <w:bookmarkStart w:id="103" w:name="_Toc524907999"/>
      <w:bookmarkStart w:id="104" w:name="_Toc2167"/>
      <w:bookmarkStart w:id="105" w:name="_Toc14182"/>
      <w:bookmarkStart w:id="106" w:name="_Toc13845"/>
      <w:bookmarkStart w:id="107" w:name="_Toc28083"/>
      <w:bookmarkStart w:id="108" w:name="_Toc25837_WPSOffice_Level1"/>
      <w:bookmarkStart w:id="109" w:name="_Toc319"/>
      <w:r>
        <w:rPr>
          <w:rFonts w:hint="eastAsia" w:ascii="Times New Roman" w:hAnsi="Times New Roman"/>
          <w:color w:val="auto"/>
          <w:sz w:val="28"/>
          <w:szCs w:val="28"/>
          <w:highlight w:val="none"/>
        </w:rPr>
        <w:t>7. 评标办法</w:t>
      </w:r>
      <w:bookmarkEnd w:id="103"/>
      <w:bookmarkEnd w:id="104"/>
      <w:bookmarkEnd w:id="105"/>
      <w:bookmarkEnd w:id="106"/>
      <w:bookmarkEnd w:id="107"/>
      <w:bookmarkEnd w:id="108"/>
      <w:bookmarkEnd w:id="109"/>
    </w:p>
    <w:p w14:paraId="72C6B221">
      <w:pPr>
        <w:spacing w:after="156" w:afterLines="50" w:line="460" w:lineRule="exact"/>
        <w:ind w:firstLine="437"/>
        <w:rPr>
          <w:rFonts w:hint="eastAsia"/>
          <w:color w:val="auto"/>
          <w:highlight w:val="none"/>
        </w:rPr>
      </w:pPr>
      <w:r>
        <w:rPr>
          <w:rFonts w:hint="eastAsia"/>
          <w:color w:val="auto"/>
          <w:highlight w:val="none"/>
        </w:rPr>
        <w:t>本次招标评标办法采用</w:t>
      </w:r>
      <w:r>
        <w:rPr>
          <w:rFonts w:hint="eastAsia"/>
          <w:color w:val="auto"/>
          <w:highlight w:val="none"/>
          <w:u w:val="single"/>
        </w:rPr>
        <w:t xml:space="preserve">             </w:t>
      </w:r>
      <w:r>
        <w:rPr>
          <w:rFonts w:hint="eastAsia"/>
          <w:color w:val="auto"/>
          <w:highlight w:val="none"/>
        </w:rPr>
        <w:t>。</w:t>
      </w:r>
    </w:p>
    <w:p w14:paraId="534D0328">
      <w:pPr>
        <w:pStyle w:val="4"/>
        <w:spacing w:before="62"/>
        <w:rPr>
          <w:rFonts w:ascii="Times New Roman" w:hAnsi="Times New Roman"/>
          <w:color w:val="auto"/>
          <w:sz w:val="28"/>
          <w:szCs w:val="28"/>
          <w:highlight w:val="none"/>
        </w:rPr>
      </w:pPr>
      <w:bookmarkStart w:id="110" w:name="_Toc6028"/>
      <w:bookmarkStart w:id="111" w:name="_Toc14668_WPSOffice_Level1"/>
      <w:bookmarkStart w:id="112" w:name="_Toc3871"/>
      <w:bookmarkStart w:id="113" w:name="_Toc30965"/>
      <w:bookmarkStart w:id="114" w:name="_Toc247527540"/>
      <w:bookmarkStart w:id="115" w:name="_Toc247513939"/>
      <w:bookmarkStart w:id="116" w:name="_Toc23189"/>
      <w:bookmarkStart w:id="117" w:name="_Toc15452"/>
      <w:bookmarkStart w:id="118" w:name="_Toc10595"/>
      <w:bookmarkStart w:id="119" w:name="_Toc519085257"/>
      <w:bookmarkStart w:id="120" w:name="_Toc157499355"/>
      <w:r>
        <w:rPr>
          <w:rFonts w:hint="eastAsia" w:ascii="Times New Roman" w:hAnsi="Times New Roman"/>
          <w:color w:val="auto"/>
          <w:sz w:val="28"/>
          <w:szCs w:val="28"/>
          <w:highlight w:val="none"/>
        </w:rPr>
        <w:t>8. 发布公告的媒介</w:t>
      </w:r>
      <w:bookmarkEnd w:id="110"/>
      <w:bookmarkEnd w:id="111"/>
      <w:bookmarkEnd w:id="112"/>
      <w:bookmarkEnd w:id="113"/>
      <w:bookmarkEnd w:id="114"/>
      <w:bookmarkEnd w:id="115"/>
      <w:bookmarkEnd w:id="116"/>
      <w:bookmarkEnd w:id="117"/>
      <w:bookmarkEnd w:id="118"/>
      <w:bookmarkEnd w:id="119"/>
      <w:bookmarkEnd w:id="120"/>
    </w:p>
    <w:p w14:paraId="06203909">
      <w:pPr>
        <w:spacing w:line="440" w:lineRule="exact"/>
        <w:ind w:firstLine="437"/>
        <w:rPr>
          <w:rFonts w:hint="eastAsia"/>
          <w:color w:val="auto"/>
          <w:highlight w:val="none"/>
        </w:rPr>
      </w:pPr>
      <w:r>
        <w:rPr>
          <w:rFonts w:hint="eastAsia"/>
          <w:color w:val="auto"/>
          <w:highlight w:val="none"/>
        </w:rPr>
        <w:t>本次招标公告同时在武汉市公共资源交易平台招标投标交易系统（网址：</w:t>
      </w:r>
      <w:r>
        <w:rPr>
          <w:color w:val="auto"/>
          <w:highlight w:val="none"/>
        </w:rPr>
        <w:fldChar w:fldCharType="begin"/>
      </w:r>
      <w:r>
        <w:rPr>
          <w:color w:val="auto"/>
          <w:highlight w:val="none"/>
        </w:rPr>
        <w:instrText xml:space="preserve"> HYPERLINK "https://www.whzbtb.com" </w:instrText>
      </w:r>
      <w:r>
        <w:rPr>
          <w:color w:val="auto"/>
          <w:highlight w:val="none"/>
        </w:rPr>
        <w:fldChar w:fldCharType="separate"/>
      </w:r>
      <w:r>
        <w:rPr>
          <w:rStyle w:val="43"/>
          <w:color w:val="auto"/>
          <w:highlight w:val="none"/>
        </w:rPr>
        <w:t>https://</w:t>
      </w:r>
      <w:r>
        <w:rPr>
          <w:rStyle w:val="43"/>
          <w:rFonts w:hint="eastAsia"/>
          <w:color w:val="auto"/>
          <w:highlight w:val="none"/>
        </w:rPr>
        <w:t>www.whzbtbxt.cn</w:t>
      </w:r>
      <w:r>
        <w:rPr>
          <w:color w:val="auto"/>
          <w:highlight w:val="none"/>
        </w:rPr>
        <w:fldChar w:fldCharType="end"/>
      </w:r>
      <w:r>
        <w:rPr>
          <w:rFonts w:hint="eastAsia"/>
          <w:color w:val="auto"/>
          <w:highlight w:val="none"/>
        </w:rPr>
        <w:t>） (发布公告的媒介名称)上发布。</w:t>
      </w:r>
    </w:p>
    <w:p w14:paraId="06197452">
      <w:pPr>
        <w:pStyle w:val="4"/>
        <w:spacing w:before="62"/>
        <w:rPr>
          <w:rFonts w:ascii="Times New Roman" w:hAnsi="Times New Roman"/>
          <w:color w:val="auto"/>
          <w:sz w:val="28"/>
          <w:szCs w:val="28"/>
          <w:highlight w:val="none"/>
        </w:rPr>
      </w:pPr>
      <w:bookmarkStart w:id="121" w:name="_Toc30470"/>
      <w:bookmarkStart w:id="122" w:name="_Toc6671_WPSOffice_Level1"/>
      <w:bookmarkStart w:id="123" w:name="_Toc27377"/>
      <w:bookmarkStart w:id="124" w:name="_Toc247527541"/>
      <w:bookmarkStart w:id="125" w:name="_Toc8493"/>
      <w:bookmarkStart w:id="126" w:name="_Toc247513940"/>
      <w:bookmarkStart w:id="127" w:name="_Toc152042293"/>
      <w:bookmarkStart w:id="128" w:name="_Toc152045517"/>
      <w:bookmarkStart w:id="129" w:name="_Toc10870"/>
      <w:bookmarkStart w:id="130" w:name="_Toc16688"/>
      <w:bookmarkStart w:id="131" w:name="_Toc519085258"/>
      <w:bookmarkStart w:id="132" w:name="_Toc9221"/>
      <w:bookmarkStart w:id="133" w:name="_Toc144974485"/>
      <w:r>
        <w:rPr>
          <w:rFonts w:hint="eastAsia" w:ascii="Times New Roman" w:hAnsi="Times New Roman"/>
          <w:color w:val="auto"/>
          <w:sz w:val="28"/>
          <w:szCs w:val="28"/>
          <w:highlight w:val="none"/>
        </w:rPr>
        <w:t>9</w:t>
      </w:r>
      <w:r>
        <w:rPr>
          <w:rFonts w:ascii="Times New Roman" w:hAnsi="Times New Roman"/>
          <w:color w:val="auto"/>
          <w:sz w:val="28"/>
          <w:szCs w:val="28"/>
          <w:highlight w:val="none"/>
        </w:rPr>
        <w:t>. 联系方式</w:t>
      </w:r>
      <w:bookmarkEnd w:id="121"/>
      <w:bookmarkEnd w:id="122"/>
      <w:bookmarkEnd w:id="123"/>
      <w:bookmarkEnd w:id="124"/>
      <w:bookmarkEnd w:id="125"/>
      <w:bookmarkEnd w:id="126"/>
      <w:bookmarkEnd w:id="127"/>
      <w:bookmarkEnd w:id="128"/>
      <w:bookmarkEnd w:id="129"/>
      <w:bookmarkEnd w:id="130"/>
      <w:bookmarkEnd w:id="131"/>
      <w:bookmarkEnd w:id="132"/>
      <w:bookmarkEnd w:id="133"/>
    </w:p>
    <w:p w14:paraId="6DEE3423">
      <w:pPr>
        <w:topLinePunct/>
        <w:spacing w:line="46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2085688A">
      <w:pPr>
        <w:topLinePunct/>
        <w:spacing w:line="46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3CD40BED">
      <w:pPr>
        <w:topLinePunct/>
        <w:spacing w:line="46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570BB498">
      <w:pPr>
        <w:topLinePunct/>
        <w:spacing w:line="46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05B27A5A">
      <w:pPr>
        <w:topLinePunct/>
        <w:spacing w:line="46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2D912F2F">
      <w:pPr>
        <w:topLinePunct/>
        <w:spacing w:line="46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3A3266CA">
      <w:pPr>
        <w:topLinePunct/>
        <w:spacing w:line="46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1844DC34">
      <w:pPr>
        <w:topLinePunct/>
        <w:spacing w:line="46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3273D337">
      <w:pPr>
        <w:spacing w:line="460" w:lineRule="exact"/>
        <w:rPr>
          <w:color w:val="auto"/>
          <w:szCs w:val="21"/>
          <w:highlight w:val="none"/>
        </w:rPr>
      </w:pPr>
      <w:r>
        <w:rPr>
          <w:color w:val="auto"/>
          <w:szCs w:val="21"/>
          <w:highlight w:val="none"/>
        </w:rPr>
        <w:t xml:space="preserve">                                                                                          </w:t>
      </w:r>
    </w:p>
    <w:p w14:paraId="0169AC60">
      <w:pPr>
        <w:spacing w:line="460" w:lineRule="exact"/>
        <w:rPr>
          <w:color w:val="auto"/>
          <w:szCs w:val="21"/>
          <w:highlight w:val="none"/>
        </w:rPr>
      </w:pPr>
      <w:r>
        <w:rPr>
          <w:color w:val="auto"/>
          <w:szCs w:val="21"/>
          <w:highlight w:val="none"/>
        </w:rPr>
        <w:t>　　　　　　　　　　　　　　　　　　　　　　　　　</w:t>
      </w:r>
      <w:r>
        <w:rPr>
          <w:color w:val="auto"/>
          <w:szCs w:val="21"/>
          <w:highlight w:val="none"/>
          <w:u w:val="single"/>
        </w:rPr>
        <w:t xml:space="preserve">      </w:t>
      </w:r>
      <w:r>
        <w:rPr>
          <w:color w:val="auto"/>
          <w:szCs w:val="21"/>
          <w:highlight w:val="none"/>
        </w:rPr>
        <w:t xml:space="preserve">年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5303CB0F">
      <w:pPr>
        <w:spacing w:line="400" w:lineRule="exact"/>
        <w:rPr>
          <w:rFonts w:hint="eastAsia"/>
          <w:color w:val="auto"/>
          <w:highlight w:val="none"/>
        </w:rPr>
      </w:pPr>
    </w:p>
    <w:p w14:paraId="566E2409">
      <w:pPr>
        <w:spacing w:after="312" w:afterLines="100" w:line="240" w:lineRule="exact"/>
        <w:ind w:left="630" w:hanging="630" w:hangingChars="300"/>
        <w:rPr>
          <w:color w:val="auto"/>
          <w:szCs w:val="21"/>
          <w:highlight w:val="none"/>
        </w:rPr>
      </w:pPr>
      <w:r>
        <w:rPr>
          <w:rFonts w:hint="eastAsia"/>
          <w:color w:val="auto"/>
          <w:szCs w:val="21"/>
          <w:highlight w:val="none"/>
        </w:rPr>
        <w:t>备注：</w:t>
      </w:r>
      <w:r>
        <w:rPr>
          <w:rFonts w:hint="eastAsia"/>
          <w:color w:val="auto"/>
          <w:highlight w:val="none"/>
        </w:rPr>
        <w:t xml:space="preserve"> </w:t>
      </w:r>
      <w:r>
        <w:rPr>
          <w:rFonts w:hint="eastAsia"/>
          <w:color w:val="auto"/>
          <w:szCs w:val="21"/>
          <w:highlight w:val="none"/>
        </w:rPr>
        <w:t>1. 投标人拟派的项目经理（</w:t>
      </w:r>
      <w:r>
        <w:rPr>
          <w:color w:val="auto"/>
          <w:szCs w:val="21"/>
          <w:highlight w:val="none"/>
        </w:rPr>
        <w:t>建造师</w:t>
      </w:r>
      <w:r>
        <w:rPr>
          <w:rFonts w:hint="eastAsia"/>
          <w:color w:val="auto"/>
          <w:szCs w:val="21"/>
          <w:highlight w:val="none"/>
        </w:rPr>
        <w:t>）（下同）</w:t>
      </w:r>
      <w:r>
        <w:rPr>
          <w:color w:val="auto"/>
          <w:szCs w:val="21"/>
          <w:highlight w:val="none"/>
        </w:rPr>
        <w:t>不得同时担任两个及以上建设工程</w:t>
      </w:r>
      <w:r>
        <w:rPr>
          <w:rFonts w:hint="eastAsia"/>
          <w:color w:val="auto"/>
          <w:szCs w:val="21"/>
          <w:highlight w:val="none"/>
        </w:rPr>
        <w:t>项目的项目经理（项目负责人）</w:t>
      </w:r>
      <w:r>
        <w:rPr>
          <w:color w:val="auto"/>
          <w:szCs w:val="21"/>
          <w:highlight w:val="none"/>
        </w:rPr>
        <w:t>。</w:t>
      </w:r>
      <w:r>
        <w:rPr>
          <w:rFonts w:hint="eastAsia"/>
          <w:color w:val="auto"/>
          <w:szCs w:val="21"/>
          <w:highlight w:val="none"/>
        </w:rPr>
        <w:t>存在</w:t>
      </w:r>
      <w:r>
        <w:rPr>
          <w:color w:val="auto"/>
          <w:szCs w:val="21"/>
          <w:highlight w:val="none"/>
        </w:rPr>
        <w:t>下列情形之一的</w:t>
      </w:r>
      <w:r>
        <w:rPr>
          <w:rFonts w:hint="eastAsia"/>
          <w:color w:val="auto"/>
          <w:szCs w:val="21"/>
          <w:highlight w:val="none"/>
        </w:rPr>
        <w:t>，视为未担任其他在施建设工程项目的项目经理</w:t>
      </w:r>
      <w:r>
        <w:rPr>
          <w:color w:val="auto"/>
          <w:szCs w:val="21"/>
          <w:highlight w:val="none"/>
        </w:rPr>
        <w:t>：（</w:t>
      </w:r>
      <w:r>
        <w:rPr>
          <w:rFonts w:hint="eastAsia"/>
          <w:color w:val="auto"/>
          <w:szCs w:val="21"/>
          <w:highlight w:val="none"/>
        </w:rPr>
        <w:t>1</w:t>
      </w:r>
      <w:r>
        <w:rPr>
          <w:color w:val="auto"/>
          <w:szCs w:val="21"/>
          <w:highlight w:val="none"/>
        </w:rPr>
        <w:t>）同一工程相邻分段发包或分期施工的</w:t>
      </w:r>
      <w:r>
        <w:rPr>
          <w:rFonts w:hint="eastAsia"/>
          <w:color w:val="auto"/>
          <w:szCs w:val="21"/>
          <w:highlight w:val="none"/>
        </w:rPr>
        <w:t>;</w:t>
      </w:r>
      <w:r>
        <w:rPr>
          <w:color w:val="auto"/>
          <w:szCs w:val="21"/>
          <w:highlight w:val="none"/>
        </w:rPr>
        <w:t>（</w:t>
      </w:r>
      <w:r>
        <w:rPr>
          <w:rFonts w:hint="eastAsia"/>
          <w:color w:val="auto"/>
          <w:szCs w:val="21"/>
          <w:highlight w:val="none"/>
        </w:rPr>
        <w:t>2</w:t>
      </w:r>
      <w:r>
        <w:rPr>
          <w:color w:val="auto"/>
          <w:szCs w:val="21"/>
          <w:highlight w:val="none"/>
        </w:rPr>
        <w:t>）合同约定的工程验收合格的；（</w:t>
      </w:r>
      <w:r>
        <w:rPr>
          <w:rFonts w:hint="eastAsia"/>
          <w:color w:val="auto"/>
          <w:szCs w:val="21"/>
          <w:highlight w:val="none"/>
        </w:rPr>
        <w:t>3</w:t>
      </w:r>
      <w:r>
        <w:rPr>
          <w:color w:val="auto"/>
          <w:szCs w:val="21"/>
          <w:highlight w:val="none"/>
        </w:rPr>
        <w:t>）因非承包方原因致使工程项目停工超过120天（含），经建设单位同意的。</w:t>
      </w:r>
    </w:p>
    <w:p w14:paraId="77EC83B2">
      <w:pPr>
        <w:spacing w:after="312" w:afterLines="100" w:line="240" w:lineRule="exact"/>
        <w:ind w:left="840" w:leftChars="300" w:hanging="210" w:hangingChars="100"/>
        <w:rPr>
          <w:color w:val="auto"/>
          <w:highlight w:val="none"/>
        </w:rPr>
      </w:pPr>
      <w:r>
        <w:rPr>
          <w:rFonts w:hint="eastAsia"/>
          <w:color w:val="auto"/>
          <w:highlight w:val="none"/>
        </w:rPr>
        <w:t>2.“在所投标段免费下载招标文件”是指投标人拟参加某标段投标的，应按规定下载该标段的招标文件。投标人的下载活动“市电子交易平台”将予以记录，并可在“下载情况查询”中查看，该记录作为投标人是否下载该标段招标文件的依据。</w:t>
      </w:r>
    </w:p>
    <w:p w14:paraId="7905A7FA">
      <w:pPr>
        <w:spacing w:line="400" w:lineRule="exact"/>
        <w:rPr>
          <w:rFonts w:hint="eastAsia"/>
          <w:color w:val="auto"/>
          <w:highlight w:val="none"/>
        </w:rPr>
      </w:pPr>
    </w:p>
    <w:p w14:paraId="609077DB">
      <w:pPr>
        <w:spacing w:line="400" w:lineRule="exact"/>
        <w:rPr>
          <w:rFonts w:hint="eastAsia"/>
          <w:color w:val="auto"/>
          <w:highlight w:val="none"/>
        </w:rPr>
      </w:pPr>
    </w:p>
    <w:p w14:paraId="7CD36459">
      <w:pPr>
        <w:spacing w:line="400" w:lineRule="exact"/>
        <w:rPr>
          <w:rFonts w:hint="eastAsia"/>
          <w:color w:val="auto"/>
          <w:highlight w:val="none"/>
        </w:rPr>
      </w:pPr>
    </w:p>
    <w:p w14:paraId="473377E9">
      <w:pPr>
        <w:spacing w:line="400" w:lineRule="exact"/>
        <w:rPr>
          <w:rFonts w:hint="eastAsia"/>
          <w:color w:val="auto"/>
          <w:highlight w:val="none"/>
        </w:rPr>
      </w:pPr>
    </w:p>
    <w:p w14:paraId="02AC9ADE">
      <w:pPr>
        <w:spacing w:line="400" w:lineRule="exact"/>
        <w:rPr>
          <w:rFonts w:hint="eastAsia"/>
          <w:color w:val="auto"/>
          <w:highlight w:val="none"/>
        </w:rPr>
      </w:pPr>
    </w:p>
    <w:p w14:paraId="407B23BD">
      <w:pPr>
        <w:spacing w:line="400" w:lineRule="exact"/>
        <w:rPr>
          <w:rFonts w:hint="eastAsia"/>
          <w:color w:val="auto"/>
          <w:highlight w:val="none"/>
        </w:rPr>
      </w:pPr>
    </w:p>
    <w:p w14:paraId="4849BB92">
      <w:pPr>
        <w:spacing w:line="400" w:lineRule="exact"/>
        <w:rPr>
          <w:rFonts w:hint="eastAsia"/>
          <w:color w:val="auto"/>
          <w:highlight w:val="none"/>
        </w:rPr>
      </w:pPr>
    </w:p>
    <w:p w14:paraId="1D398D6A">
      <w:pPr>
        <w:pStyle w:val="117"/>
        <w:rPr>
          <w:rFonts w:cs="Times New Roman"/>
          <w:color w:val="auto"/>
          <w:highlight w:val="none"/>
        </w:rPr>
      </w:pPr>
      <w:bookmarkStart w:id="134" w:name="_Toc519085259"/>
      <w:bookmarkStart w:id="135" w:name="_Toc152045518"/>
      <w:bookmarkStart w:id="136" w:name="_Toc144974486"/>
      <w:bookmarkStart w:id="137" w:name="_Toc247527542"/>
      <w:bookmarkStart w:id="138" w:name="_Toc247513941"/>
      <w:bookmarkStart w:id="139" w:name="_Toc152042294"/>
      <w:bookmarkStart w:id="140" w:name="_Toc30724"/>
      <w:bookmarkStart w:id="141" w:name="_Toc20124"/>
      <w:bookmarkStart w:id="142" w:name="_Toc16227"/>
      <w:bookmarkStart w:id="143" w:name="_Toc27702"/>
      <w:r>
        <w:rPr>
          <w:rFonts w:cs="Times New Roman"/>
          <w:color w:val="auto"/>
          <w:highlight w:val="none"/>
        </w:rPr>
        <w:br w:type="page"/>
      </w:r>
      <w:bookmarkStart w:id="144" w:name="_Toc19414_WPSOffice_Level1"/>
      <w:bookmarkStart w:id="145" w:name="_Toc19371"/>
      <w:bookmarkStart w:id="146" w:name="_Toc24975"/>
      <w:r>
        <w:rPr>
          <w:rFonts w:cs="Times New Roman"/>
          <w:color w:val="auto"/>
          <w:highlight w:val="none"/>
        </w:rPr>
        <w:t>第一章 投标邀请书（适用于邀请招标）</w:t>
      </w:r>
      <w:bookmarkEnd w:id="134"/>
      <w:bookmarkEnd w:id="135"/>
      <w:bookmarkEnd w:id="136"/>
      <w:bookmarkEnd w:id="137"/>
      <w:bookmarkEnd w:id="138"/>
      <w:bookmarkEnd w:id="139"/>
      <w:bookmarkEnd w:id="140"/>
      <w:bookmarkEnd w:id="141"/>
      <w:bookmarkEnd w:id="142"/>
      <w:bookmarkEnd w:id="143"/>
      <w:bookmarkEnd w:id="144"/>
      <w:bookmarkEnd w:id="145"/>
      <w:bookmarkEnd w:id="146"/>
    </w:p>
    <w:p w14:paraId="00A3AC32">
      <w:pPr>
        <w:spacing w:line="460" w:lineRule="exact"/>
        <w:jc w:val="center"/>
        <w:rPr>
          <w:rFonts w:hint="eastAsia" w:ascii="黑体" w:hAnsi="黑体" w:eastAsia="黑体" w:cs="黑体"/>
          <w:color w:val="auto"/>
          <w:sz w:val="28"/>
          <w:szCs w:val="28"/>
          <w:highlight w:val="none"/>
          <w:u w:val="single"/>
        </w:rPr>
      </w:pPr>
    </w:p>
    <w:p w14:paraId="7C57FFA9">
      <w:pPr>
        <w:spacing w:line="460" w:lineRule="exact"/>
        <w:jc w:val="center"/>
        <w:rPr>
          <w:rFonts w:ascii="黑体" w:hAnsi="黑体" w:eastAsia="黑体" w:cs="黑体"/>
          <w:color w:val="auto"/>
          <w:sz w:val="28"/>
          <w:szCs w:val="28"/>
          <w:highlight w:val="none"/>
          <w:u w:val="single"/>
        </w:rPr>
      </w:pPr>
      <w:r>
        <w:rPr>
          <w:rFonts w:hint="eastAsia" w:ascii="黑体" w:hAnsi="黑体" w:eastAsia="黑体" w:cs="黑体"/>
          <w:color w:val="auto"/>
          <w:sz w:val="28"/>
          <w:szCs w:val="28"/>
          <w:highlight w:val="none"/>
          <w:u w:val="single"/>
        </w:rPr>
        <w:t xml:space="preserve">      </w:t>
      </w:r>
      <w:bookmarkStart w:id="147" w:name="_Toc12607_WPSOffice_Level1"/>
      <w:bookmarkStart w:id="148" w:name="_Toc30435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w:t>
      </w:r>
      <w:r>
        <w:rPr>
          <w:rFonts w:ascii="黑体" w:hAnsi="黑体" w:eastAsia="黑体" w:cs="黑体"/>
          <w:color w:val="auto"/>
          <w:sz w:val="28"/>
          <w:szCs w:val="28"/>
          <w:highlight w:val="none"/>
        </w:rPr>
        <w:t>总承包投标邀请书</w:t>
      </w:r>
      <w:bookmarkEnd w:id="147"/>
      <w:bookmarkEnd w:id="148"/>
    </w:p>
    <w:p w14:paraId="505CBCC9">
      <w:pPr>
        <w:spacing w:line="440" w:lineRule="exact"/>
        <w:jc w:val="center"/>
        <w:rPr>
          <w:rFonts w:hint="eastAsia" w:hAnsi="宋体"/>
          <w:color w:val="auto"/>
          <w:szCs w:val="21"/>
          <w:highlight w:val="none"/>
        </w:rPr>
      </w:pPr>
    </w:p>
    <w:p w14:paraId="77B64B0A">
      <w:pPr>
        <w:spacing w:line="440" w:lineRule="exact"/>
        <w:jc w:val="center"/>
        <w:rPr>
          <w:color w:val="auto"/>
          <w:szCs w:val="21"/>
          <w:highlight w:val="none"/>
          <w:u w:val="single"/>
        </w:rPr>
      </w:pPr>
    </w:p>
    <w:p w14:paraId="7E8E747B">
      <w:pPr>
        <w:spacing w:line="440" w:lineRule="exact"/>
        <w:jc w:val="center"/>
        <w:rPr>
          <w:rFonts w:eastAsia="黑体"/>
          <w:color w:val="auto"/>
          <w:sz w:val="27"/>
          <w:szCs w:val="27"/>
          <w:highlight w:val="none"/>
          <w:u w:val="single"/>
        </w:rPr>
      </w:pPr>
    </w:p>
    <w:p w14:paraId="3CFDADEE">
      <w:pPr>
        <w:spacing w:line="400" w:lineRule="exact"/>
        <w:rPr>
          <w:color w:val="auto"/>
          <w:szCs w:val="21"/>
          <w:highlight w:val="none"/>
        </w:rPr>
      </w:pPr>
      <w:r>
        <w:rPr>
          <w:color w:val="auto"/>
          <w:szCs w:val="21"/>
          <w:highlight w:val="none"/>
          <w:u w:val="single"/>
        </w:rPr>
        <w:t xml:space="preserve">               </w:t>
      </w:r>
      <w:r>
        <w:rPr>
          <w:color w:val="auto"/>
          <w:szCs w:val="21"/>
          <w:highlight w:val="none"/>
        </w:rPr>
        <w:t>（被邀请单位名称）：</w:t>
      </w:r>
    </w:p>
    <w:p w14:paraId="25A3077D">
      <w:pPr>
        <w:pStyle w:val="4"/>
        <w:spacing w:before="62"/>
        <w:rPr>
          <w:rFonts w:ascii="Times New Roman" w:hAnsi="Times New Roman"/>
          <w:color w:val="auto"/>
          <w:sz w:val="28"/>
          <w:szCs w:val="28"/>
          <w:highlight w:val="none"/>
        </w:rPr>
      </w:pPr>
      <w:bookmarkStart w:id="149" w:name="_Toc519085260"/>
      <w:bookmarkStart w:id="150" w:name="_Toc9887"/>
      <w:bookmarkStart w:id="151" w:name="_Toc27283"/>
      <w:bookmarkStart w:id="152" w:name="_Toc247527543"/>
      <w:bookmarkStart w:id="153" w:name="_Toc2399"/>
      <w:bookmarkStart w:id="154" w:name="_Toc152045519"/>
      <w:bookmarkStart w:id="155" w:name="_Toc16833"/>
      <w:bookmarkStart w:id="156" w:name="_Toc247513942"/>
      <w:bookmarkStart w:id="157" w:name="_Toc10570_WPSOffice_Level1"/>
      <w:bookmarkStart w:id="158" w:name="_Toc16556"/>
      <w:bookmarkStart w:id="159" w:name="_Toc152042295"/>
      <w:bookmarkStart w:id="160" w:name="_Toc144974487"/>
      <w:bookmarkStart w:id="161" w:name="_Toc4880"/>
      <w:r>
        <w:rPr>
          <w:rFonts w:ascii="Times New Roman" w:hAnsi="Times New Roman"/>
          <w:color w:val="auto"/>
          <w:sz w:val="28"/>
          <w:szCs w:val="28"/>
          <w:highlight w:val="none"/>
        </w:rPr>
        <w:t>1. 招标条件</w:t>
      </w:r>
      <w:bookmarkEnd w:id="149"/>
      <w:bookmarkEnd w:id="150"/>
      <w:bookmarkEnd w:id="151"/>
      <w:bookmarkEnd w:id="152"/>
      <w:bookmarkEnd w:id="153"/>
      <w:bookmarkEnd w:id="154"/>
      <w:bookmarkEnd w:id="155"/>
      <w:bookmarkEnd w:id="156"/>
      <w:bookmarkEnd w:id="157"/>
      <w:bookmarkEnd w:id="158"/>
      <w:bookmarkEnd w:id="159"/>
      <w:bookmarkEnd w:id="160"/>
      <w:bookmarkEnd w:id="161"/>
    </w:p>
    <w:p w14:paraId="3127E86D">
      <w:pPr>
        <w:spacing w:line="460" w:lineRule="exact"/>
        <w:rPr>
          <w:color w:val="auto"/>
          <w:szCs w:val="21"/>
          <w:highlight w:val="none"/>
        </w:rPr>
      </w:pPr>
      <w:r>
        <w:rPr>
          <w:color w:val="auto"/>
          <w:szCs w:val="21"/>
          <w:highlight w:val="none"/>
        </w:rPr>
        <w:t>　　</w:t>
      </w:r>
      <w:r>
        <w:rPr>
          <w:rFonts w:hint="eastAsia" w:ascii="宋体" w:hAnsi="宋体"/>
          <w:color w:val="auto"/>
          <w:szCs w:val="21"/>
          <w:highlight w:val="none"/>
        </w:rPr>
        <w:t>本招标项目</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(项目名称)已由</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(项目审批、核准或备案机关名称)以</w:t>
      </w:r>
      <w:r>
        <w:rPr>
          <w:rFonts w:hint="eastAsia" w:ascii="宋体" w:hAnsi="宋体"/>
          <w:color w:val="auto"/>
          <w:szCs w:val="21"/>
          <w:highlight w:val="none"/>
          <w:u w:val="single"/>
        </w:rPr>
        <w:t xml:space="preserve">                        </w:t>
      </w:r>
      <w:r>
        <w:rPr>
          <w:rFonts w:hint="eastAsia" w:ascii="宋体" w:hAnsi="宋体"/>
          <w:color w:val="auto"/>
          <w:szCs w:val="21"/>
          <w:highlight w:val="none"/>
        </w:rPr>
        <w:t>(批文名称及编号)批准建设，项目业主为</w:t>
      </w:r>
      <w:r>
        <w:rPr>
          <w:rFonts w:hint="eastAsia" w:ascii="宋体" w:hAnsi="宋体"/>
          <w:color w:val="auto"/>
          <w:szCs w:val="21"/>
          <w:highlight w:val="none"/>
          <w:u w:val="single"/>
        </w:rPr>
        <w:t xml:space="preserve">                      </w:t>
      </w:r>
      <w:r>
        <w:rPr>
          <w:rFonts w:hint="eastAsia" w:ascii="宋体" w:hAnsi="宋体"/>
          <w:color w:val="auto"/>
          <w:szCs w:val="21"/>
          <w:highlight w:val="none"/>
        </w:rPr>
        <w:t>，建设资金来自</w:t>
      </w:r>
      <w:r>
        <w:rPr>
          <w:rFonts w:hint="eastAsia" w:ascii="宋体" w:hAnsi="宋体"/>
          <w:color w:val="auto"/>
          <w:szCs w:val="21"/>
          <w:highlight w:val="none"/>
          <w:u w:val="single"/>
        </w:rPr>
        <w:t xml:space="preserve">                  </w:t>
      </w:r>
      <w:r>
        <w:rPr>
          <w:rFonts w:hint="eastAsia" w:ascii="宋体" w:hAnsi="宋体"/>
          <w:color w:val="auto"/>
          <w:szCs w:val="21"/>
          <w:highlight w:val="none"/>
        </w:rPr>
        <w:t>(资金来源)，出资比例为</w:t>
      </w:r>
      <w:r>
        <w:rPr>
          <w:rFonts w:hint="eastAsia" w:ascii="宋体" w:hAnsi="宋体"/>
          <w:color w:val="auto"/>
          <w:szCs w:val="21"/>
          <w:highlight w:val="none"/>
          <w:u w:val="single"/>
        </w:rPr>
        <w:t xml:space="preserve">             </w:t>
      </w:r>
      <w:r>
        <w:rPr>
          <w:rFonts w:hint="eastAsia" w:ascii="宋体" w:hAnsi="宋体"/>
          <w:color w:val="auto"/>
          <w:szCs w:val="21"/>
          <w:highlight w:val="none"/>
        </w:rPr>
        <w:t>。</w:t>
      </w:r>
      <w:r>
        <w:rPr>
          <w:rFonts w:hint="eastAsia"/>
          <w:color w:val="auto"/>
          <w:highlight w:val="none"/>
        </w:rPr>
        <w:t>招标人为</w:t>
      </w:r>
      <w:r>
        <w:rPr>
          <w:rFonts w:hint="eastAsia"/>
          <w:color w:val="auto"/>
          <w:highlight w:val="none"/>
          <w:u w:val="single"/>
        </w:rPr>
        <w:t xml:space="preserve">            </w:t>
      </w:r>
      <w:r>
        <w:rPr>
          <w:rFonts w:hint="eastAsia"/>
          <w:color w:val="auto"/>
          <w:highlight w:val="none"/>
        </w:rPr>
        <w:t>，</w:t>
      </w:r>
      <w:r>
        <w:rPr>
          <w:rFonts w:hint="eastAsia"/>
          <w:color w:val="auto"/>
          <w:szCs w:val="21"/>
          <w:highlight w:val="none"/>
        </w:rPr>
        <w:t>招标代理机构为</w:t>
      </w:r>
      <w:r>
        <w:rPr>
          <w:rFonts w:hint="eastAsia"/>
          <w:color w:val="auto"/>
          <w:szCs w:val="21"/>
          <w:highlight w:val="none"/>
          <w:u w:val="single"/>
        </w:rPr>
        <w:t xml:space="preserve">         </w:t>
      </w:r>
      <w:r>
        <w:rPr>
          <w:rFonts w:hint="eastAsia"/>
          <w:color w:val="auto"/>
          <w:szCs w:val="21"/>
          <w:highlight w:val="none"/>
        </w:rPr>
        <w:t>。</w:t>
      </w:r>
      <w:r>
        <w:rPr>
          <w:rFonts w:hint="eastAsia" w:ascii="宋体" w:hAnsi="宋体"/>
          <w:color w:val="auto"/>
          <w:szCs w:val="21"/>
          <w:highlight w:val="none"/>
        </w:rPr>
        <w:t>项目已具备招标条件，现邀请你单位参加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color w:val="auto"/>
          <w:szCs w:val="21"/>
          <w:highlight w:val="none"/>
        </w:rPr>
        <w:t>工程</w:t>
      </w:r>
      <w:r>
        <w:rPr>
          <w:color w:val="auto"/>
          <w:szCs w:val="21"/>
          <w:highlight w:val="none"/>
        </w:rPr>
        <w:t>总承包</w:t>
      </w:r>
      <w:r>
        <w:rPr>
          <w:rFonts w:hint="eastAsia" w:ascii="宋体" w:hAnsi="宋体"/>
          <w:color w:val="auto"/>
          <w:szCs w:val="21"/>
          <w:highlight w:val="none"/>
        </w:rPr>
        <w:t>投标。</w:t>
      </w:r>
    </w:p>
    <w:p w14:paraId="438C1F27">
      <w:pPr>
        <w:pStyle w:val="4"/>
        <w:spacing w:before="62"/>
        <w:rPr>
          <w:rFonts w:ascii="Times New Roman" w:hAnsi="Times New Roman"/>
          <w:color w:val="auto"/>
          <w:sz w:val="28"/>
          <w:szCs w:val="28"/>
          <w:highlight w:val="none"/>
        </w:rPr>
      </w:pPr>
      <w:bookmarkStart w:id="162" w:name="_Toc7415"/>
      <w:bookmarkStart w:id="163" w:name="_Toc247527544"/>
      <w:bookmarkStart w:id="164" w:name="_Toc10540"/>
      <w:bookmarkStart w:id="165" w:name="_Toc247513943"/>
      <w:bookmarkStart w:id="166" w:name="_Toc23934_WPSOffice_Level1"/>
      <w:bookmarkStart w:id="167" w:name="_Toc23481"/>
      <w:bookmarkStart w:id="168" w:name="_Toc152045520"/>
      <w:bookmarkStart w:id="169" w:name="_Toc23908"/>
      <w:bookmarkStart w:id="170" w:name="_Toc17892"/>
      <w:bookmarkStart w:id="171" w:name="_Toc144974488"/>
      <w:bookmarkStart w:id="172" w:name="_Toc8996"/>
      <w:bookmarkStart w:id="173" w:name="_Toc152042296"/>
      <w:bookmarkStart w:id="174" w:name="_Toc519085261"/>
      <w:r>
        <w:rPr>
          <w:rFonts w:ascii="Times New Roman" w:hAnsi="Times New Roman"/>
          <w:color w:val="auto"/>
          <w:sz w:val="28"/>
          <w:szCs w:val="28"/>
          <w:highlight w:val="none"/>
        </w:rPr>
        <w:t>2. 项目概况与招标范围</w:t>
      </w:r>
      <w:bookmarkEnd w:id="162"/>
      <w:bookmarkEnd w:id="163"/>
      <w:bookmarkEnd w:id="164"/>
      <w:bookmarkEnd w:id="165"/>
      <w:bookmarkEnd w:id="166"/>
      <w:bookmarkEnd w:id="167"/>
      <w:bookmarkEnd w:id="168"/>
      <w:bookmarkEnd w:id="169"/>
      <w:bookmarkEnd w:id="170"/>
      <w:bookmarkEnd w:id="171"/>
      <w:bookmarkEnd w:id="172"/>
      <w:bookmarkEnd w:id="173"/>
      <w:bookmarkEnd w:id="174"/>
    </w:p>
    <w:p w14:paraId="44A70B51">
      <w:pPr>
        <w:spacing w:line="460" w:lineRule="exact"/>
        <w:ind w:firstLine="437"/>
        <w:rPr>
          <w:rFonts w:hint="eastAsia"/>
          <w:color w:val="auto"/>
          <w:szCs w:val="21"/>
          <w:highlight w:val="none"/>
        </w:rPr>
      </w:pPr>
      <w:bookmarkStart w:id="175" w:name="_Toc31140_WPSOffice_Level2"/>
      <w:bookmarkStart w:id="176" w:name="_Toc7796_WPSOffice_Level2"/>
      <w:bookmarkStart w:id="177" w:name="_Toc152045521"/>
      <w:bookmarkStart w:id="178" w:name="_Toc152042297"/>
      <w:bookmarkStart w:id="179" w:name="_Toc13991"/>
      <w:bookmarkStart w:id="180" w:name="_Toc21527"/>
      <w:bookmarkStart w:id="181" w:name="_Toc519085262"/>
      <w:bookmarkStart w:id="182" w:name="_Toc10351"/>
      <w:bookmarkStart w:id="183" w:name="_Toc31784"/>
      <w:bookmarkStart w:id="184" w:name="_Toc247527545"/>
      <w:bookmarkStart w:id="185" w:name="_Toc247513944"/>
      <w:bookmarkStart w:id="186" w:name="_Toc144974489"/>
      <w:r>
        <w:rPr>
          <w:color w:val="auto"/>
          <w:szCs w:val="21"/>
          <w:highlight w:val="none"/>
        </w:rPr>
        <w:t xml:space="preserve">2.1 </w:t>
      </w:r>
      <w:r>
        <w:rPr>
          <w:rFonts w:hint="eastAsia"/>
          <w:color w:val="auto"/>
          <w:szCs w:val="21"/>
          <w:highlight w:val="none"/>
        </w:rPr>
        <w:t>项目概况</w:t>
      </w:r>
      <w:bookmarkEnd w:id="175"/>
      <w:bookmarkEnd w:id="176"/>
    </w:p>
    <w:p w14:paraId="73C9EAD4">
      <w:pPr>
        <w:spacing w:line="460" w:lineRule="exact"/>
        <w:ind w:firstLine="437"/>
        <w:rPr>
          <w:rFonts w:hint="eastAsia"/>
          <w:color w:val="auto"/>
          <w:szCs w:val="21"/>
          <w:highlight w:val="none"/>
        </w:rPr>
      </w:pPr>
      <w:r>
        <w:rPr>
          <w:rFonts w:hint="eastAsia"/>
          <w:color w:val="auto"/>
          <w:szCs w:val="21"/>
          <w:highlight w:val="none"/>
        </w:rPr>
        <w:t>建设地点：</w:t>
      </w:r>
      <w:r>
        <w:rPr>
          <w:rFonts w:hint="eastAsia"/>
          <w:color w:val="auto"/>
          <w:szCs w:val="21"/>
          <w:highlight w:val="none"/>
          <w:u w:val="single"/>
        </w:rPr>
        <w:t xml:space="preserve">                              </w:t>
      </w:r>
      <w:r>
        <w:rPr>
          <w:rFonts w:hint="eastAsia"/>
          <w:color w:val="auto"/>
          <w:szCs w:val="21"/>
          <w:highlight w:val="none"/>
        </w:rPr>
        <w:t xml:space="preserve"> 。</w:t>
      </w:r>
    </w:p>
    <w:p w14:paraId="6BF4D6D8">
      <w:pPr>
        <w:spacing w:line="460" w:lineRule="exact"/>
        <w:ind w:firstLine="437"/>
        <w:rPr>
          <w:rFonts w:hint="eastAsia"/>
          <w:color w:val="auto"/>
          <w:szCs w:val="21"/>
          <w:highlight w:val="none"/>
        </w:rPr>
      </w:pPr>
      <w:r>
        <w:rPr>
          <w:rFonts w:hint="eastAsia"/>
          <w:color w:val="auto"/>
          <w:szCs w:val="21"/>
          <w:highlight w:val="none"/>
        </w:rPr>
        <w:t>建设规模：</w:t>
      </w:r>
      <w:r>
        <w:rPr>
          <w:rFonts w:hint="eastAsia"/>
          <w:color w:val="auto"/>
          <w:szCs w:val="21"/>
          <w:highlight w:val="none"/>
          <w:u w:val="single"/>
        </w:rPr>
        <w:t xml:space="preserve">                               </w:t>
      </w:r>
      <w:r>
        <w:rPr>
          <w:rFonts w:hint="eastAsia"/>
          <w:color w:val="auto"/>
          <w:szCs w:val="21"/>
          <w:highlight w:val="none"/>
        </w:rPr>
        <w:t>。</w:t>
      </w:r>
    </w:p>
    <w:p w14:paraId="777DC860">
      <w:pPr>
        <w:spacing w:line="460" w:lineRule="exact"/>
        <w:ind w:firstLine="437"/>
        <w:rPr>
          <w:rFonts w:hint="eastAsia"/>
          <w:color w:val="auto"/>
          <w:szCs w:val="21"/>
          <w:highlight w:val="none"/>
        </w:rPr>
      </w:pPr>
      <w:r>
        <w:rPr>
          <w:rFonts w:hint="eastAsia"/>
          <w:color w:val="auto"/>
          <w:szCs w:val="21"/>
          <w:highlight w:val="none"/>
        </w:rPr>
        <w:t>其他：</w:t>
      </w:r>
      <w:r>
        <w:rPr>
          <w:rFonts w:hint="eastAsia"/>
          <w:color w:val="auto"/>
          <w:szCs w:val="21"/>
          <w:highlight w:val="none"/>
          <w:u w:val="single"/>
        </w:rPr>
        <w:t xml:space="preserve">                                  </w:t>
      </w:r>
      <w:r>
        <w:rPr>
          <w:rFonts w:hint="eastAsia"/>
          <w:color w:val="auto"/>
          <w:szCs w:val="21"/>
          <w:highlight w:val="none"/>
        </w:rPr>
        <w:t xml:space="preserve"> 。</w:t>
      </w:r>
    </w:p>
    <w:p w14:paraId="7711ED3F">
      <w:pPr>
        <w:spacing w:line="460" w:lineRule="exact"/>
        <w:ind w:firstLine="437"/>
        <w:rPr>
          <w:rFonts w:hint="eastAsia"/>
          <w:color w:val="auto"/>
          <w:szCs w:val="21"/>
          <w:highlight w:val="none"/>
        </w:rPr>
      </w:pPr>
      <w:bookmarkStart w:id="187" w:name="_Toc7440_WPSOffice_Level2"/>
      <w:bookmarkStart w:id="188" w:name="_Toc21145_WPSOffice_Level2"/>
      <w:r>
        <w:rPr>
          <w:color w:val="auto"/>
          <w:szCs w:val="21"/>
          <w:highlight w:val="none"/>
        </w:rPr>
        <w:t>2.</w:t>
      </w:r>
      <w:r>
        <w:rPr>
          <w:rFonts w:hint="eastAsia"/>
          <w:color w:val="auto"/>
          <w:szCs w:val="21"/>
          <w:highlight w:val="none"/>
        </w:rPr>
        <w:t>2 招标范围</w:t>
      </w:r>
      <w:bookmarkEnd w:id="187"/>
      <w:bookmarkEnd w:id="188"/>
    </w:p>
    <w:p w14:paraId="71F36900">
      <w:pPr>
        <w:spacing w:line="460" w:lineRule="exact"/>
        <w:ind w:firstLine="437"/>
        <w:rPr>
          <w:rFonts w:hint="eastAsia"/>
          <w:color w:val="auto"/>
          <w:szCs w:val="21"/>
          <w:highlight w:val="none"/>
        </w:rPr>
      </w:pPr>
      <w:r>
        <w:rPr>
          <w:rFonts w:hint="eastAsia"/>
          <w:color w:val="auto"/>
          <w:szCs w:val="21"/>
          <w:highlight w:val="none"/>
        </w:rPr>
        <w:t>招标范围：</w:t>
      </w:r>
      <w:r>
        <w:rPr>
          <w:rFonts w:hint="eastAsia"/>
          <w:color w:val="auto"/>
          <w:szCs w:val="21"/>
          <w:highlight w:val="none"/>
          <w:u w:val="single"/>
        </w:rPr>
        <w:t xml:space="preserve">                                </w:t>
      </w:r>
      <w:r>
        <w:rPr>
          <w:rFonts w:hint="eastAsia"/>
          <w:color w:val="auto"/>
          <w:szCs w:val="21"/>
          <w:highlight w:val="none"/>
        </w:rPr>
        <w:t>。</w:t>
      </w:r>
    </w:p>
    <w:p w14:paraId="41A09B26">
      <w:pPr>
        <w:spacing w:line="460" w:lineRule="exact"/>
        <w:ind w:firstLine="437"/>
        <w:rPr>
          <w:rFonts w:hint="eastAsia"/>
          <w:color w:val="auto"/>
          <w:szCs w:val="21"/>
          <w:highlight w:val="none"/>
        </w:rPr>
      </w:pPr>
      <w:r>
        <w:rPr>
          <w:rFonts w:hint="eastAsia"/>
          <w:color w:val="auto"/>
          <w:szCs w:val="21"/>
          <w:highlight w:val="none"/>
        </w:rPr>
        <w:t>标段划分：</w:t>
      </w:r>
      <w:r>
        <w:rPr>
          <w:rFonts w:hint="eastAsia"/>
          <w:i/>
          <w:iCs/>
          <w:color w:val="auto"/>
          <w:szCs w:val="21"/>
          <w:highlight w:val="none"/>
          <w:u w:val="single"/>
        </w:rPr>
        <w:t xml:space="preserve">                                </w:t>
      </w:r>
      <w:r>
        <w:rPr>
          <w:rFonts w:hint="eastAsia"/>
          <w:color w:val="auto"/>
          <w:szCs w:val="21"/>
          <w:highlight w:val="none"/>
        </w:rPr>
        <w:t>。</w:t>
      </w:r>
    </w:p>
    <w:p w14:paraId="21D2A56F">
      <w:pPr>
        <w:spacing w:line="460" w:lineRule="exact"/>
        <w:ind w:firstLine="437"/>
        <w:rPr>
          <w:rFonts w:hint="eastAsia"/>
          <w:color w:val="auto"/>
          <w:szCs w:val="21"/>
          <w:highlight w:val="none"/>
        </w:rPr>
      </w:pPr>
      <w:r>
        <w:rPr>
          <w:rFonts w:hint="eastAsia"/>
          <w:color w:val="auto"/>
          <w:szCs w:val="21"/>
          <w:highlight w:val="none"/>
        </w:rPr>
        <w:t>计划工期：</w:t>
      </w:r>
      <w:r>
        <w:rPr>
          <w:rFonts w:hint="eastAsia"/>
          <w:color w:val="auto"/>
          <w:szCs w:val="21"/>
          <w:highlight w:val="none"/>
          <w:u w:val="single"/>
        </w:rPr>
        <w:t xml:space="preserve">           </w:t>
      </w:r>
      <w:r>
        <w:rPr>
          <w:rFonts w:hint="eastAsia"/>
          <w:color w:val="auto"/>
          <w:szCs w:val="21"/>
          <w:highlight w:val="none"/>
        </w:rPr>
        <w:t xml:space="preserve"> 日历天，计划开始工作日期</w:t>
      </w:r>
      <w:r>
        <w:rPr>
          <w:rFonts w:hint="eastAsia"/>
          <w:color w:val="auto"/>
          <w:szCs w:val="21"/>
          <w:highlight w:val="none"/>
          <w:u w:val="single"/>
        </w:rPr>
        <w:t xml:space="preserve">                  </w:t>
      </w:r>
      <w:r>
        <w:rPr>
          <w:rFonts w:hint="eastAsia"/>
          <w:color w:val="auto"/>
          <w:szCs w:val="21"/>
          <w:highlight w:val="none"/>
        </w:rPr>
        <w:t>。</w:t>
      </w:r>
    </w:p>
    <w:p w14:paraId="25981C21">
      <w:pPr>
        <w:spacing w:line="460" w:lineRule="exact"/>
        <w:ind w:firstLine="437"/>
        <w:rPr>
          <w:rFonts w:hint="eastAsia"/>
          <w:color w:val="auto"/>
          <w:szCs w:val="21"/>
          <w:highlight w:val="none"/>
        </w:rPr>
      </w:pPr>
      <w:r>
        <w:rPr>
          <w:rFonts w:hint="eastAsia"/>
          <w:color w:val="auto"/>
          <w:szCs w:val="21"/>
          <w:highlight w:val="none"/>
        </w:rPr>
        <w:t>合同估算价：</w:t>
      </w:r>
      <w:r>
        <w:rPr>
          <w:rFonts w:hint="eastAsia"/>
          <w:color w:val="auto"/>
          <w:szCs w:val="21"/>
          <w:highlight w:val="none"/>
          <w:u w:val="single"/>
        </w:rPr>
        <w:t xml:space="preserve">                            </w:t>
      </w:r>
      <w:r>
        <w:rPr>
          <w:rFonts w:hint="eastAsia"/>
          <w:color w:val="auto"/>
          <w:szCs w:val="21"/>
          <w:highlight w:val="none"/>
        </w:rPr>
        <w:t xml:space="preserve"> 。</w:t>
      </w:r>
    </w:p>
    <w:p w14:paraId="3E5F49AD">
      <w:pPr>
        <w:spacing w:line="460" w:lineRule="exact"/>
        <w:ind w:firstLine="437"/>
        <w:rPr>
          <w:rFonts w:hint="eastAsia"/>
          <w:color w:val="auto"/>
          <w:highlight w:val="none"/>
        </w:rPr>
      </w:pPr>
      <w:bookmarkStart w:id="189" w:name="_Toc27484_WPSOffice_Level2"/>
      <w:bookmarkStart w:id="190" w:name="_Toc3634_WPSOffice_Level2"/>
      <w:r>
        <w:rPr>
          <w:color w:val="auto"/>
          <w:szCs w:val="21"/>
          <w:highlight w:val="none"/>
        </w:rPr>
        <w:t>2.</w:t>
      </w:r>
      <w:r>
        <w:rPr>
          <w:rFonts w:hint="eastAsia"/>
          <w:color w:val="auto"/>
          <w:szCs w:val="21"/>
          <w:highlight w:val="none"/>
        </w:rPr>
        <w:t>3 其他：</w:t>
      </w:r>
      <w:r>
        <w:rPr>
          <w:rFonts w:hint="eastAsia"/>
          <w:color w:val="auto"/>
          <w:szCs w:val="21"/>
          <w:highlight w:val="none"/>
          <w:u w:val="single"/>
        </w:rPr>
        <w:t xml:space="preserve">                                    </w:t>
      </w:r>
      <w:r>
        <w:rPr>
          <w:rFonts w:hint="eastAsia"/>
          <w:color w:val="auto"/>
          <w:szCs w:val="21"/>
          <w:highlight w:val="none"/>
        </w:rPr>
        <w:t>。</w:t>
      </w:r>
      <w:bookmarkEnd w:id="189"/>
      <w:bookmarkEnd w:id="190"/>
    </w:p>
    <w:p w14:paraId="4FF0FA1A">
      <w:pPr>
        <w:pStyle w:val="4"/>
        <w:spacing w:before="62"/>
        <w:rPr>
          <w:rFonts w:ascii="Times New Roman" w:hAnsi="Times New Roman"/>
          <w:color w:val="auto"/>
          <w:sz w:val="28"/>
          <w:szCs w:val="28"/>
          <w:highlight w:val="none"/>
        </w:rPr>
      </w:pPr>
      <w:bookmarkStart w:id="191" w:name="_Toc26348"/>
      <w:bookmarkStart w:id="192" w:name="_Toc8088_WPSOffice_Level1"/>
      <w:bookmarkStart w:id="193" w:name="_Toc16985"/>
      <w:r>
        <w:rPr>
          <w:rFonts w:ascii="Times New Roman" w:hAnsi="Times New Roman"/>
          <w:color w:val="auto"/>
          <w:sz w:val="28"/>
          <w:szCs w:val="28"/>
          <w:highlight w:val="none"/>
        </w:rPr>
        <w:t>3. 投标人资格要求</w:t>
      </w:r>
      <w:bookmarkEnd w:id="177"/>
      <w:bookmarkEnd w:id="178"/>
      <w:bookmarkEnd w:id="179"/>
      <w:bookmarkEnd w:id="180"/>
      <w:bookmarkEnd w:id="181"/>
      <w:bookmarkEnd w:id="182"/>
      <w:bookmarkEnd w:id="183"/>
      <w:bookmarkEnd w:id="184"/>
      <w:bookmarkEnd w:id="185"/>
      <w:bookmarkEnd w:id="186"/>
      <w:bookmarkEnd w:id="191"/>
      <w:bookmarkEnd w:id="192"/>
      <w:bookmarkEnd w:id="193"/>
    </w:p>
    <w:p w14:paraId="02119663">
      <w:pPr>
        <w:spacing w:line="460" w:lineRule="exact"/>
        <w:ind w:firstLine="437"/>
        <w:rPr>
          <w:color w:val="auto"/>
          <w:highlight w:val="none"/>
        </w:rPr>
      </w:pPr>
      <w:bookmarkStart w:id="194" w:name="_Toc32217"/>
      <w:bookmarkStart w:id="195" w:name="_Toc144974490"/>
      <w:bookmarkStart w:id="196" w:name="_Toc247527546"/>
      <w:bookmarkStart w:id="197" w:name="_Toc32683"/>
      <w:bookmarkStart w:id="198" w:name="_Toc13156"/>
      <w:bookmarkStart w:id="199" w:name="_Toc25449"/>
      <w:bookmarkStart w:id="200" w:name="_Toc247513945"/>
      <w:bookmarkStart w:id="201" w:name="_Toc152042298"/>
      <w:bookmarkStart w:id="202" w:name="_Toc519085263"/>
      <w:bookmarkStart w:id="203" w:name="_Toc152045522"/>
      <w:r>
        <w:rPr>
          <w:rFonts w:hint="eastAsia"/>
          <w:color w:val="auto"/>
          <w:highlight w:val="none"/>
        </w:rPr>
        <w:t>3.1本次招标要求投标人须具备</w:t>
      </w:r>
      <w:r>
        <w:rPr>
          <w:rFonts w:hint="eastAsia"/>
          <w:color w:val="auto"/>
          <w:highlight w:val="none"/>
          <w:u w:val="single"/>
        </w:rPr>
        <w:t xml:space="preserve">            </w:t>
      </w:r>
      <w:r>
        <w:rPr>
          <w:rFonts w:hint="eastAsia"/>
          <w:color w:val="auto"/>
          <w:highlight w:val="none"/>
        </w:rPr>
        <w:t>资质，</w:t>
      </w:r>
      <w:r>
        <w:rPr>
          <w:color w:val="auto"/>
          <w:szCs w:val="21"/>
          <w:highlight w:val="none"/>
          <w:u w:val="single"/>
        </w:rPr>
        <w:t>近</w:t>
      </w:r>
      <w:r>
        <w:rPr>
          <w:rFonts w:hint="eastAsia"/>
          <w:color w:val="auto"/>
          <w:szCs w:val="21"/>
          <w:highlight w:val="none"/>
          <w:u w:val="single"/>
        </w:rPr>
        <w:t xml:space="preserve">    </w:t>
      </w:r>
      <w:r>
        <w:rPr>
          <w:color w:val="auto"/>
          <w:szCs w:val="21"/>
          <w:highlight w:val="none"/>
          <w:u w:val="single"/>
        </w:rPr>
        <w:t>年完成过</w:t>
      </w:r>
      <w:r>
        <w:rPr>
          <w:rFonts w:hint="eastAsia"/>
          <w:color w:val="auto"/>
          <w:szCs w:val="21"/>
          <w:highlight w:val="none"/>
          <w:u w:val="single"/>
        </w:rPr>
        <w:t xml:space="preserve">   </w:t>
      </w:r>
      <w:r>
        <w:rPr>
          <w:color w:val="auto"/>
          <w:szCs w:val="21"/>
          <w:highlight w:val="none"/>
          <w:u w:val="single"/>
        </w:rPr>
        <w:t>项</w:t>
      </w:r>
      <w:r>
        <w:rPr>
          <w:rFonts w:hint="eastAsia"/>
          <w:color w:val="auto"/>
          <w:highlight w:val="none"/>
          <w:u w:val="single"/>
        </w:rPr>
        <w:t xml:space="preserve">   (类似项目描述)业绩，并在人员、设备、资金等方面具有相应的设计、施工能力，其中，投标人拟派项目经理须具备        专业       级注册建造师执业资格，具备有效的安全生产考核合格证书</w:t>
      </w:r>
      <w:r>
        <w:rPr>
          <w:color w:val="auto"/>
          <w:highlight w:val="none"/>
          <w:u w:val="single"/>
        </w:rPr>
        <w:t>（B</w:t>
      </w:r>
      <w:r>
        <w:rPr>
          <w:rFonts w:hint="eastAsia"/>
          <w:color w:val="auto"/>
          <w:highlight w:val="none"/>
          <w:u w:val="single"/>
        </w:rPr>
        <w:t>证</w:t>
      </w:r>
      <w:r>
        <w:rPr>
          <w:color w:val="auto"/>
          <w:highlight w:val="none"/>
          <w:u w:val="single"/>
        </w:rPr>
        <w:t>）</w:t>
      </w:r>
      <w:r>
        <w:rPr>
          <w:rFonts w:hint="eastAsia"/>
          <w:color w:val="auto"/>
          <w:highlight w:val="none"/>
          <w:u w:val="single"/>
        </w:rPr>
        <w:t>，且未担任其他在施建设工程项目的项目经理</w:t>
      </w:r>
      <w:r>
        <w:rPr>
          <w:rFonts w:hint="eastAsia"/>
          <w:color w:val="auto"/>
          <w:highlight w:val="none"/>
        </w:rPr>
        <w:t>。</w:t>
      </w:r>
    </w:p>
    <w:p w14:paraId="59E82042">
      <w:pPr>
        <w:spacing w:line="460" w:lineRule="exact"/>
        <w:ind w:firstLine="420" w:firstLineChars="200"/>
        <w:rPr>
          <w:rFonts w:hint="eastAsia"/>
          <w:color w:val="auto"/>
          <w:szCs w:val="21"/>
          <w:highlight w:val="none"/>
        </w:rPr>
      </w:pPr>
      <w:r>
        <w:rPr>
          <w:color w:val="auto"/>
          <w:szCs w:val="21"/>
          <w:highlight w:val="none"/>
        </w:rPr>
        <w:t>3.2 本次招标</w:t>
      </w:r>
      <w:r>
        <w:rPr>
          <w:color w:val="auto"/>
          <w:szCs w:val="21"/>
          <w:highlight w:val="none"/>
          <w:u w:val="single"/>
        </w:rPr>
        <w:t xml:space="preserve">         </w:t>
      </w:r>
      <w:r>
        <w:rPr>
          <w:color w:val="auto"/>
          <w:szCs w:val="21"/>
          <w:highlight w:val="none"/>
        </w:rPr>
        <w:t>（接受或不接受）联合体投标。联合体投标的，应满足下列要求：</w:t>
      </w:r>
      <w:r>
        <w:rPr>
          <w:color w:val="auto"/>
          <w:szCs w:val="21"/>
          <w:highlight w:val="none"/>
          <w:u w:val="single"/>
        </w:rPr>
        <w:t xml:space="preserve">                                 </w:t>
      </w:r>
      <w:r>
        <w:rPr>
          <w:color w:val="auto"/>
          <w:szCs w:val="21"/>
          <w:highlight w:val="none"/>
        </w:rPr>
        <w:t>。</w:t>
      </w:r>
    </w:p>
    <w:p w14:paraId="54B0FBB9">
      <w:pPr>
        <w:spacing w:line="500" w:lineRule="exact"/>
        <w:ind w:firstLine="424" w:firstLineChars="202"/>
        <w:rPr>
          <w:color w:val="auto"/>
          <w:highlight w:val="none"/>
        </w:rPr>
      </w:pPr>
      <w:r>
        <w:rPr>
          <w:color w:val="auto"/>
          <w:kern w:val="0"/>
          <w:highlight w:val="none"/>
          <w:lang w:val="zh-CN"/>
        </w:rPr>
        <w:t>3.</w:t>
      </w:r>
      <w:r>
        <w:rPr>
          <w:rFonts w:hint="eastAsia"/>
          <w:color w:val="auto"/>
          <w:kern w:val="0"/>
          <w:highlight w:val="none"/>
        </w:rPr>
        <w:t>3</w:t>
      </w:r>
      <w:r>
        <w:rPr>
          <w:rFonts w:hint="eastAsia"/>
          <w:color w:val="auto"/>
          <w:szCs w:val="21"/>
          <w:highlight w:val="none"/>
        </w:rPr>
        <w:t>根据湖北省住房和城乡建设厅 《关于推动全省建筑市场统一开放的通知》 （鄂建文〔2015〕83号）的规定，“省内外建筑企业在各市州区域流动，统一实行一体化平台登记管理”。投标人应当在“湖北省建筑市场监督与诚信一体化工作平台”（网址：</w:t>
      </w:r>
      <w:r>
        <w:rPr>
          <w:color w:val="auto"/>
          <w:szCs w:val="21"/>
          <w:highlight w:val="none"/>
        </w:rPr>
        <w:t>http://jg.hbcic.net.cn/web/</w:t>
      </w:r>
      <w:r>
        <w:rPr>
          <w:rFonts w:hint="eastAsia"/>
          <w:color w:val="auto"/>
          <w:szCs w:val="21"/>
          <w:highlight w:val="none"/>
        </w:rPr>
        <w:t>）进行企业基本信息和人员信息登记。</w:t>
      </w:r>
    </w:p>
    <w:p w14:paraId="161676FC">
      <w:pPr>
        <w:pStyle w:val="4"/>
        <w:spacing w:before="62"/>
        <w:rPr>
          <w:rFonts w:ascii="Times New Roman" w:hAnsi="Times New Roman"/>
          <w:color w:val="auto"/>
          <w:sz w:val="28"/>
          <w:szCs w:val="28"/>
          <w:highlight w:val="none"/>
        </w:rPr>
      </w:pPr>
      <w:bookmarkStart w:id="204" w:name="_Toc31221_WPSOffice_Level1"/>
      <w:bookmarkStart w:id="205" w:name="_Toc28069"/>
      <w:bookmarkStart w:id="206" w:name="_Toc13653"/>
      <w:r>
        <w:rPr>
          <w:rFonts w:ascii="Times New Roman" w:hAnsi="Times New Roman"/>
          <w:color w:val="auto"/>
          <w:sz w:val="28"/>
          <w:szCs w:val="28"/>
          <w:highlight w:val="none"/>
        </w:rPr>
        <w:t>4. 招标文件的获取</w:t>
      </w:r>
      <w:bookmarkEnd w:id="194"/>
      <w:bookmarkEnd w:id="195"/>
      <w:bookmarkEnd w:id="196"/>
      <w:bookmarkEnd w:id="197"/>
      <w:bookmarkEnd w:id="198"/>
      <w:bookmarkEnd w:id="199"/>
      <w:bookmarkEnd w:id="200"/>
      <w:bookmarkEnd w:id="201"/>
      <w:bookmarkEnd w:id="202"/>
      <w:bookmarkEnd w:id="203"/>
      <w:bookmarkEnd w:id="204"/>
      <w:bookmarkEnd w:id="205"/>
      <w:bookmarkEnd w:id="206"/>
    </w:p>
    <w:p w14:paraId="4093176A">
      <w:pPr>
        <w:spacing w:after="156" w:afterLines="50" w:line="460" w:lineRule="exact"/>
        <w:ind w:firstLine="437"/>
        <w:rPr>
          <w:color w:val="auto"/>
          <w:highlight w:val="none"/>
        </w:rPr>
      </w:pPr>
      <w:r>
        <w:rPr>
          <w:rFonts w:hint="eastAsia"/>
          <w:color w:val="auto"/>
          <w:szCs w:val="21"/>
          <w:highlight w:val="none"/>
        </w:rPr>
        <w:t>4.1</w:t>
      </w:r>
      <w:r>
        <w:rPr>
          <w:rFonts w:hint="eastAsia"/>
          <w:color w:val="auto"/>
          <w:highlight w:val="none"/>
        </w:rPr>
        <w:t>凡有意参加投标者（若为联合体投标，指联合体所有成员），应当在武汉市公共资源交易平台招标投标交易系统（以下简称“市电子交易平台”，下同）（网址：</w:t>
      </w:r>
      <w:r>
        <w:rPr>
          <w:color w:val="auto"/>
          <w:highlight w:val="none"/>
        </w:rPr>
        <w:t>https://</w:t>
      </w:r>
      <w:r>
        <w:rPr>
          <w:rFonts w:hint="eastAsia"/>
          <w:color w:val="auto"/>
          <w:highlight w:val="none"/>
        </w:rPr>
        <w:t>www.whzbtbxt.cn）进行注册登记，并办理CA数字证书（具体操作参见“市电子交易平台”—操作指南—注册及帐号管理）。</w:t>
      </w:r>
    </w:p>
    <w:p w14:paraId="251F4974">
      <w:pPr>
        <w:spacing w:after="156" w:afterLines="50" w:line="460" w:lineRule="exact"/>
        <w:ind w:firstLine="437"/>
        <w:rPr>
          <w:rFonts w:hint="eastAsia"/>
          <w:color w:val="auto"/>
          <w:highlight w:val="none"/>
        </w:rPr>
      </w:pPr>
      <w:r>
        <w:rPr>
          <w:rFonts w:hint="eastAsia"/>
          <w:color w:val="auto"/>
          <w:highlight w:val="none"/>
        </w:rPr>
        <w:t xml:space="preserve">4.2 </w:t>
      </w:r>
      <w:r>
        <w:rPr>
          <w:rFonts w:hint="eastAsia" w:ascii="宋体" w:hAnsi="宋体" w:cs="宋体"/>
          <w:color w:val="auto"/>
          <w:szCs w:val="21"/>
          <w:highlight w:val="none"/>
        </w:rPr>
        <w:t>本投标邀请书通过“市电子交易平台”发出。</w:t>
      </w:r>
      <w:r>
        <w:rPr>
          <w:rFonts w:ascii="宋体" w:hAnsi="宋体" w:cs="宋体"/>
          <w:color w:val="auto"/>
          <w:szCs w:val="21"/>
          <w:highlight w:val="none"/>
        </w:rPr>
        <w:t>请你单位收到</w:t>
      </w:r>
      <w:r>
        <w:rPr>
          <w:rFonts w:hint="eastAsia" w:ascii="宋体" w:hAnsi="宋体" w:cs="宋体"/>
          <w:color w:val="auto"/>
          <w:szCs w:val="21"/>
          <w:highlight w:val="none"/>
        </w:rPr>
        <w:t>投标</w:t>
      </w:r>
      <w:r>
        <w:rPr>
          <w:rFonts w:ascii="宋体" w:hAnsi="宋体" w:cs="宋体"/>
          <w:color w:val="auto"/>
          <w:szCs w:val="21"/>
          <w:highlight w:val="none"/>
        </w:rPr>
        <w:t>邀请书后</w:t>
      </w:r>
      <w:r>
        <w:rPr>
          <w:rFonts w:hint="eastAsia" w:ascii="宋体" w:hAnsi="宋体" w:cs="宋体"/>
          <w:color w:val="auto"/>
          <w:szCs w:val="21"/>
          <w:highlight w:val="none"/>
        </w:rPr>
        <w:t>（以发出时间为准）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日内，通过互联网</w:t>
      </w:r>
      <w:r>
        <w:rPr>
          <w:rFonts w:ascii="宋体" w:hAnsi="宋体" w:cs="宋体"/>
          <w:color w:val="auto"/>
          <w:szCs w:val="21"/>
          <w:highlight w:val="none"/>
        </w:rPr>
        <w:t>使用</w:t>
      </w:r>
      <w:r>
        <w:rPr>
          <w:rFonts w:hint="eastAsia" w:ascii="宋体" w:hAnsi="宋体" w:cs="宋体"/>
          <w:color w:val="auto"/>
          <w:szCs w:val="21"/>
          <w:highlight w:val="none"/>
        </w:rPr>
        <w:t>CA数字证书登录“市电子交易平台”</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。未按要求</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的，将无法下载招标文件，视为放弃投标资格。</w:t>
      </w:r>
    </w:p>
    <w:p w14:paraId="5EB9A39D">
      <w:pPr>
        <w:spacing w:after="156" w:afterLines="50" w:line="460" w:lineRule="exact"/>
        <w:ind w:firstLine="437"/>
        <w:rPr>
          <w:rFonts w:hint="eastAsia"/>
          <w:color w:val="auto"/>
          <w:highlight w:val="none"/>
        </w:rPr>
      </w:pPr>
      <w:r>
        <w:rPr>
          <w:rFonts w:hint="eastAsia"/>
          <w:color w:val="auto"/>
          <w:highlight w:val="none"/>
        </w:rPr>
        <w:t>4.3提交</w:t>
      </w:r>
      <w:r>
        <w:rPr>
          <w:rFonts w:hint="eastAsia" w:ascii="宋体" w:hAnsi="宋体"/>
          <w:color w:val="auto"/>
          <w:szCs w:val="21"/>
          <w:highlight w:val="none"/>
        </w:rPr>
        <w:t>“投标确认书”后</w:t>
      </w:r>
      <w:r>
        <w:rPr>
          <w:rFonts w:hint="eastAsia"/>
          <w:color w:val="auto"/>
          <w:highlight w:val="none"/>
        </w:rPr>
        <w:t>，请</w:t>
      </w:r>
      <w:r>
        <w:rPr>
          <w:color w:val="auto"/>
          <w:highlight w:val="none"/>
        </w:rPr>
        <w:t>你单位</w:t>
      </w:r>
      <w:r>
        <w:rPr>
          <w:rFonts w:hint="eastAsia"/>
          <w:color w:val="auto"/>
          <w:highlight w:val="none"/>
        </w:rPr>
        <w:t>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分至</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分止，</w:t>
      </w:r>
      <w:r>
        <w:rPr>
          <w:color w:val="auto"/>
          <w:highlight w:val="none"/>
        </w:rPr>
        <w:t>通过</w:t>
      </w:r>
      <w:r>
        <w:rPr>
          <w:rFonts w:hint="eastAsia"/>
          <w:color w:val="auto"/>
          <w:highlight w:val="none"/>
        </w:rPr>
        <w:t>互联网</w:t>
      </w:r>
      <w:r>
        <w:rPr>
          <w:color w:val="auto"/>
          <w:highlight w:val="none"/>
        </w:rPr>
        <w:t>使用</w:t>
      </w:r>
      <w:r>
        <w:rPr>
          <w:rFonts w:hint="eastAsia"/>
          <w:color w:val="auto"/>
          <w:highlight w:val="none"/>
        </w:rPr>
        <w:t>CA数字证书</w:t>
      </w:r>
      <w:r>
        <w:rPr>
          <w:color w:val="auto"/>
          <w:highlight w:val="none"/>
        </w:rPr>
        <w:t>登录</w:t>
      </w:r>
      <w:r>
        <w:rPr>
          <w:rFonts w:hint="eastAsia"/>
          <w:color w:val="auto"/>
          <w:highlight w:val="none"/>
        </w:rPr>
        <w:t>“</w:t>
      </w:r>
      <w:r>
        <w:rPr>
          <w:color w:val="auto"/>
          <w:highlight w:val="none"/>
        </w:rPr>
        <w:t>市电子交易平台</w:t>
      </w:r>
      <w:r>
        <w:rPr>
          <w:rFonts w:hint="eastAsia"/>
          <w:color w:val="auto"/>
          <w:highlight w:val="none"/>
        </w:rPr>
        <w:t>”，</w:t>
      </w:r>
      <w:r>
        <w:rPr>
          <w:rFonts w:hint="eastAsia" w:ascii="宋体" w:hAnsi="宋体"/>
          <w:color w:val="auto"/>
          <w:kern w:val="0"/>
          <w:szCs w:val="21"/>
          <w:highlight w:val="none"/>
        </w:rPr>
        <w:t>在所投标段</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53F173DB">
      <w:pPr>
        <w:spacing w:after="156" w:afterLines="50" w:line="460" w:lineRule="exact"/>
        <w:ind w:firstLine="437"/>
        <w:rPr>
          <w:color w:val="auto"/>
          <w:sz w:val="28"/>
          <w:szCs w:val="28"/>
          <w:highlight w:val="none"/>
        </w:rPr>
      </w:pPr>
      <w:bookmarkStart w:id="207" w:name="_Toc519085264"/>
      <w:bookmarkStart w:id="208" w:name="_Toc152042299"/>
      <w:bookmarkStart w:id="209" w:name="_Toc2679"/>
      <w:bookmarkStart w:id="210" w:name="_Toc18524_WPSOffice_Level1"/>
      <w:bookmarkStart w:id="211" w:name="_Toc4972"/>
      <w:bookmarkStart w:id="212" w:name="_Toc144974491"/>
      <w:bookmarkStart w:id="213" w:name="_Toc247527547"/>
      <w:bookmarkStart w:id="214" w:name="_Toc247513946"/>
      <w:bookmarkStart w:id="215" w:name="_Toc7988"/>
      <w:bookmarkStart w:id="216" w:name="_Toc27605"/>
      <w:bookmarkStart w:id="217" w:name="_Toc152045523"/>
      <w:r>
        <w:rPr>
          <w:color w:val="auto"/>
          <w:sz w:val="28"/>
          <w:szCs w:val="28"/>
          <w:highlight w:val="none"/>
        </w:rPr>
        <w:t>5. 投标文件的递交</w:t>
      </w:r>
      <w:bookmarkEnd w:id="207"/>
      <w:bookmarkEnd w:id="208"/>
      <w:bookmarkEnd w:id="209"/>
      <w:bookmarkEnd w:id="210"/>
      <w:bookmarkEnd w:id="211"/>
      <w:bookmarkEnd w:id="212"/>
      <w:bookmarkEnd w:id="213"/>
      <w:bookmarkEnd w:id="214"/>
      <w:bookmarkEnd w:id="215"/>
      <w:bookmarkEnd w:id="216"/>
      <w:bookmarkEnd w:id="217"/>
    </w:p>
    <w:p w14:paraId="6AA99A73">
      <w:pPr>
        <w:spacing w:before="249" w:beforeLines="80" w:after="249" w:afterLines="80" w:line="460" w:lineRule="exact"/>
        <w:ind w:firstLine="420" w:firstLineChars="200"/>
        <w:rPr>
          <w:rFonts w:hint="eastAsia"/>
          <w:color w:val="auto"/>
          <w:highlight w:val="none"/>
        </w:rPr>
      </w:pPr>
      <w:r>
        <w:rPr>
          <w:rFonts w:hint="eastAsia"/>
          <w:color w:val="auto"/>
          <w:highlight w:val="none"/>
        </w:rPr>
        <w:t>5.1投标文件与投标保证金递交的截止时间为     年    月    日    时    分。投标人应当在投标截止时间前，按照招标文件中第二章“投标人须知”的规定提交投标保证金。</w:t>
      </w:r>
    </w:p>
    <w:p w14:paraId="0A746F15">
      <w:pPr>
        <w:spacing w:before="249" w:beforeLines="80" w:after="249" w:afterLines="80" w:line="460" w:lineRule="exact"/>
        <w:ind w:firstLine="420" w:firstLineChars="200"/>
        <w:rPr>
          <w:rFonts w:hint="eastAsia"/>
          <w:color w:val="auto"/>
          <w:highlight w:val="none"/>
        </w:rPr>
      </w:pPr>
      <w:r>
        <w:rPr>
          <w:rFonts w:hint="eastAsia"/>
          <w:color w:val="auto"/>
          <w:highlight w:val="none"/>
        </w:rPr>
        <w:t>5.2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3AB94BA6">
      <w:pPr>
        <w:pStyle w:val="4"/>
        <w:spacing w:before="62"/>
        <w:rPr>
          <w:rFonts w:hint="eastAsia" w:ascii="Times New Roman" w:hAnsi="Times New Roman"/>
          <w:color w:val="auto"/>
          <w:sz w:val="28"/>
          <w:szCs w:val="28"/>
          <w:highlight w:val="none"/>
        </w:rPr>
      </w:pPr>
      <w:bookmarkStart w:id="218" w:name="_Toc23162"/>
      <w:bookmarkStart w:id="219" w:name="_Toc22895"/>
      <w:bookmarkStart w:id="220" w:name="_Toc26909_WPSOffice_Level1"/>
      <w:bookmarkStart w:id="221" w:name="_Toc6399"/>
      <w:bookmarkStart w:id="222" w:name="_Toc18558"/>
      <w:bookmarkStart w:id="223" w:name="_Toc18001"/>
      <w:r>
        <w:rPr>
          <w:rFonts w:hint="eastAsia" w:ascii="Times New Roman" w:hAnsi="Times New Roman"/>
          <w:color w:val="auto"/>
          <w:sz w:val="28"/>
          <w:szCs w:val="28"/>
          <w:highlight w:val="none"/>
        </w:rPr>
        <w:t>6. 投标相关事宜</w:t>
      </w:r>
      <w:bookmarkEnd w:id="218"/>
      <w:bookmarkEnd w:id="219"/>
      <w:bookmarkEnd w:id="220"/>
      <w:bookmarkEnd w:id="221"/>
      <w:bookmarkEnd w:id="222"/>
      <w:bookmarkEnd w:id="223"/>
    </w:p>
    <w:p w14:paraId="290A5D0E">
      <w:pPr>
        <w:spacing w:after="156" w:afterLines="50" w:line="460" w:lineRule="exact"/>
        <w:ind w:firstLine="437"/>
        <w:rPr>
          <w:rFonts w:hint="eastAsia"/>
          <w:color w:val="auto"/>
          <w:highlight w:val="none"/>
        </w:rPr>
      </w:pPr>
      <w:r>
        <w:rPr>
          <w:rFonts w:hint="eastAsia"/>
          <w:color w:val="auto"/>
          <w:highlight w:val="none"/>
          <w:u w:val="single"/>
        </w:rPr>
        <w:t xml:space="preserve">                                 </w:t>
      </w:r>
      <w:r>
        <w:rPr>
          <w:rFonts w:hint="eastAsia"/>
          <w:color w:val="auto"/>
          <w:highlight w:val="none"/>
        </w:rPr>
        <w:t>。</w:t>
      </w:r>
    </w:p>
    <w:p w14:paraId="35D2235E">
      <w:pPr>
        <w:pStyle w:val="4"/>
        <w:spacing w:before="62"/>
        <w:rPr>
          <w:rFonts w:hint="eastAsia" w:ascii="Times New Roman" w:hAnsi="Times New Roman"/>
          <w:color w:val="auto"/>
          <w:sz w:val="28"/>
          <w:szCs w:val="28"/>
          <w:highlight w:val="none"/>
        </w:rPr>
      </w:pPr>
      <w:bookmarkStart w:id="224" w:name="_Toc839"/>
      <w:bookmarkStart w:id="225" w:name="_Toc22238"/>
      <w:bookmarkStart w:id="226" w:name="_Toc12060"/>
      <w:bookmarkStart w:id="227" w:name="_Toc22702"/>
      <w:bookmarkStart w:id="228" w:name="_Toc6675"/>
      <w:bookmarkStart w:id="229" w:name="_Toc13740_WPSOffice_Level1"/>
      <w:r>
        <w:rPr>
          <w:rFonts w:hint="eastAsia" w:ascii="Times New Roman" w:hAnsi="Times New Roman"/>
          <w:color w:val="auto"/>
          <w:sz w:val="28"/>
          <w:szCs w:val="28"/>
          <w:highlight w:val="none"/>
        </w:rPr>
        <w:t>7. 评标办法</w:t>
      </w:r>
      <w:bookmarkEnd w:id="224"/>
      <w:bookmarkEnd w:id="225"/>
      <w:bookmarkEnd w:id="226"/>
      <w:bookmarkEnd w:id="227"/>
      <w:bookmarkEnd w:id="228"/>
      <w:bookmarkEnd w:id="229"/>
    </w:p>
    <w:p w14:paraId="42D2E534">
      <w:pPr>
        <w:spacing w:after="156" w:afterLines="50" w:line="460" w:lineRule="exact"/>
        <w:ind w:firstLine="437"/>
        <w:rPr>
          <w:rFonts w:hint="eastAsia"/>
          <w:color w:val="auto"/>
          <w:highlight w:val="none"/>
        </w:rPr>
      </w:pPr>
      <w:r>
        <w:rPr>
          <w:rFonts w:hint="eastAsia"/>
          <w:color w:val="auto"/>
          <w:highlight w:val="none"/>
        </w:rPr>
        <w:t>本次招标评标办法采用</w:t>
      </w:r>
      <w:r>
        <w:rPr>
          <w:rFonts w:hint="eastAsia"/>
          <w:color w:val="auto"/>
          <w:highlight w:val="none"/>
          <w:u w:val="single"/>
        </w:rPr>
        <w:t xml:space="preserve">             </w:t>
      </w:r>
      <w:r>
        <w:rPr>
          <w:rFonts w:hint="eastAsia"/>
          <w:color w:val="auto"/>
          <w:highlight w:val="none"/>
        </w:rPr>
        <w:t>。</w:t>
      </w:r>
    </w:p>
    <w:p w14:paraId="1AD1C457">
      <w:pPr>
        <w:pStyle w:val="4"/>
        <w:spacing w:before="62"/>
        <w:rPr>
          <w:rFonts w:ascii="Times New Roman" w:hAnsi="Times New Roman"/>
          <w:color w:val="auto"/>
          <w:sz w:val="28"/>
          <w:szCs w:val="28"/>
          <w:highlight w:val="none"/>
        </w:rPr>
      </w:pPr>
      <w:bookmarkStart w:id="230" w:name="_Toc3687"/>
      <w:bookmarkStart w:id="231" w:name="_Toc17191"/>
      <w:bookmarkStart w:id="232" w:name="_Toc2308"/>
      <w:bookmarkStart w:id="233" w:name="_Toc152045525"/>
      <w:bookmarkStart w:id="234" w:name="_Toc247527549"/>
      <w:bookmarkStart w:id="235" w:name="_Toc2939_WPSOffice_Level1"/>
      <w:bookmarkStart w:id="236" w:name="_Toc247513948"/>
      <w:bookmarkStart w:id="237" w:name="_Toc24103"/>
      <w:bookmarkStart w:id="238" w:name="_Toc519085265"/>
      <w:bookmarkStart w:id="239" w:name="_Toc144974493"/>
      <w:bookmarkStart w:id="240" w:name="_Toc7511"/>
      <w:bookmarkStart w:id="241" w:name="_Toc2145"/>
      <w:bookmarkStart w:id="242" w:name="_Toc152042301"/>
      <w:r>
        <w:rPr>
          <w:rFonts w:hint="eastAsia" w:ascii="Times New Roman" w:hAnsi="Times New Roman"/>
          <w:color w:val="auto"/>
          <w:sz w:val="28"/>
          <w:szCs w:val="28"/>
          <w:highlight w:val="none"/>
        </w:rPr>
        <w:t>8</w:t>
      </w:r>
      <w:r>
        <w:rPr>
          <w:rFonts w:ascii="Times New Roman" w:hAnsi="Times New Roman"/>
          <w:color w:val="auto"/>
          <w:sz w:val="28"/>
          <w:szCs w:val="28"/>
          <w:highlight w:val="none"/>
        </w:rPr>
        <w:t>. 联系方式</w:t>
      </w:r>
      <w:bookmarkEnd w:id="230"/>
      <w:bookmarkEnd w:id="231"/>
      <w:bookmarkEnd w:id="232"/>
      <w:bookmarkEnd w:id="233"/>
      <w:bookmarkEnd w:id="234"/>
      <w:bookmarkEnd w:id="235"/>
      <w:bookmarkEnd w:id="236"/>
      <w:bookmarkEnd w:id="237"/>
      <w:bookmarkEnd w:id="238"/>
      <w:bookmarkEnd w:id="239"/>
      <w:bookmarkEnd w:id="240"/>
      <w:bookmarkEnd w:id="241"/>
      <w:bookmarkEnd w:id="242"/>
    </w:p>
    <w:p w14:paraId="015C09C1">
      <w:pPr>
        <w:topLinePunct/>
        <w:spacing w:line="46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04CCED9A">
      <w:pPr>
        <w:topLinePunct/>
        <w:spacing w:line="46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08A5269C">
      <w:pPr>
        <w:topLinePunct/>
        <w:spacing w:line="46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5618906E">
      <w:pPr>
        <w:topLinePunct/>
        <w:spacing w:line="46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12B7E2E6">
      <w:pPr>
        <w:topLinePunct/>
        <w:spacing w:line="46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1C6F76E2">
      <w:pPr>
        <w:topLinePunct/>
        <w:spacing w:line="46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56DD910B">
      <w:pPr>
        <w:topLinePunct/>
        <w:spacing w:line="46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39A74B11">
      <w:pPr>
        <w:topLinePunct/>
        <w:spacing w:line="46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15A094D2">
      <w:pPr>
        <w:spacing w:line="460" w:lineRule="exact"/>
        <w:ind w:firstLine="420" w:firstLineChars="200"/>
        <w:rPr>
          <w:color w:val="auto"/>
          <w:szCs w:val="21"/>
          <w:highlight w:val="none"/>
        </w:rPr>
      </w:pPr>
      <w:r>
        <w:rPr>
          <w:color w:val="auto"/>
          <w:szCs w:val="21"/>
          <w:highlight w:val="none"/>
          <w:u w:val="single"/>
        </w:rPr>
        <w:t xml:space="preserve"> </w:t>
      </w:r>
      <w:r>
        <w:rPr>
          <w:color w:val="auto"/>
          <w:szCs w:val="21"/>
          <w:highlight w:val="none"/>
        </w:rPr>
        <w:t xml:space="preserve">                                             </w:t>
      </w:r>
    </w:p>
    <w:p w14:paraId="5DE74582">
      <w:pPr>
        <w:spacing w:line="40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 xml:space="preserve">年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18A9777E">
      <w:pPr>
        <w:spacing w:line="400" w:lineRule="exact"/>
        <w:rPr>
          <w:rFonts w:hint="eastAsia"/>
          <w:color w:val="auto"/>
          <w:szCs w:val="21"/>
          <w:highlight w:val="none"/>
        </w:rPr>
      </w:pPr>
    </w:p>
    <w:p w14:paraId="02992CB5">
      <w:pPr>
        <w:spacing w:line="400" w:lineRule="exact"/>
        <w:rPr>
          <w:rFonts w:hint="eastAsia"/>
          <w:color w:val="auto"/>
          <w:szCs w:val="21"/>
          <w:highlight w:val="none"/>
        </w:rPr>
      </w:pPr>
    </w:p>
    <w:p w14:paraId="01E30844">
      <w:pPr>
        <w:spacing w:line="400" w:lineRule="exact"/>
        <w:rPr>
          <w:rFonts w:hint="eastAsia"/>
          <w:color w:val="auto"/>
          <w:szCs w:val="21"/>
          <w:highlight w:val="none"/>
        </w:rPr>
      </w:pPr>
    </w:p>
    <w:p w14:paraId="2E5D0108">
      <w:pPr>
        <w:spacing w:line="400" w:lineRule="exact"/>
        <w:rPr>
          <w:rFonts w:hint="eastAsia"/>
          <w:color w:val="auto"/>
          <w:szCs w:val="21"/>
          <w:highlight w:val="none"/>
        </w:rPr>
      </w:pPr>
    </w:p>
    <w:p w14:paraId="73B06B23">
      <w:pPr>
        <w:spacing w:before="100" w:beforeAutospacing="1"/>
        <w:ind w:left="1050" w:hanging="1050" w:hangingChars="500"/>
        <w:rPr>
          <w:rFonts w:hint="eastAsia"/>
          <w:color w:val="auto"/>
          <w:szCs w:val="21"/>
          <w:highlight w:val="none"/>
        </w:rPr>
      </w:pPr>
      <w:r>
        <w:rPr>
          <w:rFonts w:hint="eastAsia"/>
          <w:color w:val="auto"/>
          <w:szCs w:val="21"/>
          <w:highlight w:val="none"/>
        </w:rPr>
        <w:t>备注： 1. “投标确认书”格式见《武汉市建设工程工程总承包招标资格预审文件示范文本》第二章附表十。</w:t>
      </w:r>
    </w:p>
    <w:p w14:paraId="1A6716B9">
      <w:pPr>
        <w:spacing w:before="100" w:beforeAutospacing="1"/>
        <w:ind w:left="1050" w:leftChars="350" w:hanging="315" w:hangingChars="150"/>
        <w:rPr>
          <w:color w:val="auto"/>
          <w:szCs w:val="21"/>
          <w:highlight w:val="none"/>
        </w:rPr>
      </w:pPr>
      <w:r>
        <w:rPr>
          <w:rFonts w:hint="eastAsia"/>
          <w:color w:val="auto"/>
          <w:szCs w:val="21"/>
          <w:highlight w:val="none"/>
        </w:rPr>
        <w:t>2. “在所投标段免费下载招标文件”是指投标人拟参加某标段投标的，应按规定下载该标段的招标文件。投标人的下载活动“</w:t>
      </w:r>
      <w:r>
        <w:rPr>
          <w:color w:val="auto"/>
          <w:szCs w:val="21"/>
          <w:highlight w:val="none"/>
        </w:rPr>
        <w:t>市电子交易平台</w:t>
      </w:r>
      <w:r>
        <w:rPr>
          <w:rFonts w:hint="eastAsia"/>
          <w:color w:val="auto"/>
          <w:szCs w:val="21"/>
          <w:highlight w:val="none"/>
        </w:rPr>
        <w:t>”将予以记录</w:t>
      </w:r>
      <w:r>
        <w:rPr>
          <w:rFonts w:hint="eastAsia"/>
          <w:color w:val="auto"/>
          <w:highlight w:val="none"/>
        </w:rPr>
        <w:t>，并可在“下载情况查询”中查看，该记录</w:t>
      </w:r>
      <w:r>
        <w:rPr>
          <w:rFonts w:hint="eastAsia"/>
          <w:color w:val="auto"/>
          <w:szCs w:val="21"/>
          <w:highlight w:val="none"/>
        </w:rPr>
        <w:t>作为投标人是否下载该标段招标文件的依据。</w:t>
      </w:r>
    </w:p>
    <w:p w14:paraId="2504F87C">
      <w:pPr>
        <w:spacing w:before="100" w:beforeAutospacing="1"/>
        <w:ind w:left="1050" w:leftChars="350" w:hanging="315" w:hangingChars="150"/>
        <w:rPr>
          <w:rFonts w:hint="eastAsia"/>
          <w:color w:val="auto"/>
          <w:szCs w:val="21"/>
          <w:highlight w:val="none"/>
        </w:rPr>
      </w:pPr>
      <w:r>
        <w:rPr>
          <w:color w:val="auto"/>
          <w:szCs w:val="21"/>
          <w:highlight w:val="none"/>
        </w:rPr>
        <w:br w:type="page"/>
      </w:r>
    </w:p>
    <w:p w14:paraId="6D415D76">
      <w:pPr>
        <w:pStyle w:val="3"/>
        <w:spacing w:before="0" w:after="0"/>
        <w:jc w:val="center"/>
        <w:rPr>
          <w:rFonts w:ascii="黑体" w:hAnsi="黑体" w:eastAsia="黑体"/>
          <w:b w:val="0"/>
          <w:color w:val="auto"/>
          <w:sz w:val="32"/>
          <w:szCs w:val="32"/>
          <w:highlight w:val="none"/>
        </w:rPr>
      </w:pPr>
      <w:bookmarkStart w:id="243" w:name="_Toc152045526"/>
      <w:bookmarkStart w:id="244" w:name="_Toc152042302"/>
      <w:bookmarkStart w:id="245" w:name="_Toc4272"/>
      <w:bookmarkStart w:id="246" w:name="_Toc247513949"/>
      <w:bookmarkStart w:id="247" w:name="_Toc519085266"/>
      <w:bookmarkStart w:id="248" w:name="_Toc14344"/>
      <w:bookmarkStart w:id="249" w:name="_Toc22389"/>
      <w:bookmarkStart w:id="250" w:name="_Toc16330_WPSOffice_Level1"/>
      <w:bookmarkStart w:id="251" w:name="_Toc247527550"/>
      <w:bookmarkStart w:id="252" w:name="_Toc25414"/>
      <w:bookmarkStart w:id="253" w:name="_Toc14594"/>
      <w:bookmarkStart w:id="254" w:name="_Toc24791"/>
      <w:bookmarkStart w:id="255" w:name="_Toc144974494"/>
      <w:r>
        <w:rPr>
          <w:rFonts w:hint="eastAsia" w:eastAsia="黑体"/>
          <w:b w:val="0"/>
          <w:color w:val="auto"/>
          <w:sz w:val="32"/>
          <w:szCs w:val="20"/>
          <w:highlight w:val="none"/>
        </w:rPr>
        <w:t>第一章 投标邀请书（代资格预审合格通知书）</w:t>
      </w:r>
      <w:bookmarkEnd w:id="243"/>
      <w:bookmarkEnd w:id="244"/>
      <w:bookmarkEnd w:id="245"/>
      <w:bookmarkEnd w:id="246"/>
      <w:bookmarkEnd w:id="247"/>
      <w:bookmarkEnd w:id="248"/>
      <w:bookmarkEnd w:id="249"/>
      <w:bookmarkEnd w:id="250"/>
      <w:bookmarkEnd w:id="251"/>
      <w:bookmarkEnd w:id="252"/>
      <w:bookmarkEnd w:id="253"/>
      <w:bookmarkEnd w:id="254"/>
      <w:bookmarkEnd w:id="255"/>
    </w:p>
    <w:p w14:paraId="2CBE296D">
      <w:pPr>
        <w:spacing w:line="460" w:lineRule="exact"/>
        <w:jc w:val="center"/>
        <w:rPr>
          <w:rFonts w:hint="eastAsia"/>
          <w:color w:val="auto"/>
          <w:highlight w:val="none"/>
        </w:rPr>
      </w:pPr>
      <w:r>
        <w:rPr>
          <w:rFonts w:hint="eastAsia"/>
          <w:color w:val="auto"/>
          <w:highlight w:val="none"/>
        </w:rPr>
        <w:t xml:space="preserve">  </w:t>
      </w:r>
    </w:p>
    <w:p w14:paraId="305E7121">
      <w:pPr>
        <w:spacing w:line="460" w:lineRule="exact"/>
        <w:jc w:val="center"/>
        <w:rPr>
          <w:rFonts w:ascii="黑体" w:hAnsi="黑体" w:eastAsia="黑体"/>
          <w:color w:val="auto"/>
          <w:sz w:val="24"/>
          <w:highlight w:val="none"/>
        </w:rPr>
      </w:pPr>
      <w:r>
        <w:rPr>
          <w:rFonts w:hint="eastAsia"/>
          <w:color w:val="auto"/>
          <w:highlight w:val="none"/>
        </w:rPr>
        <w:t xml:space="preserve"> </w:t>
      </w:r>
      <w:r>
        <w:rPr>
          <w:rFonts w:hint="eastAsia" w:ascii="黑体" w:hAnsi="黑体" w:eastAsia="黑体" w:cs="黑体"/>
          <w:color w:val="auto"/>
          <w:sz w:val="28"/>
          <w:szCs w:val="28"/>
          <w:highlight w:val="none"/>
          <w:u w:val="single"/>
        </w:rPr>
        <w:t xml:space="preserve">        </w:t>
      </w:r>
      <w:bookmarkStart w:id="256" w:name="_Toc31762_WPSOffice_Level1"/>
      <w:bookmarkStart w:id="257" w:name="_Toc2331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（标段名称）工程总承包</w:t>
      </w:r>
      <w:r>
        <w:rPr>
          <w:rFonts w:ascii="黑体" w:hAnsi="黑体" w:eastAsia="黑体" w:cs="黑体"/>
          <w:color w:val="auto"/>
          <w:sz w:val="28"/>
          <w:szCs w:val="28"/>
          <w:highlight w:val="none"/>
        </w:rPr>
        <w:t>投标邀请书</w:t>
      </w:r>
      <w:bookmarkEnd w:id="256"/>
      <w:bookmarkEnd w:id="257"/>
    </w:p>
    <w:p w14:paraId="197B3672">
      <w:pPr>
        <w:spacing w:line="460" w:lineRule="exact"/>
        <w:jc w:val="left"/>
        <w:rPr>
          <w:rFonts w:hint="eastAsia"/>
          <w:color w:val="auto"/>
          <w:highlight w:val="none"/>
          <w:u w:val="single"/>
        </w:rPr>
      </w:pPr>
    </w:p>
    <w:p w14:paraId="6E57C696">
      <w:pPr>
        <w:spacing w:line="460" w:lineRule="exact"/>
        <w:jc w:val="left"/>
        <w:rPr>
          <w:rFonts w:hint="eastAsia"/>
          <w:color w:val="auto"/>
          <w:highlight w:val="none"/>
        </w:rPr>
      </w:pPr>
      <w:r>
        <w:rPr>
          <w:color w:val="auto"/>
          <w:highlight w:val="none"/>
          <w:u w:val="single"/>
        </w:rPr>
        <w:t xml:space="preserve">             </w:t>
      </w:r>
      <w:r>
        <w:rPr>
          <w:color w:val="auto"/>
          <w:highlight w:val="none"/>
        </w:rPr>
        <w:t>（被邀请单位名称）：</w:t>
      </w:r>
    </w:p>
    <w:p w14:paraId="2F1BAC5B">
      <w:pPr>
        <w:spacing w:line="460" w:lineRule="exact"/>
        <w:jc w:val="left"/>
        <w:rPr>
          <w:rFonts w:hint="eastAsia"/>
          <w:color w:val="auto"/>
          <w:highlight w:val="none"/>
        </w:rPr>
      </w:pPr>
    </w:p>
    <w:p w14:paraId="7C05A46C">
      <w:pPr>
        <w:spacing w:before="249" w:beforeLines="80" w:after="249" w:afterLines="80" w:line="460" w:lineRule="exact"/>
        <w:ind w:firstLine="420" w:firstLineChars="200"/>
        <w:rPr>
          <w:color w:val="auto"/>
          <w:highlight w:val="none"/>
        </w:rPr>
      </w:pPr>
      <w:r>
        <w:rPr>
          <w:color w:val="auto"/>
          <w:highlight w:val="none"/>
        </w:rPr>
        <w:t>你单位已通过资格预审，现邀请你单位按招标文件规定的内容，参加</w:t>
      </w:r>
      <w:r>
        <w:rPr>
          <w:color w:val="auto"/>
          <w:highlight w:val="none"/>
          <w:u w:val="single"/>
        </w:rPr>
        <w:t xml:space="preserve">             </w:t>
      </w:r>
      <w:r>
        <w:rPr>
          <w:color w:val="auto"/>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标段名称）</w:t>
      </w:r>
      <w:r>
        <w:rPr>
          <w:rFonts w:hint="eastAsia"/>
          <w:color w:val="auto"/>
          <w:highlight w:val="none"/>
        </w:rPr>
        <w:t>工程总承包</w:t>
      </w:r>
      <w:r>
        <w:rPr>
          <w:color w:val="auto"/>
          <w:highlight w:val="none"/>
        </w:rPr>
        <w:t>投标。</w:t>
      </w:r>
    </w:p>
    <w:p w14:paraId="62C9DA27">
      <w:pPr>
        <w:spacing w:line="500" w:lineRule="exact"/>
        <w:ind w:firstLine="420" w:firstLineChars="200"/>
        <w:rPr>
          <w:color w:val="auto"/>
          <w:highlight w:val="none"/>
        </w:rPr>
      </w:pPr>
      <w:r>
        <w:rPr>
          <w:rFonts w:hint="eastAsia"/>
          <w:color w:val="auto"/>
          <w:highlight w:val="none"/>
        </w:rPr>
        <w:t>本投标邀请书通过武汉市公共资源交易平台招标投标交易系统</w:t>
      </w:r>
      <w:r>
        <w:rPr>
          <w:color w:val="auto"/>
          <w:highlight w:val="none"/>
        </w:rPr>
        <w:t xml:space="preserve"> </w:t>
      </w:r>
      <w:r>
        <w:rPr>
          <w:rFonts w:hint="eastAsia"/>
          <w:color w:val="auto"/>
          <w:highlight w:val="none"/>
        </w:rPr>
        <w:t>（以下简称“市电子交易平台”，下同）（网址：</w:t>
      </w:r>
      <w:r>
        <w:rPr>
          <w:color w:val="auto"/>
          <w:highlight w:val="none"/>
        </w:rPr>
        <w:t>http</w:t>
      </w:r>
      <w:r>
        <w:rPr>
          <w:rFonts w:hint="eastAsia"/>
          <w:color w:val="auto"/>
          <w:highlight w:val="none"/>
        </w:rPr>
        <w:t>s</w:t>
      </w:r>
      <w:r>
        <w:rPr>
          <w:color w:val="auto"/>
          <w:highlight w:val="none"/>
        </w:rPr>
        <w:t>://</w:t>
      </w:r>
      <w:r>
        <w:rPr>
          <w:rFonts w:hint="eastAsia"/>
          <w:color w:val="auto"/>
          <w:highlight w:val="none"/>
        </w:rPr>
        <w:t>www.whzbtbxt.cn）发出，</w:t>
      </w:r>
      <w:r>
        <w:rPr>
          <w:rFonts w:ascii="宋体" w:hAnsi="宋体" w:cs="宋体"/>
          <w:color w:val="auto"/>
          <w:szCs w:val="21"/>
          <w:highlight w:val="none"/>
        </w:rPr>
        <w:t>请你单位收到</w:t>
      </w:r>
      <w:r>
        <w:rPr>
          <w:rFonts w:hint="eastAsia" w:ascii="宋体" w:hAnsi="宋体" w:cs="宋体"/>
          <w:color w:val="auto"/>
          <w:szCs w:val="21"/>
          <w:highlight w:val="none"/>
        </w:rPr>
        <w:t>资格预审合格通知书</w:t>
      </w:r>
      <w:r>
        <w:rPr>
          <w:rFonts w:ascii="宋体" w:hAnsi="宋体" w:cs="宋体"/>
          <w:color w:val="auto"/>
          <w:szCs w:val="21"/>
          <w:highlight w:val="none"/>
        </w:rPr>
        <w:t>后</w:t>
      </w:r>
      <w:r>
        <w:rPr>
          <w:rFonts w:hint="eastAsia" w:ascii="宋体" w:hAnsi="宋体" w:cs="宋体"/>
          <w:color w:val="auto"/>
          <w:szCs w:val="21"/>
          <w:highlight w:val="none"/>
        </w:rPr>
        <w:t>，通过互联网</w:t>
      </w:r>
      <w:r>
        <w:rPr>
          <w:rFonts w:ascii="宋体" w:hAnsi="宋体" w:cs="宋体"/>
          <w:color w:val="auto"/>
          <w:szCs w:val="21"/>
          <w:highlight w:val="none"/>
        </w:rPr>
        <w:t>使用CA数字证书登录“市电子交易平台”</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。未按要求</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的，将无法下载招标文件，视为放弃投标资格。</w:t>
      </w:r>
      <w:r>
        <w:rPr>
          <w:rFonts w:ascii="宋体" w:hAnsi="宋体" w:cs="宋体"/>
          <w:color w:val="auto"/>
          <w:szCs w:val="21"/>
          <w:highlight w:val="none"/>
        </w:rPr>
        <w:t xml:space="preserve">  </w:t>
      </w:r>
    </w:p>
    <w:p w14:paraId="0AEEA8C5">
      <w:pPr>
        <w:spacing w:after="156" w:afterLines="50" w:line="460" w:lineRule="exact"/>
        <w:ind w:firstLine="437"/>
        <w:rPr>
          <w:rFonts w:hint="eastAsia"/>
          <w:color w:val="auto"/>
          <w:highlight w:val="none"/>
        </w:rPr>
      </w:pPr>
      <w:r>
        <w:rPr>
          <w:rFonts w:hint="eastAsia"/>
          <w:color w:val="auto"/>
          <w:highlight w:val="none"/>
        </w:rPr>
        <w:t>提交</w:t>
      </w:r>
      <w:r>
        <w:rPr>
          <w:rFonts w:hint="eastAsia" w:ascii="宋体" w:hAnsi="宋体"/>
          <w:color w:val="auto"/>
          <w:szCs w:val="21"/>
          <w:highlight w:val="none"/>
        </w:rPr>
        <w:t>“投标确认书”后</w:t>
      </w:r>
      <w:r>
        <w:rPr>
          <w:rFonts w:hint="eastAsia"/>
          <w:color w:val="auto"/>
          <w:highlight w:val="none"/>
        </w:rPr>
        <w:t>，请你单位凭本通知书于</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w:t>
      </w:r>
      <w:r>
        <w:rPr>
          <w:color w:val="auto"/>
          <w:highlight w:val="none"/>
          <w:u w:val="single"/>
        </w:rPr>
        <w:t xml:space="preserve">   </w:t>
      </w:r>
      <w:r>
        <w:rPr>
          <w:rFonts w:hint="eastAsia"/>
          <w:color w:val="auto"/>
          <w:highlight w:val="none"/>
        </w:rPr>
        <w:t>时</w:t>
      </w:r>
      <w:r>
        <w:rPr>
          <w:color w:val="auto"/>
          <w:highlight w:val="none"/>
          <w:u w:val="single"/>
        </w:rPr>
        <w:t xml:space="preserve">   </w:t>
      </w:r>
      <w:r>
        <w:rPr>
          <w:rFonts w:hint="eastAsia"/>
          <w:color w:val="auto"/>
          <w:highlight w:val="none"/>
        </w:rPr>
        <w:t>分至</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w:t>
      </w:r>
      <w:r>
        <w:rPr>
          <w:color w:val="auto"/>
          <w:highlight w:val="none"/>
          <w:u w:val="single"/>
        </w:rPr>
        <w:t xml:space="preserve">   </w:t>
      </w:r>
      <w:r>
        <w:rPr>
          <w:rFonts w:hint="eastAsia"/>
          <w:color w:val="auto"/>
          <w:highlight w:val="none"/>
        </w:rPr>
        <w:t>时</w:t>
      </w:r>
      <w:r>
        <w:rPr>
          <w:color w:val="auto"/>
          <w:highlight w:val="none"/>
          <w:u w:val="single"/>
        </w:rPr>
        <w:t xml:space="preserve">   </w:t>
      </w:r>
      <w:r>
        <w:rPr>
          <w:rFonts w:hint="eastAsia"/>
          <w:color w:val="auto"/>
          <w:highlight w:val="none"/>
        </w:rPr>
        <w:t>分（北京时间、下同）通过互联网使用</w:t>
      </w:r>
      <w:r>
        <w:rPr>
          <w:color w:val="auto"/>
          <w:highlight w:val="none"/>
        </w:rPr>
        <w:t xml:space="preserve"> CA </w:t>
      </w:r>
      <w:r>
        <w:rPr>
          <w:rFonts w:hint="eastAsia"/>
          <w:color w:val="auto"/>
          <w:highlight w:val="none"/>
        </w:rPr>
        <w:t>数字证书登录</w:t>
      </w:r>
      <w:r>
        <w:rPr>
          <w:color w:val="auto"/>
          <w:highlight w:val="none"/>
        </w:rPr>
        <w:t xml:space="preserve"> </w:t>
      </w:r>
      <w:r>
        <w:rPr>
          <w:rFonts w:hint="eastAsia"/>
          <w:color w:val="auto"/>
          <w:highlight w:val="none"/>
        </w:rPr>
        <w:t>“市电子交易平台”</w:t>
      </w:r>
      <w:r>
        <w:rPr>
          <w:rFonts w:hint="eastAsia" w:ascii="宋体" w:hAnsi="宋体"/>
          <w:color w:val="auto"/>
          <w:kern w:val="0"/>
          <w:szCs w:val="21"/>
          <w:highlight w:val="none"/>
        </w:rPr>
        <w:t>在所投标段（包）</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34937875">
      <w:pPr>
        <w:adjustRightInd w:val="0"/>
        <w:snapToGrid w:val="0"/>
        <w:spacing w:line="360" w:lineRule="auto"/>
        <w:ind w:firstLine="420" w:firstLineChars="200"/>
        <w:rPr>
          <w:rFonts w:hint="eastAsia"/>
          <w:color w:val="auto"/>
          <w:highlight w:val="none"/>
        </w:rPr>
      </w:pPr>
      <w:r>
        <w:rPr>
          <w:rFonts w:hint="eastAsia"/>
          <w:color w:val="auto"/>
          <w:highlight w:val="none"/>
        </w:rPr>
        <w:t>投标文件与投标保证金递交的截止时间为     年    月    日    时    分。投标人应当在投标截止时间前，按照招标文件中第二章“投标人须知”的规定提交投标保证金，并以下列方式递交投标文件：</w:t>
      </w:r>
    </w:p>
    <w:p w14:paraId="701E0B93">
      <w:pPr>
        <w:adjustRightInd w:val="0"/>
        <w:snapToGrid w:val="0"/>
        <w:spacing w:line="360" w:lineRule="auto"/>
        <w:ind w:firstLine="420" w:firstLineChars="200"/>
        <w:rPr>
          <w:rFonts w:hint="eastAsia"/>
          <w:color w:val="auto"/>
          <w:highlight w:val="none"/>
        </w:rPr>
      </w:pPr>
      <w:r>
        <w:rPr>
          <w:rFonts w:hint="eastAsia"/>
          <w:color w:val="auto"/>
          <w:highlight w:val="none"/>
        </w:rPr>
        <w:t>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4E0FF65C">
      <w:pPr>
        <w:adjustRightInd w:val="0"/>
        <w:snapToGrid w:val="0"/>
        <w:spacing w:line="360" w:lineRule="auto"/>
        <w:ind w:firstLine="420" w:firstLineChars="200"/>
        <w:rPr>
          <w:rFonts w:hint="eastAsia"/>
          <w:color w:val="auto"/>
          <w:highlight w:val="none"/>
        </w:rPr>
      </w:pPr>
      <w:r>
        <w:rPr>
          <w:rFonts w:hint="eastAsia"/>
          <w:color w:val="auto"/>
          <w:highlight w:val="none"/>
        </w:rPr>
        <w:t>有关本项目投标的其他事宜，请与招标人或招标代理机构联系。</w:t>
      </w:r>
    </w:p>
    <w:p w14:paraId="717C6BCD">
      <w:pPr>
        <w:adjustRightInd w:val="0"/>
        <w:snapToGrid w:val="0"/>
        <w:spacing w:line="360" w:lineRule="auto"/>
        <w:ind w:firstLine="420" w:firstLineChars="200"/>
        <w:rPr>
          <w:rFonts w:hint="eastAsia"/>
          <w:color w:val="auto"/>
          <w:highlight w:val="none"/>
        </w:rPr>
      </w:pPr>
      <w:r>
        <w:rPr>
          <w:rFonts w:hint="eastAsia"/>
          <w:color w:val="auto"/>
          <w:highlight w:val="none"/>
        </w:rPr>
        <w:t>联系方式：</w:t>
      </w:r>
    </w:p>
    <w:p w14:paraId="38865BED">
      <w:pPr>
        <w:topLinePunct/>
        <w:spacing w:line="44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10207041">
      <w:pPr>
        <w:topLinePunct/>
        <w:spacing w:line="44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7AD60806">
      <w:pPr>
        <w:topLinePunct/>
        <w:spacing w:line="44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3A0D4A55">
      <w:pPr>
        <w:topLinePunct/>
        <w:spacing w:line="44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1C7C8245">
      <w:pPr>
        <w:topLinePunct/>
        <w:spacing w:line="44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307AEDB6">
      <w:pPr>
        <w:topLinePunct/>
        <w:spacing w:line="44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0F06F759">
      <w:pPr>
        <w:topLinePunct/>
        <w:spacing w:line="44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44138DE6">
      <w:pPr>
        <w:topLinePunct/>
        <w:spacing w:line="44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2F45B9FD">
      <w:pPr>
        <w:spacing w:line="440" w:lineRule="exact"/>
        <w:ind w:firstLine="4830" w:firstLineChars="2300"/>
        <w:rPr>
          <w:color w:val="auto"/>
          <w:szCs w:val="21"/>
          <w:highlight w:val="none"/>
          <w:u w:val="single"/>
        </w:rPr>
      </w:pPr>
    </w:p>
    <w:p w14:paraId="32E10976">
      <w:pPr>
        <w:spacing w:line="440" w:lineRule="exact"/>
        <w:ind w:firstLine="4830" w:firstLineChars="230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7DFF375E">
      <w:pPr>
        <w:spacing w:line="440" w:lineRule="exact"/>
        <w:ind w:firstLine="4830" w:firstLineChars="2300"/>
        <w:rPr>
          <w:rFonts w:hint="eastAsia"/>
          <w:color w:val="auto"/>
          <w:szCs w:val="21"/>
          <w:highlight w:val="none"/>
        </w:rPr>
      </w:pPr>
    </w:p>
    <w:p w14:paraId="012F4A35">
      <w:pPr>
        <w:spacing w:line="440" w:lineRule="exact"/>
        <w:ind w:firstLine="4830" w:firstLineChars="2300"/>
        <w:rPr>
          <w:rFonts w:hint="eastAsia"/>
          <w:color w:val="auto"/>
          <w:szCs w:val="21"/>
          <w:highlight w:val="none"/>
        </w:rPr>
      </w:pPr>
    </w:p>
    <w:p w14:paraId="562879E5">
      <w:pPr>
        <w:spacing w:line="440" w:lineRule="exact"/>
        <w:ind w:firstLine="4830" w:firstLineChars="2300"/>
        <w:rPr>
          <w:rFonts w:hint="eastAsia"/>
          <w:color w:val="auto"/>
          <w:szCs w:val="21"/>
          <w:highlight w:val="none"/>
        </w:rPr>
      </w:pPr>
    </w:p>
    <w:p w14:paraId="02F6CCE2">
      <w:pPr>
        <w:spacing w:line="440" w:lineRule="exact"/>
        <w:ind w:firstLine="4830" w:firstLineChars="2300"/>
        <w:rPr>
          <w:rFonts w:hint="eastAsia"/>
          <w:color w:val="auto"/>
          <w:szCs w:val="21"/>
          <w:highlight w:val="none"/>
        </w:rPr>
      </w:pPr>
    </w:p>
    <w:p w14:paraId="1C1CA320">
      <w:pPr>
        <w:spacing w:line="440" w:lineRule="exact"/>
        <w:ind w:firstLine="4830" w:firstLineChars="2300"/>
        <w:rPr>
          <w:rFonts w:hint="eastAsia"/>
          <w:color w:val="auto"/>
          <w:szCs w:val="21"/>
          <w:highlight w:val="none"/>
        </w:rPr>
      </w:pPr>
    </w:p>
    <w:p w14:paraId="321A8E43">
      <w:pPr>
        <w:spacing w:line="440" w:lineRule="exact"/>
        <w:ind w:firstLine="4830" w:firstLineChars="2300"/>
        <w:rPr>
          <w:rFonts w:hint="eastAsia"/>
          <w:color w:val="auto"/>
          <w:szCs w:val="21"/>
          <w:highlight w:val="none"/>
        </w:rPr>
      </w:pPr>
    </w:p>
    <w:p w14:paraId="6AC54343">
      <w:pPr>
        <w:spacing w:line="440" w:lineRule="exact"/>
        <w:ind w:firstLine="4830" w:firstLineChars="2300"/>
        <w:rPr>
          <w:rFonts w:hint="eastAsia"/>
          <w:color w:val="auto"/>
          <w:szCs w:val="21"/>
          <w:highlight w:val="none"/>
        </w:rPr>
      </w:pPr>
    </w:p>
    <w:p w14:paraId="6EC40603">
      <w:pPr>
        <w:ind w:left="1050" w:hanging="1050" w:hangingChars="500"/>
        <w:rPr>
          <w:rFonts w:hint="eastAsia"/>
          <w:color w:val="auto"/>
          <w:highlight w:val="none"/>
        </w:rPr>
      </w:pPr>
      <w:r>
        <w:rPr>
          <w:rFonts w:hint="eastAsia"/>
          <w:color w:val="auto"/>
          <w:szCs w:val="21"/>
          <w:highlight w:val="none"/>
        </w:rPr>
        <w:t>备注：</w:t>
      </w:r>
      <w:r>
        <w:rPr>
          <w:rFonts w:hint="eastAsia"/>
          <w:color w:val="auto"/>
          <w:highlight w:val="none"/>
        </w:rPr>
        <w:t>1.“投标确认书”格式见《武汉市建设工程工程总承包招标资格预审文件示范文本》第二章附表十。</w:t>
      </w:r>
    </w:p>
    <w:p w14:paraId="1237626E">
      <w:pPr>
        <w:ind w:left="945" w:leftChars="300" w:hanging="315" w:hangingChars="150"/>
        <w:jc w:val="left"/>
        <w:rPr>
          <w:rFonts w:hint="eastAsia"/>
          <w:color w:val="auto"/>
          <w:highlight w:val="none"/>
        </w:rPr>
      </w:pPr>
      <w:r>
        <w:rPr>
          <w:rFonts w:hint="eastAsia"/>
          <w:color w:val="auto"/>
          <w:highlight w:val="none"/>
        </w:rPr>
        <w:t>2.  “在所投标段免费下载招标文件”是指投标人拟参加某标段投标的，应按规定下载该标段的招标文件。投标人的下载活动“</w:t>
      </w:r>
      <w:r>
        <w:rPr>
          <w:color w:val="auto"/>
          <w:highlight w:val="none"/>
        </w:rPr>
        <w:t>市电子交易平台</w:t>
      </w:r>
      <w:r>
        <w:rPr>
          <w:rFonts w:hint="eastAsia"/>
          <w:color w:val="auto"/>
          <w:highlight w:val="none"/>
        </w:rPr>
        <w:t>”将予以记录，并可在“下载情况查询”中查看，该记录作为投标人是否下载该标段招标文件的依据。</w:t>
      </w:r>
    </w:p>
    <w:p w14:paraId="7864E8AC">
      <w:pPr>
        <w:spacing w:line="440" w:lineRule="exact"/>
        <w:ind w:firstLine="4830" w:firstLineChars="2300"/>
        <w:jc w:val="left"/>
        <w:rPr>
          <w:rFonts w:hint="eastAsia"/>
          <w:color w:val="auto"/>
          <w:szCs w:val="21"/>
          <w:highlight w:val="none"/>
        </w:rPr>
      </w:pPr>
    </w:p>
    <w:p w14:paraId="5F3D3F23">
      <w:pPr>
        <w:spacing w:line="440" w:lineRule="exact"/>
        <w:ind w:firstLine="4830" w:firstLineChars="2300"/>
        <w:rPr>
          <w:rFonts w:hint="eastAsia"/>
          <w:color w:val="auto"/>
          <w:szCs w:val="21"/>
          <w:highlight w:val="none"/>
        </w:rPr>
      </w:pPr>
    </w:p>
    <w:p w14:paraId="0B54CB94">
      <w:pPr>
        <w:spacing w:line="440" w:lineRule="exact"/>
        <w:ind w:firstLine="4830" w:firstLineChars="2300"/>
        <w:rPr>
          <w:rFonts w:hint="eastAsia"/>
          <w:color w:val="auto"/>
          <w:szCs w:val="21"/>
          <w:highlight w:val="none"/>
        </w:rPr>
      </w:pPr>
    </w:p>
    <w:p w14:paraId="79FCE867">
      <w:pPr>
        <w:spacing w:line="440" w:lineRule="exact"/>
        <w:ind w:firstLine="4830" w:firstLineChars="2300"/>
        <w:rPr>
          <w:rFonts w:hint="eastAsia"/>
          <w:color w:val="auto"/>
          <w:szCs w:val="21"/>
          <w:highlight w:val="none"/>
        </w:rPr>
      </w:pPr>
    </w:p>
    <w:p w14:paraId="2812994E">
      <w:pPr>
        <w:spacing w:line="440" w:lineRule="exact"/>
        <w:ind w:firstLine="4830" w:firstLineChars="2300"/>
        <w:rPr>
          <w:rFonts w:hint="eastAsia"/>
          <w:color w:val="auto"/>
          <w:szCs w:val="21"/>
          <w:highlight w:val="none"/>
        </w:rPr>
      </w:pPr>
    </w:p>
    <w:p w14:paraId="05AFC804">
      <w:pPr>
        <w:spacing w:line="440" w:lineRule="exact"/>
        <w:ind w:firstLine="4830" w:firstLineChars="2300"/>
        <w:rPr>
          <w:rFonts w:hint="eastAsia"/>
          <w:color w:val="auto"/>
          <w:szCs w:val="21"/>
          <w:highlight w:val="none"/>
        </w:rPr>
      </w:pPr>
    </w:p>
    <w:p w14:paraId="28B5C2D0">
      <w:pPr>
        <w:spacing w:line="440" w:lineRule="exact"/>
        <w:ind w:firstLine="4830" w:firstLineChars="2300"/>
        <w:rPr>
          <w:rFonts w:hint="eastAsia"/>
          <w:color w:val="auto"/>
          <w:szCs w:val="21"/>
          <w:highlight w:val="none"/>
        </w:rPr>
      </w:pPr>
    </w:p>
    <w:p w14:paraId="63D7AD13">
      <w:pPr>
        <w:spacing w:line="440" w:lineRule="exact"/>
        <w:ind w:firstLine="4830" w:firstLineChars="2300"/>
        <w:rPr>
          <w:rFonts w:hint="eastAsia"/>
          <w:color w:val="auto"/>
          <w:szCs w:val="21"/>
          <w:highlight w:val="none"/>
        </w:rPr>
      </w:pPr>
    </w:p>
    <w:p w14:paraId="62CA5CD6">
      <w:pPr>
        <w:spacing w:line="440" w:lineRule="exact"/>
        <w:ind w:firstLine="4830" w:firstLineChars="2300"/>
        <w:rPr>
          <w:rFonts w:hint="eastAsia"/>
          <w:color w:val="auto"/>
          <w:szCs w:val="21"/>
          <w:highlight w:val="none"/>
        </w:rPr>
      </w:pPr>
    </w:p>
    <w:p w14:paraId="4F53B846">
      <w:pPr>
        <w:spacing w:line="440" w:lineRule="exact"/>
        <w:rPr>
          <w:rFonts w:hint="eastAsia"/>
          <w:color w:val="auto"/>
          <w:szCs w:val="21"/>
          <w:highlight w:val="none"/>
        </w:rPr>
      </w:pPr>
    </w:p>
    <w:p w14:paraId="69560EC4">
      <w:pPr>
        <w:pStyle w:val="3"/>
        <w:spacing w:before="0" w:after="0"/>
        <w:jc w:val="center"/>
        <w:rPr>
          <w:rFonts w:hint="eastAsia" w:eastAsia="黑体"/>
          <w:b w:val="0"/>
          <w:color w:val="auto"/>
          <w:sz w:val="32"/>
          <w:szCs w:val="20"/>
          <w:highlight w:val="none"/>
        </w:rPr>
      </w:pPr>
      <w:bookmarkStart w:id="258" w:name="_Toc1880"/>
      <w:bookmarkStart w:id="259" w:name="_Toc3022"/>
      <w:bookmarkStart w:id="260" w:name="_Toc8662"/>
      <w:bookmarkStart w:id="261" w:name="_Toc23513"/>
      <w:bookmarkStart w:id="262" w:name="_Toc1561"/>
      <w:bookmarkStart w:id="263" w:name="_Toc9244_WPSOffice_Level1"/>
      <w:bookmarkStart w:id="264" w:name="_Toc29371"/>
      <w:r>
        <w:rPr>
          <w:rFonts w:hint="eastAsia" w:eastAsia="黑体"/>
          <w:b w:val="0"/>
          <w:color w:val="auto"/>
          <w:sz w:val="32"/>
          <w:szCs w:val="20"/>
          <w:highlight w:val="none"/>
        </w:rPr>
        <w:t>第二章  投标人须知</w:t>
      </w:r>
      <w:bookmarkEnd w:id="258"/>
      <w:bookmarkEnd w:id="259"/>
      <w:bookmarkEnd w:id="260"/>
      <w:bookmarkEnd w:id="261"/>
      <w:bookmarkEnd w:id="262"/>
      <w:bookmarkEnd w:id="263"/>
      <w:bookmarkEnd w:id="264"/>
      <w:bookmarkStart w:id="265" w:name="_Toc26672"/>
      <w:bookmarkStart w:id="266" w:name="_Toc152042304"/>
      <w:bookmarkStart w:id="267" w:name="_Toc152045528"/>
      <w:bookmarkStart w:id="268" w:name="_Toc247527552"/>
      <w:bookmarkStart w:id="269" w:name="_Toc247513951"/>
      <w:bookmarkStart w:id="270" w:name="_Toc24124"/>
      <w:bookmarkStart w:id="271" w:name="_Toc29521"/>
      <w:bookmarkStart w:id="272" w:name="_Toc519085268"/>
      <w:bookmarkStart w:id="273" w:name="_Toc2703"/>
      <w:bookmarkStart w:id="274" w:name="_Toc144974496"/>
      <w:bookmarkStart w:id="275" w:name="_Toc29002"/>
    </w:p>
    <w:p w14:paraId="1E870D1B">
      <w:pPr>
        <w:pStyle w:val="4"/>
        <w:spacing w:before="62"/>
        <w:jc w:val="center"/>
        <w:rPr>
          <w:rFonts w:hint="eastAsia"/>
          <w:b/>
          <w:color w:val="auto"/>
          <w:sz w:val="32"/>
          <w:szCs w:val="20"/>
          <w:highlight w:val="none"/>
        </w:rPr>
      </w:pPr>
      <w:bookmarkStart w:id="276" w:name="_Toc12588_WPSOffice_Level2"/>
      <w:bookmarkStart w:id="277" w:name="_Toc12540"/>
      <w:bookmarkStart w:id="278" w:name="_Toc588"/>
      <w:r>
        <w:rPr>
          <w:rFonts w:hint="eastAsia" w:ascii="黑体" w:hAnsi="黑体"/>
          <w:b/>
          <w:bCs w:val="0"/>
          <w:color w:val="auto"/>
          <w:sz w:val="32"/>
          <w:highlight w:val="none"/>
        </w:rPr>
        <w:t>否决投标的情形</w:t>
      </w:r>
      <w:bookmarkEnd w:id="265"/>
      <w:bookmarkEnd w:id="276"/>
      <w:bookmarkEnd w:id="277"/>
      <w:bookmarkEnd w:id="278"/>
    </w:p>
    <w:p w14:paraId="6EDC62C2">
      <w:pPr>
        <w:adjustRightInd w:val="0"/>
        <w:snapToGrid w:val="0"/>
        <w:spacing w:line="360" w:lineRule="auto"/>
        <w:ind w:firstLine="420" w:firstLineChars="200"/>
        <w:rPr>
          <w:rFonts w:hint="eastAsia" w:ascii="宋体" w:hAnsi="宋体" w:cs="宋体"/>
          <w:bCs/>
          <w:color w:val="auto"/>
          <w:kern w:val="0"/>
          <w:szCs w:val="21"/>
          <w:highlight w:val="none"/>
        </w:rPr>
      </w:pPr>
    </w:p>
    <w:p w14:paraId="12FF98DC">
      <w:pPr>
        <w:adjustRightInd w:val="0"/>
        <w:snapToGrid w:val="0"/>
        <w:spacing w:line="360" w:lineRule="auto"/>
        <w:ind w:firstLine="480" w:firstLineChars="200"/>
        <w:rPr>
          <w:rFonts w:hint="eastAsia" w:ascii="宋体" w:hAnsi="宋体" w:cs="宋体"/>
          <w:b/>
          <w:color w:val="auto"/>
          <w:kern w:val="0"/>
          <w:sz w:val="24"/>
          <w:highlight w:val="none"/>
        </w:rPr>
      </w:pPr>
      <w:r>
        <w:rPr>
          <w:rFonts w:hint="eastAsia" w:ascii="宋体" w:hAnsi="宋体" w:cs="宋体"/>
          <w:b/>
          <w:color w:val="auto"/>
          <w:kern w:val="0"/>
          <w:sz w:val="24"/>
          <w:highlight w:val="none"/>
        </w:rPr>
        <w:t>1.投标文件或投标人出现下列情形之一的，</w:t>
      </w:r>
      <w:r>
        <w:rPr>
          <w:rFonts w:ascii="宋体" w:hAnsi="宋体" w:cs="宋体"/>
          <w:b/>
          <w:color w:val="auto"/>
          <w:kern w:val="0"/>
          <w:sz w:val="24"/>
          <w:highlight w:val="none"/>
        </w:rPr>
        <w:t>招标人</w:t>
      </w:r>
      <w:r>
        <w:rPr>
          <w:rFonts w:hint="eastAsia" w:ascii="宋体" w:hAnsi="宋体" w:cs="宋体"/>
          <w:b/>
          <w:color w:val="auto"/>
          <w:kern w:val="0"/>
          <w:sz w:val="24"/>
          <w:highlight w:val="none"/>
        </w:rPr>
        <w:t>应拒绝</w:t>
      </w:r>
      <w:r>
        <w:rPr>
          <w:rFonts w:ascii="宋体" w:hAnsi="宋体" w:cs="宋体"/>
          <w:b/>
          <w:color w:val="auto"/>
          <w:kern w:val="0"/>
          <w:sz w:val="24"/>
          <w:highlight w:val="none"/>
        </w:rPr>
        <w:t>其投标文件</w:t>
      </w:r>
      <w:r>
        <w:rPr>
          <w:rFonts w:hint="eastAsia" w:ascii="宋体" w:hAnsi="宋体" w:cs="宋体"/>
          <w:b/>
          <w:color w:val="auto"/>
          <w:kern w:val="0"/>
          <w:sz w:val="24"/>
          <w:highlight w:val="none"/>
        </w:rPr>
        <w:t>：</w:t>
      </w:r>
    </w:p>
    <w:p w14:paraId="14E51DD6">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1.1投标文件未按第二章“投标人须知”第4.1款递交的；</w:t>
      </w:r>
    </w:p>
    <w:p w14:paraId="7ED14B46">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1.2投标文件未按照招标文件的要求加密的；</w:t>
      </w:r>
    </w:p>
    <w:p w14:paraId="653F276E">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1.3现场开标时投标人的法定代表人或其委托代理人未按时出席开标会的；</w:t>
      </w:r>
    </w:p>
    <w:p w14:paraId="1E5AF724">
      <w:pPr>
        <w:adjustRightInd w:val="0"/>
        <w:snapToGrid w:val="0"/>
        <w:spacing w:line="360" w:lineRule="auto"/>
        <w:ind w:firstLine="480" w:firstLineChars="200"/>
        <w:rPr>
          <w:rFonts w:hint="eastAsia" w:ascii="宋体" w:hAnsi="宋体" w:cs="宋体"/>
          <w:b/>
          <w:color w:val="auto"/>
          <w:kern w:val="0"/>
          <w:szCs w:val="21"/>
          <w:highlight w:val="none"/>
        </w:rPr>
      </w:pPr>
      <w:r>
        <w:rPr>
          <w:rFonts w:hint="eastAsia" w:ascii="宋体" w:hAnsi="宋体"/>
          <w:color w:val="auto"/>
          <w:sz w:val="24"/>
          <w:highlight w:val="none"/>
        </w:rPr>
        <w:t>1.4现场开标时投标人的法定代表人或其委托代理人未携带本人身份证（原件）及有效的法定代表人身份证明（原件）或有效的法定代表人授权委托书（原件）及人证不符的。</w:t>
      </w:r>
    </w:p>
    <w:p w14:paraId="124A9453">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2.投标文件或投标人出现下列情形之一的，由评标委员会评审后按否决投标处理：</w:t>
      </w:r>
    </w:p>
    <w:p w14:paraId="28821721">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2.1 投标文件未按招标文件规定签字或盖章的； </w:t>
      </w:r>
    </w:p>
    <w:p w14:paraId="4EC762FF">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2.2 投标文件未按招标文件规定制作；</w:t>
      </w:r>
    </w:p>
    <w:p w14:paraId="1E23B230">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2.3 联合体投标人未提交联合体协议书的；</w:t>
      </w:r>
    </w:p>
    <w:p w14:paraId="04D66BCF">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2.4 同一投标人提交两个以上不同的投标文件或者投标报价，但招标文件要求提交备选投标的除外；</w:t>
      </w:r>
    </w:p>
    <w:p w14:paraId="1FEBB6C0">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 投标文件中的质量标准、工期及相关承诺不满足招标文件规定的；</w:t>
      </w:r>
    </w:p>
    <w:p w14:paraId="3E96E627">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2.6 投标有效期不满足招标文件规定的；</w:t>
      </w:r>
    </w:p>
    <w:p w14:paraId="55EDD5DD">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2.7 投标报价中，投标人擅自改变、拆分工程量清单的项目编码、项目名称、计量单位和工程量或工程量清单存在漏项的或未</w:t>
      </w:r>
      <w:r>
        <w:rPr>
          <w:rFonts w:ascii="宋体" w:hAnsi="宋体"/>
          <w:color w:val="auto"/>
          <w:sz w:val="24"/>
          <w:highlight w:val="none"/>
        </w:rPr>
        <w:t>按规定的费（税）率标准计取不可竞争费用和税金</w:t>
      </w:r>
      <w:r>
        <w:rPr>
          <w:rFonts w:hint="eastAsia" w:ascii="宋体" w:hAnsi="宋体"/>
          <w:color w:val="auto"/>
          <w:sz w:val="24"/>
          <w:highlight w:val="none"/>
        </w:rPr>
        <w:t>的；</w:t>
      </w:r>
    </w:p>
    <w:p w14:paraId="5FF5E459">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2.8 投标人不按评标委员会要求澄清、说明或补正的或不接受算术错误修正后的投标报价（如有）；</w:t>
      </w:r>
    </w:p>
    <w:p w14:paraId="0911491F">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2.9 投标报价或算术错误修正后的投标报价（如有）超过最高投标限价（如设置最高投标限价）或低于其成本的；</w:t>
      </w:r>
    </w:p>
    <w:p w14:paraId="0B7D6419">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2.10 第2章“投标人须知”第1.4.3项、第1.4.4项规定的任何一种情形的；</w:t>
      </w:r>
    </w:p>
    <w:p w14:paraId="77B87C14">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2.11 投标人有串通投标、弄虚作假、行贿或有其他违法行为的；</w:t>
      </w:r>
    </w:p>
    <w:p w14:paraId="7E64F861">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2.12 未对招标文件提出的其他实质性要求和条件作出响应的；</w:t>
      </w:r>
    </w:p>
    <w:p w14:paraId="55843DD9">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2.13投标人未按招标文件要求提交投标保证金，或未按规定与投标项目关联的；</w:t>
      </w:r>
    </w:p>
    <w:p w14:paraId="08592D27">
      <w:pPr>
        <w:adjustRightInd w:val="0"/>
        <w:snapToGrid w:val="0"/>
        <w:spacing w:line="360" w:lineRule="auto"/>
        <w:ind w:firstLine="480" w:firstLineChars="200"/>
        <w:rPr>
          <w:rFonts w:hint="eastAsia" w:ascii="黑体" w:hAnsi="黑体" w:eastAsia="黑体"/>
          <w:b/>
          <w:bCs/>
          <w:color w:val="auto"/>
          <w:sz w:val="32"/>
          <w:highlight w:val="none"/>
        </w:rPr>
      </w:pPr>
      <w:r>
        <w:rPr>
          <w:rFonts w:hint="eastAsia" w:ascii="宋体" w:hAnsi="宋体"/>
          <w:color w:val="auto"/>
          <w:sz w:val="24"/>
          <w:highlight w:val="none"/>
        </w:rPr>
        <w:t>2.14</w:t>
      </w:r>
      <w:r>
        <w:rPr>
          <w:rFonts w:hint="eastAsia" w:ascii="宋体" w:hAnsi="宋体" w:cs="宋体"/>
          <w:bCs/>
          <w:color w:val="auto"/>
          <w:kern w:val="0"/>
          <w:szCs w:val="21"/>
          <w:highlight w:val="none"/>
        </w:rPr>
        <w:t xml:space="preserve"> </w:t>
      </w:r>
      <w:r>
        <w:rPr>
          <w:rFonts w:hint="eastAsia" w:ascii="宋体" w:hAnsi="宋体" w:cs="宋体"/>
          <w:bCs/>
          <w:color w:val="auto"/>
          <w:kern w:val="0"/>
          <w:szCs w:val="21"/>
          <w:highlight w:val="none"/>
          <w:u w:val="single"/>
        </w:rPr>
        <w:t xml:space="preserve">                                                     </w:t>
      </w:r>
    </w:p>
    <w:p w14:paraId="0EA1F9DC">
      <w:pPr>
        <w:pStyle w:val="4"/>
        <w:spacing w:before="62"/>
        <w:rPr>
          <w:rFonts w:hint="eastAsia"/>
          <w:color w:val="auto"/>
          <w:sz w:val="28"/>
          <w:szCs w:val="28"/>
          <w:highlight w:val="none"/>
        </w:rPr>
      </w:pPr>
      <w:r>
        <w:rPr>
          <w:color w:val="auto"/>
          <w:highlight w:val="none"/>
        </w:rPr>
        <w:br w:type="page"/>
      </w:r>
      <w:bookmarkStart w:id="279" w:name="_Toc13461"/>
      <w:bookmarkStart w:id="280" w:name="_Toc17888"/>
      <w:bookmarkStart w:id="281" w:name="_Toc26353_WPSOffice_Level2"/>
      <w:r>
        <w:rPr>
          <w:rFonts w:hint="eastAsia"/>
          <w:color w:val="auto"/>
          <w:sz w:val="28"/>
          <w:szCs w:val="28"/>
          <w:highlight w:val="none"/>
        </w:rPr>
        <w:t>投标人须知前附表</w:t>
      </w:r>
      <w:bookmarkEnd w:id="266"/>
      <w:bookmarkEnd w:id="267"/>
      <w:bookmarkEnd w:id="268"/>
      <w:bookmarkEnd w:id="269"/>
      <w:bookmarkEnd w:id="270"/>
      <w:bookmarkEnd w:id="271"/>
      <w:bookmarkEnd w:id="272"/>
      <w:bookmarkEnd w:id="273"/>
      <w:bookmarkEnd w:id="274"/>
      <w:bookmarkEnd w:id="275"/>
      <w:bookmarkEnd w:id="279"/>
      <w:bookmarkEnd w:id="280"/>
      <w:bookmarkEnd w:id="281"/>
    </w:p>
    <w:tbl>
      <w:tblPr>
        <w:tblStyle w:val="39"/>
        <w:tblW w:w="5448" w:type="pct"/>
        <w:tblInd w:w="0" w:type="dxa"/>
        <w:tblLayout w:type="autofit"/>
        <w:tblCellMar>
          <w:top w:w="0" w:type="dxa"/>
          <w:left w:w="108" w:type="dxa"/>
          <w:bottom w:w="0" w:type="dxa"/>
          <w:right w:w="108" w:type="dxa"/>
        </w:tblCellMar>
      </w:tblPr>
      <w:tblGrid>
        <w:gridCol w:w="1262"/>
        <w:gridCol w:w="4"/>
        <w:gridCol w:w="2625"/>
        <w:gridCol w:w="4"/>
        <w:gridCol w:w="5391"/>
      </w:tblGrid>
      <w:tr w14:paraId="1F614D75">
        <w:tblPrEx>
          <w:tblCellMar>
            <w:top w:w="0" w:type="dxa"/>
            <w:left w:w="108" w:type="dxa"/>
            <w:bottom w:w="0" w:type="dxa"/>
            <w:right w:w="108" w:type="dxa"/>
          </w:tblCellMar>
        </w:tblPrEx>
        <w:trPr>
          <w:trHeight w:val="698"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C4E97DB">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2CF2131">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  款  名  称</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BB2CD0E">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编  列  内  容</w:t>
            </w:r>
          </w:p>
        </w:tc>
      </w:tr>
      <w:tr w14:paraId="0A944B3E">
        <w:tblPrEx>
          <w:tblCellMar>
            <w:top w:w="0" w:type="dxa"/>
            <w:left w:w="108" w:type="dxa"/>
            <w:bottom w:w="0" w:type="dxa"/>
            <w:right w:w="108" w:type="dxa"/>
          </w:tblCellMar>
        </w:tblPrEx>
        <w:trPr>
          <w:trHeight w:val="1843"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F19A1D8">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D6A9FA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招标人</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5B01A46">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名称：</w:t>
            </w:r>
          </w:p>
          <w:p w14:paraId="4CB907B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地址：</w:t>
            </w:r>
          </w:p>
          <w:p w14:paraId="77A331F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p w14:paraId="1B6A071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r>
      <w:tr w14:paraId="1E24593F">
        <w:tblPrEx>
          <w:tblCellMar>
            <w:top w:w="0" w:type="dxa"/>
            <w:left w:w="108" w:type="dxa"/>
            <w:bottom w:w="0" w:type="dxa"/>
            <w:right w:w="108" w:type="dxa"/>
          </w:tblCellMar>
        </w:tblPrEx>
        <w:trPr>
          <w:trHeight w:val="1825"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C7A9E6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1.1.3</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FB4220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招标代理机构</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7723CC99">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名称：</w:t>
            </w:r>
          </w:p>
          <w:p w14:paraId="0FC13033">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地址：</w:t>
            </w:r>
          </w:p>
          <w:p w14:paraId="696EBA9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p w14:paraId="060909D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r>
      <w:tr w14:paraId="61155954">
        <w:tblPrEx>
          <w:tblCellMar>
            <w:top w:w="0" w:type="dxa"/>
            <w:left w:w="108" w:type="dxa"/>
            <w:bottom w:w="0" w:type="dxa"/>
            <w:right w:w="108" w:type="dxa"/>
          </w:tblCellMar>
        </w:tblPrEx>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C29A7D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C9BE19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项目名称</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75C3A2C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179DAA44">
        <w:tblPrEx>
          <w:tblCellMar>
            <w:top w:w="0" w:type="dxa"/>
            <w:left w:w="108" w:type="dxa"/>
            <w:bottom w:w="0" w:type="dxa"/>
            <w:right w:w="108" w:type="dxa"/>
          </w:tblCellMar>
        </w:tblPrEx>
        <w:trPr>
          <w:trHeight w:val="602"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8AF8FF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1.1.5</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64929AB">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建设地点</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69F71B2A">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3DF262DF">
        <w:tblPrEx>
          <w:tblCellMar>
            <w:top w:w="0" w:type="dxa"/>
            <w:left w:w="108" w:type="dxa"/>
            <w:bottom w:w="0" w:type="dxa"/>
            <w:right w:w="108" w:type="dxa"/>
          </w:tblCellMar>
        </w:tblPrEx>
        <w:trPr>
          <w:trHeight w:val="562" w:hRule="atLeast"/>
        </w:trPr>
        <w:tc>
          <w:tcPr>
            <w:tcW w:w="682" w:type="pct"/>
            <w:gridSpan w:val="2"/>
            <w:vMerge w:val="restart"/>
            <w:tcBorders>
              <w:top w:val="single" w:color="auto" w:sz="4" w:space="0"/>
              <w:left w:val="single" w:color="auto" w:sz="4" w:space="0"/>
              <w:right w:val="single" w:color="auto" w:sz="4" w:space="0"/>
            </w:tcBorders>
            <w:noWrap w:val="0"/>
            <w:vAlign w:val="center"/>
          </w:tcPr>
          <w:p w14:paraId="20DA2B5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1.2.1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1CB69D5">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资金来源</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51E1AE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214E7F48">
        <w:tblPrEx>
          <w:tblCellMar>
            <w:top w:w="0" w:type="dxa"/>
            <w:left w:w="108" w:type="dxa"/>
            <w:bottom w:w="0" w:type="dxa"/>
            <w:right w:w="108" w:type="dxa"/>
          </w:tblCellMar>
        </w:tblPrEx>
        <w:trPr>
          <w:trHeight w:val="562" w:hRule="atLeast"/>
        </w:trPr>
        <w:tc>
          <w:tcPr>
            <w:tcW w:w="682" w:type="pct"/>
            <w:gridSpan w:val="2"/>
            <w:vMerge w:val="continue"/>
            <w:tcBorders>
              <w:left w:val="single" w:color="auto" w:sz="4" w:space="0"/>
              <w:bottom w:val="single" w:color="auto" w:sz="4" w:space="0"/>
              <w:right w:val="single" w:color="auto" w:sz="4" w:space="0"/>
            </w:tcBorders>
            <w:noWrap w:val="0"/>
            <w:vAlign w:val="center"/>
          </w:tcPr>
          <w:p w14:paraId="125943BC">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6D54676">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宋体" w:hAnsi="宋体" w:eastAsia="宋体" w:cs="Times New Roman"/>
                <w:color w:val="auto"/>
                <w:szCs w:val="21"/>
                <w:highlight w:val="none"/>
              </w:rPr>
              <w:t>本标段工程投资额</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439DB1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u w:val="single"/>
              </w:rPr>
              <w:t xml:space="preserve">        </w:t>
            </w:r>
            <w:r>
              <w:rPr>
                <w:rFonts w:ascii="宋体" w:hAnsi="宋体" w:eastAsia="宋体" w:cs="Times New Roman"/>
                <w:color w:val="auto"/>
                <w:szCs w:val="21"/>
                <w:highlight w:val="none"/>
              </w:rPr>
              <w:t>万元</w:t>
            </w:r>
          </w:p>
        </w:tc>
      </w:tr>
      <w:tr w14:paraId="148D0586">
        <w:tblPrEx>
          <w:tblCellMar>
            <w:top w:w="0" w:type="dxa"/>
            <w:left w:w="108" w:type="dxa"/>
            <w:bottom w:w="0" w:type="dxa"/>
            <w:right w:w="108" w:type="dxa"/>
          </w:tblCellMar>
        </w:tblPrEx>
        <w:trPr>
          <w:trHeight w:val="556"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76B2515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1.2.2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7B8973E8">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资金落实情况</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11DF73C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5EA37337">
        <w:tblPrEx>
          <w:tblCellMar>
            <w:top w:w="0" w:type="dxa"/>
            <w:left w:w="108" w:type="dxa"/>
            <w:bottom w:w="0" w:type="dxa"/>
            <w:right w:w="108" w:type="dxa"/>
          </w:tblCellMar>
        </w:tblPrEx>
        <w:trPr>
          <w:trHeight w:val="833"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7C81BD9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26521BD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招标范围</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AD3A72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58E89F2E">
        <w:tblPrEx>
          <w:tblCellMar>
            <w:top w:w="0" w:type="dxa"/>
            <w:left w:w="108" w:type="dxa"/>
            <w:bottom w:w="0" w:type="dxa"/>
            <w:right w:w="108" w:type="dxa"/>
          </w:tblCellMar>
        </w:tblPrEx>
        <w:trPr>
          <w:trHeight w:val="1546"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9FBC98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9526535">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计划工期</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777FEBA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日历天</w:t>
            </w:r>
          </w:p>
          <w:p w14:paraId="72EC777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计划开始工作日期：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 xml:space="preserve">年 </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w:t>
            </w:r>
          </w:p>
          <w:p w14:paraId="3A0536A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计划竣工日期：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 xml:space="preserve">年 </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w:t>
            </w:r>
          </w:p>
        </w:tc>
      </w:tr>
      <w:tr w14:paraId="53983062">
        <w:tblPrEx>
          <w:tblCellMar>
            <w:top w:w="0" w:type="dxa"/>
            <w:left w:w="108" w:type="dxa"/>
            <w:bottom w:w="0" w:type="dxa"/>
            <w:right w:w="108" w:type="dxa"/>
          </w:tblCellMar>
        </w:tblPrEx>
        <w:trPr>
          <w:trHeight w:val="1271"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F63B255">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1.3.3</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D36B6B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质量</w:t>
            </w:r>
            <w:r>
              <w:rPr>
                <w:rFonts w:ascii="Calibri" w:hAnsi="Calibri" w:eastAsia="宋体" w:cs="Times New Roman"/>
                <w:color w:val="auto"/>
                <w:highlight w:val="none"/>
              </w:rPr>
              <w:t>要求</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D8D0AC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设计要求的质量标准：</w:t>
            </w:r>
            <w:r>
              <w:rPr>
                <w:rFonts w:ascii="Calibri" w:hAnsi="Calibri" w:eastAsia="宋体" w:cs="Times New Roman"/>
                <w:color w:val="auto"/>
                <w:szCs w:val="21"/>
                <w:highlight w:val="none"/>
                <w:u w:val="single"/>
              </w:rPr>
              <w:t xml:space="preserve">             </w:t>
            </w:r>
          </w:p>
          <w:p w14:paraId="669C08A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施工要求的质量标准：</w:t>
            </w:r>
            <w:r>
              <w:rPr>
                <w:rFonts w:ascii="Calibri" w:hAnsi="Calibri" w:eastAsia="宋体" w:cs="Times New Roman"/>
                <w:color w:val="auto"/>
                <w:szCs w:val="21"/>
                <w:highlight w:val="none"/>
                <w:u w:val="single"/>
              </w:rPr>
              <w:t xml:space="preserve">             </w:t>
            </w:r>
          </w:p>
        </w:tc>
      </w:tr>
      <w:tr w14:paraId="178301AE">
        <w:tblPrEx>
          <w:tblCellMar>
            <w:top w:w="0" w:type="dxa"/>
            <w:left w:w="108" w:type="dxa"/>
            <w:bottom w:w="0" w:type="dxa"/>
            <w:right w:w="108" w:type="dxa"/>
          </w:tblCellMar>
        </w:tblPrEx>
        <w:trPr>
          <w:trHeight w:val="3818"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836CDF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1.4.1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570763C9">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投标人资质条件、能力和信誉</w:t>
            </w:r>
          </w:p>
          <w:p w14:paraId="6912B7E7">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BEC1F2B">
            <w:pPr>
              <w:keepNext w:val="0"/>
              <w:keepLines w:val="0"/>
              <w:suppressLineNumbers w:val="0"/>
              <w:spacing w:before="0" w:beforeAutospacing="0" w:after="0" w:afterAutospacing="0" w:line="400" w:lineRule="exact"/>
              <w:ind w:left="0" w:right="0"/>
              <w:rPr>
                <w:rFonts w:hint="eastAsia" w:ascii="Calibri" w:hAnsi="Calibri" w:eastAsia="宋体" w:cs="Times New Roman"/>
                <w:b/>
                <w:color w:val="auto"/>
                <w:szCs w:val="21"/>
                <w:highlight w:val="none"/>
              </w:rPr>
            </w:pPr>
            <w:r>
              <w:rPr>
                <w:rFonts w:ascii="Calibri" w:hAnsi="Calibri" w:eastAsia="宋体" w:cs="Times New Roman"/>
                <w:b/>
                <w:color w:val="auto"/>
                <w:szCs w:val="21"/>
                <w:highlight w:val="none"/>
              </w:rPr>
              <w:t>资质条件：</w:t>
            </w:r>
          </w:p>
          <w:p w14:paraId="3E5376D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财务要求：</w:t>
            </w:r>
            <w:r>
              <w:rPr>
                <w:rFonts w:ascii="Calibri" w:hAnsi="Calibri" w:eastAsia="宋体" w:cs="Times New Roman"/>
                <w:color w:val="auto"/>
                <w:szCs w:val="21"/>
                <w:highlight w:val="none"/>
              </w:rPr>
              <w:t xml:space="preserve"> </w:t>
            </w:r>
          </w:p>
          <w:p w14:paraId="620E2755">
            <w:pPr>
              <w:keepNext w:val="0"/>
              <w:keepLines w:val="0"/>
              <w:suppressLineNumbers w:val="0"/>
              <w:spacing w:before="0" w:beforeAutospacing="0" w:after="0" w:afterAutospacing="0" w:line="400" w:lineRule="exact"/>
              <w:ind w:left="0" w:right="0"/>
              <w:rPr>
                <w:rFonts w:ascii="Calibri" w:hAnsi="Calibri" w:eastAsia="宋体" w:cs="Times New Roman"/>
                <w:color w:val="auto"/>
                <w:highlight w:val="none"/>
              </w:rPr>
            </w:pPr>
            <w:r>
              <w:rPr>
                <w:rFonts w:ascii="Calibri" w:hAnsi="Calibri" w:eastAsia="宋体" w:cs="Times New Roman"/>
                <w:b/>
                <w:color w:val="auto"/>
                <w:szCs w:val="21"/>
                <w:highlight w:val="none"/>
              </w:rPr>
              <w:t>业绩要求：</w:t>
            </w:r>
            <w:r>
              <w:rPr>
                <w:rFonts w:ascii="Calibri" w:hAnsi="Calibri" w:eastAsia="宋体" w:cs="Times New Roman"/>
                <w:color w:val="auto"/>
                <w:szCs w:val="21"/>
                <w:highlight w:val="none"/>
              </w:rPr>
              <w:t xml:space="preserve"> </w:t>
            </w:r>
          </w:p>
          <w:p w14:paraId="21D82368">
            <w:pPr>
              <w:keepNext w:val="0"/>
              <w:keepLines w:val="0"/>
              <w:suppressLineNumbers w:val="0"/>
              <w:spacing w:before="0" w:beforeAutospacing="0" w:after="0" w:afterAutospacing="0" w:line="400" w:lineRule="exact"/>
              <w:ind w:left="0" w:right="0"/>
              <w:rPr>
                <w:rFonts w:hint="eastAsia" w:ascii="Calibri" w:hAnsi="Calibri" w:eastAsia="宋体" w:cs="Times New Roman"/>
                <w:b/>
                <w:color w:val="auto"/>
                <w:szCs w:val="21"/>
                <w:highlight w:val="none"/>
              </w:rPr>
            </w:pPr>
            <w:r>
              <w:rPr>
                <w:rFonts w:ascii="Calibri" w:hAnsi="Calibri" w:eastAsia="宋体" w:cs="Times New Roman"/>
                <w:b/>
                <w:color w:val="auto"/>
                <w:szCs w:val="21"/>
                <w:highlight w:val="none"/>
              </w:rPr>
              <w:t>信誉要求：</w:t>
            </w:r>
          </w:p>
          <w:p w14:paraId="6B81BED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项目负责人的资格要求：</w:t>
            </w:r>
            <w:r>
              <w:rPr>
                <w:rFonts w:ascii="Calibri" w:hAnsi="Calibri" w:eastAsia="宋体" w:cs="Times New Roman"/>
                <w:color w:val="auto"/>
                <w:szCs w:val="21"/>
                <w:highlight w:val="none"/>
              </w:rPr>
              <w:t xml:space="preserve"> </w:t>
            </w:r>
          </w:p>
          <w:p w14:paraId="77889DD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设计负责人的资格要求：</w:t>
            </w:r>
            <w:r>
              <w:rPr>
                <w:rFonts w:ascii="Calibri" w:hAnsi="Calibri" w:eastAsia="宋体" w:cs="Times New Roman"/>
                <w:color w:val="auto"/>
                <w:szCs w:val="21"/>
                <w:highlight w:val="none"/>
              </w:rPr>
              <w:t xml:space="preserve"> </w:t>
            </w:r>
          </w:p>
          <w:p w14:paraId="4FD768F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施工负责人的资格要求：</w:t>
            </w:r>
            <w:r>
              <w:rPr>
                <w:rFonts w:ascii="Calibri" w:hAnsi="Calibri" w:eastAsia="宋体" w:cs="Times New Roman"/>
                <w:color w:val="auto"/>
                <w:szCs w:val="21"/>
                <w:highlight w:val="none"/>
              </w:rPr>
              <w:t xml:space="preserve"> </w:t>
            </w:r>
          </w:p>
          <w:p w14:paraId="7284A7A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施工机械设备：</w:t>
            </w:r>
            <w:r>
              <w:rPr>
                <w:rFonts w:ascii="Calibri" w:hAnsi="Calibri" w:eastAsia="宋体" w:cs="Times New Roman"/>
                <w:color w:val="auto"/>
                <w:szCs w:val="21"/>
                <w:highlight w:val="none"/>
              </w:rPr>
              <w:t xml:space="preserve"> </w:t>
            </w:r>
          </w:p>
          <w:p w14:paraId="25CFAB2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项目管理机构及人员：</w:t>
            </w:r>
            <w:r>
              <w:rPr>
                <w:rFonts w:ascii="Calibri" w:hAnsi="Calibri" w:eastAsia="宋体" w:cs="Times New Roman"/>
                <w:color w:val="auto"/>
                <w:szCs w:val="21"/>
                <w:highlight w:val="none"/>
              </w:rPr>
              <w:t xml:space="preserve"> </w:t>
            </w:r>
          </w:p>
          <w:p w14:paraId="6BE3C67C">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b/>
                <w:color w:val="auto"/>
                <w:szCs w:val="21"/>
                <w:highlight w:val="none"/>
              </w:rPr>
              <w:t>其他要求：</w:t>
            </w:r>
            <w:r>
              <w:rPr>
                <w:rFonts w:ascii="Calibri" w:hAnsi="Calibri" w:eastAsia="宋体" w:cs="Times New Roman"/>
                <w:color w:val="auto"/>
                <w:szCs w:val="21"/>
                <w:highlight w:val="none"/>
              </w:rPr>
              <w:t xml:space="preserve"> </w:t>
            </w:r>
          </w:p>
          <w:p w14:paraId="3D863F9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u w:val="single"/>
              </w:rPr>
              <w:t xml:space="preserve">                                            </w:t>
            </w:r>
          </w:p>
        </w:tc>
      </w:tr>
      <w:tr w14:paraId="5EEEA5B0">
        <w:tblPrEx>
          <w:tblCellMar>
            <w:top w:w="0" w:type="dxa"/>
            <w:left w:w="108" w:type="dxa"/>
            <w:bottom w:w="0" w:type="dxa"/>
            <w:right w:w="108" w:type="dxa"/>
          </w:tblCellMar>
        </w:tblPrEx>
        <w:trPr>
          <w:trHeight w:val="1119"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BAB7DD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1.4.2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04FFDC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是否接受联合体投标</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94C3A21">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不接受</w:t>
            </w:r>
          </w:p>
          <w:p w14:paraId="5C14648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w:t>
            </w:r>
            <w:r>
              <w:rPr>
                <w:rFonts w:ascii="Calibri" w:hAnsi="Calibri" w:eastAsia="宋体" w:cs="Times New Roman"/>
                <w:color w:val="auto"/>
                <w:szCs w:val="21"/>
                <w:highlight w:val="none"/>
              </w:rPr>
              <w:t>接受，应满足下列要求：</w:t>
            </w:r>
            <w:r>
              <w:rPr>
                <w:rFonts w:ascii="Calibri" w:hAnsi="Calibri" w:eastAsia="宋体" w:cs="Times New Roman"/>
                <w:color w:val="auto"/>
                <w:szCs w:val="21"/>
                <w:highlight w:val="none"/>
                <w:u w:val="single"/>
              </w:rPr>
              <w:t xml:space="preserve">             </w:t>
            </w:r>
          </w:p>
        </w:tc>
      </w:tr>
      <w:tr w14:paraId="6E2B0254">
        <w:tblPrEx>
          <w:tblCellMar>
            <w:top w:w="0" w:type="dxa"/>
            <w:left w:w="108" w:type="dxa"/>
            <w:bottom w:w="0" w:type="dxa"/>
            <w:right w:w="108" w:type="dxa"/>
          </w:tblCellMar>
        </w:tblPrEx>
        <w:trPr>
          <w:trHeight w:val="994"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F386D2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highlight w:val="none"/>
              </w:rPr>
              <w:t>1.4.3</w:t>
            </w:r>
            <w:r>
              <w:rPr>
                <w:rFonts w:hint="eastAsia" w:ascii="Calibri" w:hAnsi="Calibri" w:eastAsia="宋体" w:cs="Times New Roman"/>
                <w:color w:val="auto"/>
                <w:highlight w:val="none"/>
              </w:rPr>
              <w:t>（</w:t>
            </w:r>
            <w:r>
              <w:rPr>
                <w:rFonts w:ascii="Calibri" w:hAnsi="Calibri" w:eastAsia="宋体" w:cs="Times New Roman"/>
                <w:color w:val="auto"/>
                <w:highlight w:val="none"/>
              </w:rPr>
              <w:t>19</w:t>
            </w:r>
            <w:r>
              <w:rPr>
                <w:rFonts w:hint="eastAsia" w:ascii="Calibri" w:hAnsi="Calibri" w:eastAsia="宋体" w:cs="Times New Roman"/>
                <w:color w:val="auto"/>
                <w:highlight w:val="none"/>
              </w:rPr>
              <w:t>）</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E0DB596">
            <w:pPr>
              <w:keepNext w:val="0"/>
              <w:keepLines w:val="0"/>
              <w:suppressLineNumbers w:val="0"/>
              <w:spacing w:before="0" w:beforeAutospacing="0" w:after="0" w:afterAutospacing="0"/>
              <w:ind w:left="0" w:right="0"/>
              <w:jc w:val="left"/>
              <w:rPr>
                <w:rFonts w:ascii="Calibri" w:hAnsi="Calibri" w:eastAsia="宋体" w:cs="Times New Roman"/>
                <w:color w:val="auto"/>
                <w:highlight w:val="none"/>
              </w:rPr>
            </w:pPr>
            <w:r>
              <w:rPr>
                <w:rFonts w:hint="eastAsia" w:ascii="Calibri" w:hAnsi="Calibri" w:eastAsia="宋体" w:cs="Times New Roman"/>
                <w:color w:val="auto"/>
                <w:szCs w:val="21"/>
                <w:highlight w:val="none"/>
              </w:rPr>
              <w:t>不得存在的其他情形</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D8B285E">
            <w:pPr>
              <w:pStyle w:val="16"/>
              <w:keepNext w:val="0"/>
              <w:keepLines w:val="0"/>
              <w:suppressLineNumbers w:val="0"/>
              <w:topLinePunct/>
              <w:spacing w:before="156" w:beforeAutospacing="0" w:after="0" w:afterAutospacing="0" w:line="400" w:lineRule="exact"/>
              <w:ind w:left="0" w:right="0"/>
              <w:rPr>
                <w:rFonts w:hint="eastAsia" w:hAnsi="Calibri" w:eastAsia="宋体" w:cs="Times New Roman"/>
                <w:color w:val="auto"/>
                <w:sz w:val="21"/>
                <w:szCs w:val="21"/>
                <w:highlight w:val="none"/>
              </w:rPr>
            </w:pPr>
          </w:p>
        </w:tc>
      </w:tr>
      <w:tr w14:paraId="08B04015">
        <w:tblPrEx>
          <w:tblCellMar>
            <w:top w:w="0" w:type="dxa"/>
            <w:left w:w="108" w:type="dxa"/>
            <w:bottom w:w="0" w:type="dxa"/>
            <w:right w:w="108" w:type="dxa"/>
          </w:tblCellMar>
        </w:tblPrEx>
        <w:trPr>
          <w:trHeight w:val="980"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7E92D80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1.5</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403C632">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费用承担和设计成果补偿</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1F1A0A3">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不补偿</w:t>
            </w:r>
          </w:p>
          <w:p w14:paraId="21D5E87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补偿，补偿标准：</w:t>
            </w:r>
            <w:r>
              <w:rPr>
                <w:rFonts w:ascii="Calibri" w:hAnsi="Calibri" w:eastAsia="宋体" w:cs="Times New Roman"/>
                <w:color w:val="auto"/>
                <w:szCs w:val="21"/>
                <w:highlight w:val="none"/>
                <w:u w:val="single"/>
              </w:rPr>
              <w:t xml:space="preserve">             </w:t>
            </w:r>
          </w:p>
        </w:tc>
      </w:tr>
      <w:tr w14:paraId="0919A388">
        <w:tblPrEx>
          <w:tblCellMar>
            <w:top w:w="0" w:type="dxa"/>
            <w:left w:w="108" w:type="dxa"/>
            <w:bottom w:w="0" w:type="dxa"/>
            <w:right w:w="108" w:type="dxa"/>
          </w:tblCellMar>
        </w:tblPrEx>
        <w:trPr>
          <w:trHeight w:val="1405"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AA35739">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1.9.1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0B60749">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踏勘</w:t>
            </w:r>
            <w:r>
              <w:rPr>
                <w:rFonts w:hint="eastAsia" w:ascii="Calibri" w:hAnsi="Calibri" w:eastAsia="宋体" w:cs="Times New Roman"/>
                <w:color w:val="auto"/>
                <w:szCs w:val="21"/>
                <w:highlight w:val="none"/>
              </w:rPr>
              <w:t>现场</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2BB9E7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不组织：</w:t>
            </w:r>
          </w:p>
          <w:p w14:paraId="234F39D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组织，踏勘时间：</w:t>
            </w:r>
            <w:r>
              <w:rPr>
                <w:rFonts w:ascii="Calibri" w:hAnsi="Calibri" w:eastAsia="宋体" w:cs="Times New Roman"/>
                <w:color w:val="auto"/>
                <w:szCs w:val="21"/>
                <w:highlight w:val="none"/>
                <w:u w:val="single"/>
              </w:rPr>
              <w:t xml:space="preserve">             </w:t>
            </w:r>
          </w:p>
          <w:p w14:paraId="2F7BE454">
            <w:pPr>
              <w:keepNext w:val="0"/>
              <w:keepLines w:val="0"/>
              <w:suppressLineNumbers w:val="0"/>
              <w:spacing w:before="0" w:beforeAutospacing="0" w:after="0" w:afterAutospacing="0" w:line="400" w:lineRule="exact"/>
              <w:ind w:left="0" w:right="0" w:firstLine="840" w:firstLineChars="400"/>
              <w:rPr>
                <w:rFonts w:ascii="Calibri" w:hAnsi="Calibri" w:eastAsia="宋体" w:cs="Times New Roman"/>
                <w:color w:val="auto"/>
                <w:szCs w:val="21"/>
                <w:highlight w:val="none"/>
              </w:rPr>
            </w:pPr>
            <w:r>
              <w:rPr>
                <w:rFonts w:ascii="Calibri" w:hAnsi="Calibri" w:eastAsia="宋体" w:cs="Times New Roman"/>
                <w:color w:val="auto"/>
                <w:szCs w:val="21"/>
                <w:highlight w:val="none"/>
              </w:rPr>
              <w:t>踏勘集中地点：</w:t>
            </w:r>
            <w:r>
              <w:rPr>
                <w:rFonts w:ascii="Calibri" w:hAnsi="Calibri" w:eastAsia="宋体" w:cs="Times New Roman"/>
                <w:color w:val="auto"/>
                <w:szCs w:val="21"/>
                <w:highlight w:val="none"/>
                <w:u w:val="single"/>
              </w:rPr>
              <w:t xml:space="preserve">             </w:t>
            </w:r>
          </w:p>
        </w:tc>
      </w:tr>
      <w:tr w14:paraId="655ED48D">
        <w:tblPrEx>
          <w:tblCellMar>
            <w:top w:w="0" w:type="dxa"/>
            <w:left w:w="108" w:type="dxa"/>
            <w:bottom w:w="0" w:type="dxa"/>
            <w:right w:w="108" w:type="dxa"/>
          </w:tblCellMar>
        </w:tblPrEx>
        <w:trPr>
          <w:trHeight w:val="904"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6F50B13">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1.10.</w:t>
            </w:r>
            <w:r>
              <w:rPr>
                <w:rFonts w:hint="eastAsia" w:ascii="Calibri" w:hAnsi="Calibri" w:eastAsia="宋体" w:cs="Times New Roman"/>
                <w:color w:val="auto"/>
                <w:szCs w:val="21"/>
                <w:highlight w:val="none"/>
              </w:rPr>
              <w:t>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2BB93A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投标人提出问题的截止时间</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1464DB1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kern w:val="0"/>
                <w:szCs w:val="21"/>
                <w:highlight w:val="none"/>
                <w:u w:val="single"/>
              </w:rPr>
              <w:t>　　　</w:t>
            </w:r>
            <w:r>
              <w:rPr>
                <w:rFonts w:hint="eastAsia" w:ascii="宋体" w:hAnsi="宋体" w:eastAsia="宋体" w:cs="Times New Roman"/>
                <w:color w:val="auto"/>
                <w:kern w:val="0"/>
                <w:szCs w:val="21"/>
                <w:highlight w:val="none"/>
              </w:rPr>
              <w:t>年</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月</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日</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时</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分</w:t>
            </w:r>
          </w:p>
        </w:tc>
      </w:tr>
      <w:tr w14:paraId="4E8E4625">
        <w:tblPrEx>
          <w:tblCellMar>
            <w:top w:w="0" w:type="dxa"/>
            <w:left w:w="108" w:type="dxa"/>
            <w:bottom w:w="0" w:type="dxa"/>
            <w:right w:w="108" w:type="dxa"/>
          </w:tblCellMar>
        </w:tblPrEx>
        <w:trPr>
          <w:trHeight w:val="1192"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6D8C2C5">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bookmarkStart w:id="282" w:name="_Toc221950053"/>
            <w:r>
              <w:rPr>
                <w:rFonts w:ascii="宋体" w:hAnsi="宋体" w:eastAsia="宋体" w:cs="Times New Roman"/>
                <w:color w:val="auto"/>
                <w:szCs w:val="21"/>
                <w:highlight w:val="none"/>
              </w:rPr>
              <w:t>1.1</w:t>
            </w:r>
            <w:r>
              <w:rPr>
                <w:rFonts w:hint="eastAsia" w:ascii="宋体" w:hAnsi="宋体" w:eastAsia="宋体" w:cs="Times New Roman"/>
                <w:color w:val="auto"/>
                <w:szCs w:val="21"/>
                <w:highlight w:val="none"/>
              </w:rPr>
              <w:t>1</w:t>
            </w:r>
            <w:bookmarkEnd w:id="282"/>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69B5321">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bookmarkStart w:id="283" w:name="_Toc221950054"/>
            <w:r>
              <w:rPr>
                <w:rFonts w:ascii="宋体" w:hAnsi="宋体" w:eastAsia="宋体" w:cs="Times New Roman"/>
                <w:color w:val="auto"/>
                <w:szCs w:val="21"/>
                <w:highlight w:val="none"/>
              </w:rPr>
              <w:t>分包</w:t>
            </w:r>
            <w:bookmarkEnd w:id="283"/>
          </w:p>
        </w:tc>
        <w:tc>
          <w:tcPr>
            <w:tcW w:w="2902" w:type="pct"/>
            <w:tcBorders>
              <w:top w:val="single" w:color="auto" w:sz="4" w:space="0"/>
              <w:left w:val="single" w:color="auto" w:sz="4" w:space="0"/>
              <w:bottom w:val="single" w:color="auto" w:sz="4" w:space="0"/>
              <w:right w:val="single" w:color="auto" w:sz="4" w:space="0"/>
            </w:tcBorders>
            <w:noWrap w:val="0"/>
            <w:vAlign w:val="center"/>
          </w:tcPr>
          <w:p w14:paraId="1D4FED49">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bookmarkStart w:id="284" w:name="_Toc221950057"/>
            <w:bookmarkStart w:id="285" w:name="_Toc221950056"/>
            <w:r>
              <w:rPr>
                <w:rFonts w:hint="eastAsia" w:ascii="宋体" w:hAnsi="宋体" w:eastAsia="宋体" w:cs="Times New Roman"/>
                <w:color w:val="auto"/>
                <w:szCs w:val="21"/>
                <w:highlight w:val="none"/>
              </w:rPr>
              <w:t>□不允许</w:t>
            </w:r>
          </w:p>
          <w:p w14:paraId="2AF5349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□允许</w:t>
            </w:r>
            <w:bookmarkEnd w:id="284"/>
            <w:bookmarkEnd w:id="285"/>
          </w:p>
        </w:tc>
      </w:tr>
      <w:tr w14:paraId="64A940AA">
        <w:tblPrEx>
          <w:tblCellMar>
            <w:top w:w="0" w:type="dxa"/>
            <w:left w:w="108" w:type="dxa"/>
            <w:bottom w:w="0" w:type="dxa"/>
            <w:right w:w="108" w:type="dxa"/>
          </w:tblCellMar>
        </w:tblPrEx>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02DC624">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A7218E2">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偏离</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2DE4A68">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不允许</w:t>
            </w:r>
          </w:p>
          <w:p w14:paraId="4F23AECB">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允许，允许偏离的内容、偏离范围和幅度：</w:t>
            </w:r>
          </w:p>
          <w:p w14:paraId="3D75B21D">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ascii="Times New Roman" w:hAnsi="Calibri" w:eastAsia="宋体" w:cs="Times New Roman"/>
                <w:color w:val="auto"/>
                <w:sz w:val="21"/>
                <w:szCs w:val="21"/>
                <w:highlight w:val="none"/>
                <w:u w:val="single"/>
              </w:rPr>
              <w:t xml:space="preserve">      </w:t>
            </w:r>
            <w:r>
              <w:rPr>
                <w:rFonts w:hint="eastAsia" w:ascii="Times New Roman" w:hAnsi="Calibri" w:eastAsia="宋体" w:cs="Times New Roman"/>
                <w:color w:val="auto"/>
                <w:sz w:val="21"/>
                <w:szCs w:val="21"/>
                <w:highlight w:val="none"/>
                <w:u w:val="single"/>
              </w:rPr>
              <w:t xml:space="preserve"> </w:t>
            </w:r>
            <w:r>
              <w:rPr>
                <w:rFonts w:ascii="Times New Roman" w:hAnsi="Calibri" w:eastAsia="宋体" w:cs="Times New Roman"/>
                <w:color w:val="auto"/>
                <w:sz w:val="21"/>
                <w:szCs w:val="21"/>
                <w:highlight w:val="none"/>
                <w:u w:val="single"/>
              </w:rPr>
              <w:t xml:space="preserve"> </w:t>
            </w:r>
            <w:r>
              <w:rPr>
                <w:rFonts w:hint="eastAsia" w:ascii="Times New Roman" w:hAnsi="Calibri" w:eastAsia="宋体" w:cs="Times New Roman"/>
                <w:color w:val="auto"/>
                <w:sz w:val="21"/>
                <w:szCs w:val="21"/>
                <w:highlight w:val="none"/>
                <w:u w:val="single"/>
              </w:rPr>
              <w:t xml:space="preserve">                          </w:t>
            </w:r>
            <w:r>
              <w:rPr>
                <w:rFonts w:ascii="Times New Roman" w:hAnsi="Calibri" w:eastAsia="宋体" w:cs="Times New Roman"/>
                <w:color w:val="auto"/>
                <w:sz w:val="21"/>
                <w:szCs w:val="21"/>
                <w:highlight w:val="none"/>
                <w:u w:val="single"/>
              </w:rPr>
              <w:t xml:space="preserve">      </w:t>
            </w:r>
          </w:p>
        </w:tc>
      </w:tr>
      <w:tr w14:paraId="1D27B5D3">
        <w:tblPrEx>
          <w:tblCellMar>
            <w:top w:w="0" w:type="dxa"/>
            <w:left w:w="108" w:type="dxa"/>
            <w:bottom w:w="0" w:type="dxa"/>
            <w:right w:w="108" w:type="dxa"/>
          </w:tblCellMar>
        </w:tblPrEx>
        <w:trPr>
          <w:trHeight w:val="756"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8E36D16">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w:t>
            </w:r>
            <w:r>
              <w:rPr>
                <w:rFonts w:hint="eastAsia" w:ascii="Calibri" w:hAnsi="Calibri" w:eastAsia="宋体" w:cs="Times New Roman"/>
                <w:color w:val="auto"/>
                <w:szCs w:val="21"/>
                <w:highlight w:val="none"/>
              </w:rPr>
              <w:t>(8)</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F16E34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构成招标文件的其他资料</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C99BBA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72916172">
        <w:tblPrEx>
          <w:tblCellMar>
            <w:top w:w="0" w:type="dxa"/>
            <w:left w:w="108" w:type="dxa"/>
            <w:bottom w:w="0" w:type="dxa"/>
            <w:right w:w="108" w:type="dxa"/>
          </w:tblCellMar>
        </w:tblPrEx>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F46F7D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5AD1298">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招标文件的澄清</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16843A3">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 w:val="24"/>
                <w:highlight w:val="none"/>
              </w:rPr>
              <w:t>招标人计划发布澄清通知时间：</w:t>
            </w:r>
            <w:r>
              <w:rPr>
                <w:rFonts w:hint="eastAsia" w:ascii="宋体" w:hAnsi="宋体" w:eastAsia="宋体" w:cs="Times New Roman"/>
                <w:color w:val="auto"/>
                <w:kern w:val="0"/>
                <w:szCs w:val="21"/>
                <w:highlight w:val="none"/>
                <w:u w:val="single"/>
              </w:rPr>
              <w:t>　　　</w:t>
            </w:r>
            <w:r>
              <w:rPr>
                <w:rFonts w:hint="eastAsia" w:ascii="宋体" w:hAnsi="宋体" w:eastAsia="宋体" w:cs="Times New Roman"/>
                <w:color w:val="auto"/>
                <w:kern w:val="0"/>
                <w:szCs w:val="21"/>
                <w:highlight w:val="none"/>
              </w:rPr>
              <w:t>年</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月</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日</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时</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分</w:t>
            </w:r>
            <w:r>
              <w:rPr>
                <w:rFonts w:hint="eastAsia" w:ascii="宋体" w:hAnsi="宋体" w:eastAsia="宋体" w:cs="Times New Roman"/>
                <w:color w:val="auto"/>
                <w:sz w:val="24"/>
                <w:highlight w:val="none"/>
              </w:rPr>
              <w:t>前</w:t>
            </w:r>
          </w:p>
        </w:tc>
      </w:tr>
      <w:tr w14:paraId="57AF01BC">
        <w:tblPrEx>
          <w:tblCellMar>
            <w:top w:w="0" w:type="dxa"/>
            <w:left w:w="108" w:type="dxa"/>
            <w:bottom w:w="0" w:type="dxa"/>
            <w:right w:w="108" w:type="dxa"/>
          </w:tblCellMar>
        </w:tblPrEx>
        <w:trPr>
          <w:trHeight w:val="32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32FBA6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3.1.1</w:t>
            </w:r>
            <w:r>
              <w:rPr>
                <w:rFonts w:hint="eastAsia" w:ascii="Calibri" w:hAnsi="Calibri" w:eastAsia="宋体" w:cs="Times New Roman"/>
                <w:color w:val="auto"/>
                <w:szCs w:val="21"/>
                <w:highlight w:val="none"/>
              </w:rPr>
              <w:t>(11)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AF24683">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构成投标文件的其他资料</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A44981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7679B1B1">
        <w:tblPrEx>
          <w:tblCellMar>
            <w:top w:w="0" w:type="dxa"/>
            <w:left w:w="108" w:type="dxa"/>
            <w:bottom w:w="0" w:type="dxa"/>
            <w:right w:w="108" w:type="dxa"/>
          </w:tblCellMar>
        </w:tblPrEx>
        <w:trPr>
          <w:trHeight w:val="34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602B2AF">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304BAD8">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最高投标限价</w:t>
            </w:r>
          </w:p>
          <w:p w14:paraId="7D2961A2">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或其计算方法</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11C0E8DA">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7F14E9BE">
        <w:tblPrEx>
          <w:tblCellMar>
            <w:top w:w="0" w:type="dxa"/>
            <w:left w:w="108" w:type="dxa"/>
            <w:bottom w:w="0" w:type="dxa"/>
            <w:right w:w="108" w:type="dxa"/>
          </w:tblCellMar>
        </w:tblPrEx>
        <w:trPr>
          <w:trHeight w:val="683"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073850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3.2.5</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87FCA1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投标报价的其他要求</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B2A679F">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□总价合同</w:t>
            </w:r>
          </w:p>
          <w:p w14:paraId="71DF976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□成本加酬金合同</w:t>
            </w:r>
          </w:p>
        </w:tc>
      </w:tr>
      <w:tr w14:paraId="6937E8FC">
        <w:tblPrEx>
          <w:tblCellMar>
            <w:top w:w="0" w:type="dxa"/>
            <w:left w:w="108" w:type="dxa"/>
            <w:bottom w:w="0" w:type="dxa"/>
            <w:right w:w="108" w:type="dxa"/>
          </w:tblCellMar>
        </w:tblPrEx>
        <w:trPr>
          <w:trHeight w:val="718"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3BD7B96">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3.3.1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CCDEB4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bookmarkStart w:id="286" w:name="_Toc221950063"/>
            <w:r>
              <w:rPr>
                <w:rFonts w:ascii="宋体" w:hAnsi="宋体" w:eastAsia="宋体" w:cs="Times New Roman"/>
                <w:color w:val="auto"/>
                <w:szCs w:val="21"/>
                <w:highlight w:val="none"/>
              </w:rPr>
              <w:t>投标有效期</w:t>
            </w:r>
            <w:bookmarkEnd w:id="286"/>
          </w:p>
        </w:tc>
        <w:tc>
          <w:tcPr>
            <w:tcW w:w="2902" w:type="pct"/>
            <w:tcBorders>
              <w:top w:val="single" w:color="auto" w:sz="4" w:space="0"/>
              <w:left w:val="single" w:color="auto" w:sz="4" w:space="0"/>
              <w:bottom w:val="single" w:color="auto" w:sz="4" w:space="0"/>
              <w:right w:val="single" w:color="auto" w:sz="4" w:space="0"/>
            </w:tcBorders>
            <w:noWrap w:val="0"/>
            <w:vAlign w:val="center"/>
          </w:tcPr>
          <w:p w14:paraId="57EDD3C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aps/>
                <w:color w:val="auto"/>
                <w:szCs w:val="21"/>
                <w:highlight w:val="none"/>
              </w:rPr>
              <w:t>自投标截止时间起</w:t>
            </w:r>
            <w:r>
              <w:rPr>
                <w:rFonts w:hint="eastAsia" w:ascii="宋体" w:hAnsi="宋体" w:eastAsia="宋体" w:cs="Times New Roman"/>
                <w:caps/>
                <w:color w:val="auto"/>
                <w:szCs w:val="21"/>
                <w:highlight w:val="none"/>
                <w:u w:val="single"/>
              </w:rPr>
              <w:t xml:space="preserve">     </w:t>
            </w:r>
            <w:r>
              <w:rPr>
                <w:rFonts w:hint="eastAsia" w:ascii="宋体" w:hAnsi="宋体" w:eastAsia="宋体" w:cs="Times New Roman"/>
                <w:color w:val="auto"/>
                <w:sz w:val="24"/>
                <w:highlight w:val="none"/>
              </w:rPr>
              <w:t>日内有效</w:t>
            </w:r>
          </w:p>
        </w:tc>
      </w:tr>
      <w:tr w14:paraId="72CC481A">
        <w:tblPrEx>
          <w:tblCellMar>
            <w:top w:w="0" w:type="dxa"/>
            <w:left w:w="108" w:type="dxa"/>
            <w:bottom w:w="0" w:type="dxa"/>
            <w:right w:w="108" w:type="dxa"/>
          </w:tblCellMar>
        </w:tblPrEx>
        <w:trPr>
          <w:trHeight w:val="1266"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95218B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3.4.1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3CC8AF6">
            <w:pPr>
              <w:keepNext w:val="0"/>
              <w:keepLines w:val="0"/>
              <w:suppressLineNumbers w:val="0"/>
              <w:spacing w:before="0" w:beforeAutospacing="0" w:after="0" w:afterAutospacing="0" w:line="24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p w14:paraId="537954BF">
            <w:pPr>
              <w:keepNext w:val="0"/>
              <w:keepLines w:val="0"/>
              <w:suppressLineNumbers w:val="0"/>
              <w:spacing w:before="0" w:beforeAutospacing="0" w:after="0" w:afterAutospacing="0" w:line="24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（招标人自行决定是否缴纳投标保证金）</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EA92F4E">
            <w:pPr>
              <w:keepNext w:val="0"/>
              <w:keepLines w:val="0"/>
              <w:suppressLineNumbers w:val="0"/>
              <w:tabs>
                <w:tab w:val="left" w:pos="426"/>
              </w:tabs>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□不要求</w:t>
            </w:r>
          </w:p>
          <w:p w14:paraId="3C2C74AE">
            <w:pPr>
              <w:keepNext w:val="0"/>
              <w:keepLines w:val="0"/>
              <w:suppressLineNumbers w:val="0"/>
              <w:tabs>
                <w:tab w:val="left" w:pos="426"/>
              </w:tabs>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〔注：政府采购工程（包括工程建设项目的勘察、设计、监理、施工以及与工程建设有关的重要材料设备等）进行招标投标活动的，应免收投标人投标保证金。〕</w:t>
            </w:r>
          </w:p>
          <w:p w14:paraId="0498CAC3">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□要求</w:t>
            </w:r>
          </w:p>
          <w:p w14:paraId="140010B3">
            <w:pPr>
              <w:keepNext w:val="0"/>
              <w:keepLines w:val="0"/>
              <w:widowControl/>
              <w:suppressLineNumbers w:val="0"/>
              <w:spacing w:before="0" w:beforeAutospacing="0" w:after="0" w:afterAutospacing="0"/>
              <w:ind w:left="0" w:right="0" w:firstLine="420" w:firstLineChars="200"/>
              <w:jc w:val="left"/>
              <w:rPr>
                <w:rFonts w:ascii="宋体" w:hAnsi="宋体" w:eastAsia="宋体" w:cs="宋体"/>
                <w:color w:val="auto"/>
                <w:kern w:val="0"/>
                <w:szCs w:val="21"/>
                <w:highlight w:val="none"/>
              </w:rPr>
            </w:pPr>
            <w:r>
              <w:rPr>
                <w:rFonts w:hint="eastAsia" w:ascii="Calibri" w:hAnsi="Calibri" w:eastAsia="宋体" w:cs="Times New Roman"/>
                <w:color w:val="auto"/>
                <w:highlight w:val="none"/>
              </w:rPr>
              <w:t>投标保证金的提交方式可以是电汇、支票、网上支付、银行本票、银行汇票、贷记凭证、保险公司保单和银行出具的全额保函等形式缴纳投标保证金；除招标文件有特殊规定的情况外，投标保证金原则上不以现金方式提交；投标保证金有效期应当与投标有效期一致；“市电子交易平台”提供投标人自行打印《投标保证金提交确认函》功能。</w:t>
            </w:r>
          </w:p>
          <w:p w14:paraId="21120C59">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提交形式（三者选其一）：</w:t>
            </w:r>
          </w:p>
          <w:p w14:paraId="26549D06">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Times New Roman"/>
                <w:color w:val="auto"/>
                <w:highlight w:val="none"/>
              </w:rPr>
              <w:t>□</w:t>
            </w:r>
            <w:r>
              <w:rPr>
                <w:rFonts w:hint="eastAsia" w:ascii="Calibri" w:hAnsi="Calibri" w:eastAsia="宋体" w:cs="Times New Roman"/>
                <w:color w:val="auto"/>
                <w:highlight w:val="none"/>
              </w:rPr>
              <w:t>一、银行托管的（电汇、支票、网上支付、银行本票、银行汇票、贷记凭证和银行出具的全额保函）</w:t>
            </w:r>
          </w:p>
          <w:p w14:paraId="139A96E5">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1.投标保证金金额：招标项目估算价的1%（</w:t>
            </w:r>
            <w:r>
              <w:rPr>
                <w:rFonts w:hint="eastAsia" w:ascii="Calibri" w:hAnsi="Calibri" w:eastAsia="宋体" w:cs="Times New Roman"/>
                <w:color w:val="auto"/>
                <w:highlight w:val="none"/>
                <w:u w:val="single"/>
              </w:rPr>
              <w:t>　　</w:t>
            </w:r>
            <w:r>
              <w:rPr>
                <w:rFonts w:hint="eastAsia" w:ascii="Calibri" w:hAnsi="Calibri" w:eastAsia="宋体" w:cs="Times New Roman"/>
                <w:color w:val="auto"/>
                <w:highlight w:val="none"/>
              </w:rPr>
              <w:t>元）或</w:t>
            </w:r>
            <w:r>
              <w:rPr>
                <w:rFonts w:hint="eastAsia" w:ascii="Calibri" w:hAnsi="Calibri" w:eastAsia="宋体" w:cs="Times New Roman"/>
                <w:color w:val="auto"/>
                <w:highlight w:val="none"/>
                <w:u w:val="single"/>
              </w:rPr>
              <w:t>　　</w:t>
            </w:r>
            <w:r>
              <w:rPr>
                <w:rFonts w:hint="eastAsia" w:ascii="Calibri" w:hAnsi="Calibri" w:eastAsia="宋体" w:cs="Times New Roman"/>
                <w:color w:val="auto"/>
                <w:highlight w:val="none"/>
              </w:rPr>
              <w:t>元，最高500000元；</w:t>
            </w:r>
          </w:p>
          <w:p w14:paraId="4D97966E">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2.提交截止时间（到账时间）：同本标段投标截止时间；</w:t>
            </w:r>
          </w:p>
          <w:p w14:paraId="6F3889D6">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3.境内投标单位，投标保证金应当从其基本账户转出；</w:t>
            </w:r>
          </w:p>
          <w:p w14:paraId="782914BD">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4.采用银行保函提交投标保证金的，由托管银行按规定履行核验手续，并向交易系统推送投标保证金信息。</w:t>
            </w:r>
          </w:p>
          <w:p w14:paraId="7EC0FDF3">
            <w:pPr>
              <w:keepNext w:val="0"/>
              <w:keepLines w:val="0"/>
              <w:widowControl/>
              <w:suppressLineNumbers w:val="0"/>
              <w:spacing w:before="0" w:beforeAutospacing="0" w:after="0" w:afterAutospacing="0"/>
              <w:ind w:left="0" w:right="0" w:firstLine="420" w:firstLineChars="200"/>
              <w:jc w:val="left"/>
              <w:rPr>
                <w:rFonts w:ascii="Calibri" w:hAnsi="Calibri" w:eastAsia="宋体" w:cs="Times New Roman"/>
                <w:color w:val="auto"/>
                <w:highlight w:val="none"/>
              </w:rPr>
            </w:pPr>
            <w:r>
              <w:rPr>
                <w:rFonts w:hint="eastAsia" w:ascii="Calibri" w:hAnsi="Calibri" w:eastAsia="宋体" w:cs="Times New Roman"/>
                <w:color w:val="auto"/>
                <w:highlight w:val="none"/>
              </w:rPr>
              <w:t>开标前，投标人应在“市电子交易平台”（http</w:t>
            </w:r>
            <w:r>
              <w:rPr>
                <w:rFonts w:ascii="Calibri" w:hAnsi="Calibri" w:eastAsia="宋体" w:cs="Times New Roman"/>
                <w:color w:val="auto"/>
                <w:highlight w:val="none"/>
              </w:rPr>
              <w:t>s</w:t>
            </w:r>
            <w:r>
              <w:rPr>
                <w:rFonts w:hint="eastAsia" w:ascii="Calibri" w:hAnsi="Calibri" w:eastAsia="宋体" w:cs="Times New Roman"/>
                <w:color w:val="auto"/>
                <w:highlight w:val="none"/>
              </w:rPr>
              <w:t>://www.whzbtbxt.cn）将保证金与所投项目进行关联（多标段投标的，投标人应</w:t>
            </w:r>
            <w:r>
              <w:rPr>
                <w:rFonts w:ascii="Calibri" w:hAnsi="Calibri" w:eastAsia="宋体" w:cs="Times New Roman"/>
                <w:color w:val="auto"/>
                <w:highlight w:val="none"/>
              </w:rPr>
              <w:t>按</w:t>
            </w:r>
            <w:r>
              <w:rPr>
                <w:rFonts w:hint="eastAsia" w:ascii="Calibri" w:hAnsi="Calibri" w:eastAsia="宋体" w:cs="Times New Roman"/>
                <w:color w:val="auto"/>
                <w:highlight w:val="none"/>
              </w:rPr>
              <w:t>上述</w:t>
            </w:r>
            <w:r>
              <w:rPr>
                <w:rFonts w:ascii="Calibri" w:hAnsi="Calibri" w:eastAsia="宋体" w:cs="Times New Roman"/>
                <w:color w:val="auto"/>
                <w:highlight w:val="none"/>
              </w:rPr>
              <w:t>要求</w:t>
            </w:r>
            <w:r>
              <w:rPr>
                <w:rFonts w:hint="eastAsia" w:ascii="Calibri" w:hAnsi="Calibri" w:eastAsia="宋体" w:cs="Times New Roman"/>
                <w:color w:val="auto"/>
                <w:highlight w:val="none"/>
              </w:rPr>
              <w:t>将</w:t>
            </w:r>
            <w:r>
              <w:rPr>
                <w:rFonts w:ascii="Calibri" w:hAnsi="Calibri" w:eastAsia="宋体" w:cs="Times New Roman"/>
                <w:color w:val="auto"/>
                <w:highlight w:val="none"/>
              </w:rPr>
              <w:t>投标保证金分别</w:t>
            </w:r>
            <w:r>
              <w:rPr>
                <w:rFonts w:hint="eastAsia" w:ascii="Calibri" w:hAnsi="Calibri" w:eastAsia="宋体" w:cs="Times New Roman"/>
                <w:color w:val="auto"/>
                <w:highlight w:val="none"/>
              </w:rPr>
              <w:t>与</w:t>
            </w:r>
            <w:r>
              <w:rPr>
                <w:rFonts w:ascii="Calibri" w:hAnsi="Calibri" w:eastAsia="宋体" w:cs="Times New Roman"/>
                <w:color w:val="auto"/>
                <w:highlight w:val="none"/>
              </w:rPr>
              <w:t>各个标段对应</w:t>
            </w:r>
            <w:r>
              <w:rPr>
                <w:rFonts w:hint="eastAsia" w:ascii="Calibri" w:hAnsi="Calibri" w:eastAsia="宋体" w:cs="Times New Roman"/>
                <w:color w:val="auto"/>
                <w:highlight w:val="none"/>
              </w:rPr>
              <w:t>关联）。</w:t>
            </w:r>
          </w:p>
          <w:p w14:paraId="0E5E1F13">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投标保证金交付单位：武汉市投资促进局（武汉市政务服务局）</w:t>
            </w:r>
          </w:p>
          <w:p w14:paraId="2F9CEB14">
            <w:pPr>
              <w:keepNext w:val="0"/>
              <w:keepLines w:val="0"/>
              <w:suppressLineNumbers w:val="0"/>
              <w:tabs>
                <w:tab w:val="left" w:pos="567"/>
                <w:tab w:val="left" w:pos="1134"/>
              </w:tabs>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开     户    银    行：武汉农村商业银行市民之家支行</w:t>
            </w:r>
          </w:p>
          <w:p w14:paraId="490DBAEE">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帐                    号：211771040710015002</w:t>
            </w:r>
          </w:p>
          <w:p w14:paraId="5BEB82FD">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大     额     行   号：402521007059</w:t>
            </w:r>
          </w:p>
          <w:p w14:paraId="2A7E7D58">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同     城     行   号：870065</w:t>
            </w:r>
          </w:p>
          <w:p w14:paraId="5EFA43AD">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highlight w:val="none"/>
              </w:rPr>
            </w:pPr>
            <w:r>
              <w:rPr>
                <w:rFonts w:hint="eastAsia" w:ascii="宋体" w:hAnsi="宋体" w:eastAsia="宋体" w:cs="Times New Roman"/>
                <w:color w:val="auto"/>
                <w:highlight w:val="none"/>
              </w:rPr>
              <w:t>□</w:t>
            </w:r>
            <w:r>
              <w:rPr>
                <w:rFonts w:hint="eastAsia" w:ascii="宋体" w:hAnsi="宋体" w:eastAsia="宋体" w:cs="宋体"/>
                <w:color w:val="auto"/>
                <w:highlight w:val="none"/>
              </w:rPr>
              <w:t>二、购买银行电子保函的</w:t>
            </w:r>
          </w:p>
          <w:p w14:paraId="664474E6">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1.购买银行电子保函的费率为应提交投标保证金金额的6‰，最低费用500元，最高3000元。</w:t>
            </w:r>
          </w:p>
          <w:p w14:paraId="107965C1">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宋体"/>
                <w:color w:val="auto"/>
                <w:highlight w:val="none"/>
              </w:rPr>
              <w:t>2.采用银行电子保函提交的，银行电子保函应由投标人通过“市电子交易平台”（https://www.whzbtbxt.cn）在线购买银行电子保函，费用应从投标人基本账户转出（非从基本户转出不能购买）。银行电子保函购买成功后，投标人应于开标前在“市电子交易平台”将保证金与所投项目进行关联（多标段/包投标的，投标人应按上述要求将投标保证金分别与各个标段对应关联）。</w:t>
            </w:r>
          </w:p>
          <w:p w14:paraId="19F669AA">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Times New Roman"/>
                <w:color w:val="auto"/>
                <w:highlight w:val="none"/>
              </w:rPr>
              <w:t>□三</w:t>
            </w:r>
            <w:r>
              <w:rPr>
                <w:rFonts w:hint="eastAsia" w:ascii="Calibri" w:hAnsi="Calibri" w:eastAsia="宋体" w:cs="Times New Roman"/>
                <w:color w:val="auto"/>
                <w:highlight w:val="none"/>
              </w:rPr>
              <w:t>、购买保证保险的</w:t>
            </w:r>
          </w:p>
          <w:p w14:paraId="63B172FE">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1.购买保证保函的费率为应提交投标保证金金额的6</w:t>
            </w:r>
            <w:r>
              <w:rPr>
                <w:rFonts w:hint="eastAsia" w:ascii="宋体" w:hAnsi="宋体" w:eastAsia="宋体" w:cs="Times New Roman"/>
                <w:color w:val="auto"/>
                <w:highlight w:val="none"/>
              </w:rPr>
              <w:t>‰</w:t>
            </w:r>
            <w:r>
              <w:rPr>
                <w:rFonts w:hint="eastAsia" w:ascii="Calibri" w:hAnsi="Calibri" w:eastAsia="宋体" w:cs="Times New Roman"/>
                <w:color w:val="auto"/>
                <w:highlight w:val="none"/>
              </w:rPr>
              <w:t>，最低保费500元，最高3000元。</w:t>
            </w:r>
          </w:p>
          <w:p w14:paraId="2FD1E259">
            <w:pPr>
              <w:keepNext w:val="0"/>
              <w:keepLines w:val="0"/>
              <w:widowControl/>
              <w:suppressLineNumbers w:val="0"/>
              <w:spacing w:before="0" w:beforeAutospacing="0" w:after="0" w:afterAutospacing="0" w:line="260" w:lineRule="exact"/>
              <w:ind w:left="0" w:right="0" w:firstLine="420" w:firstLineChars="200"/>
              <w:jc w:val="left"/>
              <w:rPr>
                <w:rFonts w:ascii="Calibri" w:hAnsi="Calibri" w:eastAsia="宋体" w:cs="Times New Roman"/>
                <w:color w:val="auto"/>
                <w:kern w:val="0"/>
                <w:szCs w:val="21"/>
                <w:highlight w:val="none"/>
              </w:rPr>
            </w:pPr>
            <w:r>
              <w:rPr>
                <w:rFonts w:hint="eastAsia" w:ascii="Calibri" w:hAnsi="Calibri" w:eastAsia="宋体" w:cs="Times New Roman"/>
                <w:color w:val="auto"/>
                <w:highlight w:val="none"/>
              </w:rPr>
              <w:t>2.采用保证保险提交的，保证保险应由投标人通过”市电子交易平台”（http</w:t>
            </w:r>
            <w:r>
              <w:rPr>
                <w:rFonts w:ascii="Calibri" w:hAnsi="Calibri" w:eastAsia="宋体" w:cs="Times New Roman"/>
                <w:color w:val="auto"/>
                <w:highlight w:val="none"/>
              </w:rPr>
              <w:t>s</w:t>
            </w:r>
            <w:r>
              <w:rPr>
                <w:rFonts w:hint="eastAsia" w:ascii="Calibri" w:hAnsi="Calibri" w:eastAsia="宋体" w:cs="Times New Roman"/>
                <w:color w:val="auto"/>
                <w:highlight w:val="none"/>
              </w:rPr>
              <w:t>://www.whzbtbxt.cn）在线购买保证保险，保费应从投标人基本账户转出（非从基本户转出不能购买）。保证保险购买成功后，投标人应于开标前在“市电子交易平台”将保证金与所投项目进行关联（多标段投标的，投标人应</w:t>
            </w:r>
            <w:r>
              <w:rPr>
                <w:rFonts w:ascii="Calibri" w:hAnsi="Calibri" w:eastAsia="宋体" w:cs="Times New Roman"/>
                <w:color w:val="auto"/>
                <w:highlight w:val="none"/>
              </w:rPr>
              <w:t>按</w:t>
            </w:r>
            <w:r>
              <w:rPr>
                <w:rFonts w:hint="eastAsia" w:ascii="Calibri" w:hAnsi="Calibri" w:eastAsia="宋体" w:cs="Times New Roman"/>
                <w:color w:val="auto"/>
                <w:highlight w:val="none"/>
              </w:rPr>
              <w:t>上述</w:t>
            </w:r>
            <w:r>
              <w:rPr>
                <w:rFonts w:ascii="Calibri" w:hAnsi="Calibri" w:eastAsia="宋体" w:cs="Times New Roman"/>
                <w:color w:val="auto"/>
                <w:highlight w:val="none"/>
              </w:rPr>
              <w:t>要求</w:t>
            </w:r>
            <w:r>
              <w:rPr>
                <w:rFonts w:hint="eastAsia" w:ascii="Calibri" w:hAnsi="Calibri" w:eastAsia="宋体" w:cs="Times New Roman"/>
                <w:color w:val="auto"/>
                <w:highlight w:val="none"/>
              </w:rPr>
              <w:t>将</w:t>
            </w:r>
            <w:r>
              <w:rPr>
                <w:rFonts w:ascii="Calibri" w:hAnsi="Calibri" w:eastAsia="宋体" w:cs="Times New Roman"/>
                <w:color w:val="auto"/>
                <w:highlight w:val="none"/>
              </w:rPr>
              <w:t>投标保证金分别</w:t>
            </w:r>
            <w:r>
              <w:rPr>
                <w:rFonts w:hint="eastAsia" w:ascii="Calibri" w:hAnsi="Calibri" w:eastAsia="宋体" w:cs="Times New Roman"/>
                <w:color w:val="auto"/>
                <w:highlight w:val="none"/>
              </w:rPr>
              <w:t>与</w:t>
            </w:r>
            <w:r>
              <w:rPr>
                <w:rFonts w:ascii="Calibri" w:hAnsi="Calibri" w:eastAsia="宋体" w:cs="Times New Roman"/>
                <w:color w:val="auto"/>
                <w:highlight w:val="none"/>
              </w:rPr>
              <w:t>各个标段对应</w:t>
            </w:r>
            <w:r>
              <w:rPr>
                <w:rFonts w:hint="eastAsia" w:ascii="Calibri" w:hAnsi="Calibri" w:eastAsia="宋体" w:cs="Times New Roman"/>
                <w:color w:val="auto"/>
                <w:highlight w:val="none"/>
              </w:rPr>
              <w:t>关联）。</w:t>
            </w:r>
          </w:p>
        </w:tc>
      </w:tr>
      <w:tr w14:paraId="40FA9B3D">
        <w:tblPrEx>
          <w:tblCellMar>
            <w:top w:w="0" w:type="dxa"/>
            <w:left w:w="108" w:type="dxa"/>
            <w:bottom w:w="0" w:type="dxa"/>
            <w:right w:w="108" w:type="dxa"/>
          </w:tblCellMar>
        </w:tblPrEx>
        <w:trPr>
          <w:trHeight w:val="64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72A234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F60CE02">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近年财务状况</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2DDD460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年</w:t>
            </w:r>
          </w:p>
        </w:tc>
      </w:tr>
      <w:tr w14:paraId="2C487DA0">
        <w:tblPrEx>
          <w:tblCellMar>
            <w:top w:w="0" w:type="dxa"/>
            <w:left w:w="108" w:type="dxa"/>
            <w:bottom w:w="0" w:type="dxa"/>
            <w:right w:w="108" w:type="dxa"/>
          </w:tblCellMar>
        </w:tblPrEx>
        <w:trPr>
          <w:trHeight w:val="202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4554EE6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3.5.3</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710725C">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近年完成的类似项目</w:t>
            </w:r>
          </w:p>
          <w:p w14:paraId="28FB9CC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近年完成的类似设计项目</w:t>
            </w:r>
          </w:p>
          <w:p w14:paraId="6CFCB58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近年完成的类似施工项目</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41486D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r>
              <w:rPr>
                <w:rFonts w:ascii="Calibri" w:hAnsi="Calibri" w:eastAsia="宋体" w:cs="Times New Roman"/>
                <w:color w:val="auto"/>
                <w:szCs w:val="21"/>
                <w:highlight w:val="none"/>
              </w:rPr>
              <w:t>年</w:t>
            </w:r>
            <w:r>
              <w:rPr>
                <w:rFonts w:hint="eastAsia" w:ascii="Calibri" w:hAnsi="Calibri" w:eastAsia="宋体" w:cs="Times New Roman"/>
                <w:color w:val="auto"/>
                <w:szCs w:val="21"/>
                <w:highlight w:val="none"/>
              </w:rPr>
              <w:t xml:space="preserve"> </w:t>
            </w:r>
          </w:p>
          <w:p w14:paraId="790A7759">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 xml:space="preserve">“类似项目”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p w14:paraId="5766243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“类似设计项目”</w:t>
            </w:r>
            <w:r>
              <w:rPr>
                <w:rFonts w:hint="eastAsia" w:ascii="Calibri" w:hAnsi="Calibri" w:eastAsia="宋体" w:cs="Times New Roman"/>
                <w:color w:val="auto"/>
                <w:szCs w:val="21"/>
                <w:highlight w:val="none"/>
              </w:rPr>
              <w:t xml:space="preserve">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p w14:paraId="10DFE8E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“类似施工项目”</w:t>
            </w:r>
            <w:r>
              <w:rPr>
                <w:rFonts w:hint="eastAsia" w:ascii="Calibri" w:hAnsi="Calibri" w:eastAsia="宋体" w:cs="Times New Roman"/>
                <w:color w:val="auto"/>
                <w:szCs w:val="21"/>
                <w:highlight w:val="none"/>
              </w:rPr>
              <w:t xml:space="preserve">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tc>
      </w:tr>
      <w:tr w14:paraId="73BD934C">
        <w:tblPrEx>
          <w:tblCellMar>
            <w:top w:w="0" w:type="dxa"/>
            <w:left w:w="108" w:type="dxa"/>
            <w:bottom w:w="0" w:type="dxa"/>
            <w:right w:w="108" w:type="dxa"/>
          </w:tblCellMar>
        </w:tblPrEx>
        <w:trPr>
          <w:trHeight w:val="66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BF3280D">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3.5.5</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7D1F81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近年诉讼及仲裁情况</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E124EA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年</w:t>
            </w:r>
          </w:p>
        </w:tc>
      </w:tr>
      <w:tr w14:paraId="5BB78972">
        <w:tblPrEx>
          <w:tblCellMar>
            <w:top w:w="0" w:type="dxa"/>
            <w:left w:w="108" w:type="dxa"/>
            <w:bottom w:w="0" w:type="dxa"/>
            <w:right w:w="108" w:type="dxa"/>
          </w:tblCellMar>
        </w:tblPrEx>
        <w:trPr>
          <w:trHeight w:val="1289"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1B315EB4">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3.6</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0F265A5">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是否允许递交</w:t>
            </w:r>
          </w:p>
          <w:p w14:paraId="12FEAEF8">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备选投标方案</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85E74D9">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不允许</w:t>
            </w:r>
          </w:p>
          <w:p w14:paraId="75E1E20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允许</w:t>
            </w:r>
            <w:r>
              <w:rPr>
                <w:rFonts w:hint="eastAsia" w:ascii="宋体" w:hAnsi="宋体" w:eastAsia="宋体" w:cs="Times New Roman"/>
                <w:color w:val="auto"/>
                <w:szCs w:val="21"/>
                <w:highlight w:val="none"/>
              </w:rPr>
              <w:t>，但只能提供一个备选方案并注明主选方案，且备选方案的投标价格不得高于主选方案。</w:t>
            </w:r>
          </w:p>
        </w:tc>
      </w:tr>
      <w:tr w14:paraId="59F2C372">
        <w:tblPrEx>
          <w:tblCellMar>
            <w:top w:w="0" w:type="dxa"/>
            <w:left w:w="108" w:type="dxa"/>
            <w:bottom w:w="0" w:type="dxa"/>
            <w:right w:w="108" w:type="dxa"/>
          </w:tblCellMar>
        </w:tblPrEx>
        <w:trPr>
          <w:trHeight w:val="698" w:hRule="atLeast"/>
        </w:trPr>
        <w:tc>
          <w:tcPr>
            <w:tcW w:w="682" w:type="pct"/>
            <w:gridSpan w:val="2"/>
            <w:tcBorders>
              <w:top w:val="single" w:color="auto" w:sz="4" w:space="0"/>
              <w:left w:val="single" w:color="auto" w:sz="4" w:space="0"/>
              <w:right w:val="single" w:color="auto" w:sz="4" w:space="0"/>
            </w:tcBorders>
            <w:noWrap w:val="0"/>
            <w:vAlign w:val="center"/>
          </w:tcPr>
          <w:p w14:paraId="3CD705B7">
            <w:pPr>
              <w:keepNext w:val="0"/>
              <w:keepLines w:val="0"/>
              <w:suppressLineNumbers w:val="0"/>
              <w:spacing w:before="0" w:beforeAutospacing="0" w:after="0" w:afterAutospacing="0"/>
              <w:ind w:left="0" w:right="0"/>
              <w:jc w:val="center"/>
              <w:rPr>
                <w:rFonts w:hint="eastAsia" w:ascii="Times New Roman" w:hAnsi="Times New Roman" w:eastAsia="宋体" w:cs="Times New Roman"/>
                <w:kern w:val="2"/>
                <w:sz w:val="21"/>
                <w:szCs w:val="21"/>
                <w:highlight w:val="none"/>
                <w:lang w:val="en-US" w:eastAsia="zh-CN" w:bidi="ar-SA"/>
              </w:rPr>
            </w:pPr>
            <w:r>
              <w:rPr>
                <w:rFonts w:ascii="Times New Roman" w:hAnsi="Times New Roman"/>
                <w:szCs w:val="21"/>
                <w:highlight w:val="none"/>
              </w:rPr>
              <w:t>3.</w:t>
            </w:r>
            <w:r>
              <w:rPr>
                <w:rFonts w:hint="eastAsia"/>
                <w:szCs w:val="21"/>
                <w:highlight w:val="none"/>
                <w:lang w:val="en-US" w:eastAsia="zh-CN"/>
              </w:rPr>
              <w:t>7</w:t>
            </w:r>
            <w:r>
              <w:rPr>
                <w:rFonts w:ascii="Times New Roman" w:hAnsi="Times New Roman"/>
                <w:szCs w:val="21"/>
                <w:highlight w:val="none"/>
              </w:rPr>
              <w:t>.</w:t>
            </w:r>
            <w:r>
              <w:rPr>
                <w:rFonts w:hint="eastAsia"/>
                <w:szCs w:val="21"/>
                <w:highlight w:val="none"/>
                <w:lang w:val="en-US" w:eastAsia="zh-CN"/>
              </w:rPr>
              <w:t>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09FF75C">
            <w:pPr>
              <w:keepNext w:val="0"/>
              <w:keepLines w:val="0"/>
              <w:suppressLineNumbers w:val="0"/>
              <w:spacing w:before="0" w:beforeAutospacing="0" w:after="0" w:afterAutospacing="0"/>
              <w:ind w:left="0" w:right="0"/>
              <w:jc w:val="both"/>
              <w:rPr>
                <w:rFonts w:ascii="Times New Roman" w:hAnsi="Times New Roman" w:eastAsia="宋体" w:cs="Times New Roman"/>
                <w:kern w:val="2"/>
                <w:sz w:val="21"/>
                <w:szCs w:val="21"/>
                <w:highlight w:val="none"/>
                <w:lang w:val="en-US" w:eastAsia="zh-CN" w:bidi="ar-SA"/>
              </w:rPr>
            </w:pPr>
            <w:r>
              <w:rPr>
                <w:rFonts w:ascii="Times New Roman" w:hAnsi="Times New Roman"/>
                <w:szCs w:val="21"/>
                <w:highlight w:val="none"/>
              </w:rPr>
              <w:t>技术部份的制作规则</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D067DC7">
            <w:pPr>
              <w:keepNext w:val="0"/>
              <w:keepLines w:val="0"/>
              <w:suppressLineNumbers w:val="0"/>
              <w:spacing w:before="0" w:beforeAutospacing="0" w:after="0" w:afterAutospacing="0"/>
              <w:ind w:left="0" w:right="0"/>
              <w:rPr>
                <w:rFonts w:hint="default" w:ascii="Times New Roman" w:hAnsi="Times New Roman" w:eastAsia="宋体" w:cs="Times New Roman"/>
                <w:kern w:val="2"/>
                <w:sz w:val="21"/>
                <w:szCs w:val="24"/>
                <w:highlight w:val="none"/>
                <w:u w:val="single"/>
                <w:lang w:val="en-US" w:eastAsia="zh-CN" w:bidi="ar-SA"/>
              </w:rPr>
            </w:pPr>
            <w:r>
              <w:rPr>
                <w:rFonts w:ascii="Times New Roman" w:hAnsi="Times New Roman"/>
                <w:szCs w:val="21"/>
                <w:highlight w:val="none"/>
              </w:rPr>
              <w:t>实行</w:t>
            </w:r>
            <w:r>
              <w:rPr>
                <w:rFonts w:hint="eastAsia" w:ascii="Times New Roman" w:hAnsi="Times New Roman"/>
                <w:szCs w:val="21"/>
                <w:highlight w:val="none"/>
              </w:rPr>
              <w:t>“</w:t>
            </w:r>
            <w:r>
              <w:rPr>
                <w:rFonts w:ascii="Times New Roman" w:hAnsi="Times New Roman"/>
                <w:szCs w:val="21"/>
                <w:highlight w:val="none"/>
              </w:rPr>
              <w:t>暗标</w:t>
            </w:r>
            <w:r>
              <w:rPr>
                <w:rFonts w:hint="eastAsia" w:ascii="Times New Roman" w:hAnsi="Times New Roman"/>
                <w:szCs w:val="21"/>
                <w:highlight w:val="none"/>
              </w:rPr>
              <w:t>”</w:t>
            </w:r>
            <w:r>
              <w:rPr>
                <w:rFonts w:ascii="Times New Roman" w:hAnsi="Times New Roman"/>
                <w:szCs w:val="21"/>
                <w:highlight w:val="none"/>
              </w:rPr>
              <w:t>评审</w:t>
            </w:r>
            <w:r>
              <w:rPr>
                <w:rFonts w:hint="eastAsia"/>
                <w:szCs w:val="21"/>
                <w:highlight w:val="none"/>
                <w:lang w:eastAsia="zh-CN"/>
              </w:rPr>
              <w:t>（</w:t>
            </w:r>
            <w:r>
              <w:rPr>
                <w:rFonts w:hint="eastAsia"/>
                <w:szCs w:val="21"/>
                <w:highlight w:val="none"/>
                <w:lang w:val="en-US" w:eastAsia="zh-CN"/>
              </w:rPr>
              <w:t>适用于使用综合评估法评审的项目）</w:t>
            </w:r>
          </w:p>
        </w:tc>
      </w:tr>
      <w:tr w14:paraId="3500412F">
        <w:tblPrEx>
          <w:tblCellMar>
            <w:top w:w="0" w:type="dxa"/>
            <w:left w:w="108" w:type="dxa"/>
            <w:bottom w:w="0" w:type="dxa"/>
            <w:right w:w="108" w:type="dxa"/>
          </w:tblCellMar>
        </w:tblPrEx>
        <w:trPr>
          <w:trHeight w:val="698" w:hRule="atLeast"/>
        </w:trPr>
        <w:tc>
          <w:tcPr>
            <w:tcW w:w="682" w:type="pct"/>
            <w:gridSpan w:val="2"/>
            <w:vMerge w:val="restart"/>
            <w:tcBorders>
              <w:top w:val="single" w:color="auto" w:sz="4" w:space="0"/>
              <w:left w:val="single" w:color="auto" w:sz="4" w:space="0"/>
              <w:right w:val="single" w:color="auto" w:sz="4" w:space="0"/>
            </w:tcBorders>
            <w:noWrap w:val="0"/>
            <w:vAlign w:val="center"/>
          </w:tcPr>
          <w:p w14:paraId="0FD8DAD1">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4.2.1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66C51D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投标截止时间</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D380FD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kern w:val="0"/>
                <w:szCs w:val="21"/>
                <w:highlight w:val="none"/>
                <w:u w:val="single"/>
              </w:rPr>
              <w:t>　　　</w:t>
            </w:r>
            <w:r>
              <w:rPr>
                <w:rFonts w:ascii="Calibri" w:hAnsi="Calibri" w:eastAsia="宋体" w:cs="Times New Roman"/>
                <w:color w:val="auto"/>
                <w:kern w:val="0"/>
                <w:szCs w:val="21"/>
                <w:highlight w:val="none"/>
              </w:rPr>
              <w:t>年</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月</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日</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时</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分</w:t>
            </w:r>
          </w:p>
        </w:tc>
      </w:tr>
      <w:tr w14:paraId="6C0AEDA3">
        <w:tblPrEx>
          <w:tblCellMar>
            <w:top w:w="0" w:type="dxa"/>
            <w:left w:w="108" w:type="dxa"/>
            <w:bottom w:w="0" w:type="dxa"/>
            <w:right w:w="108" w:type="dxa"/>
          </w:tblCellMar>
        </w:tblPrEx>
        <w:trPr>
          <w:trHeight w:val="706" w:hRule="atLeast"/>
        </w:trPr>
        <w:tc>
          <w:tcPr>
            <w:tcW w:w="682" w:type="pct"/>
            <w:gridSpan w:val="2"/>
            <w:vMerge w:val="continue"/>
            <w:tcBorders>
              <w:left w:val="single" w:color="auto" w:sz="4" w:space="0"/>
              <w:bottom w:val="single" w:color="auto" w:sz="4" w:space="0"/>
              <w:right w:val="single" w:color="auto" w:sz="4" w:space="0"/>
            </w:tcBorders>
            <w:noWrap w:val="0"/>
            <w:vAlign w:val="center"/>
          </w:tcPr>
          <w:p w14:paraId="13B2189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0BA5FCAC">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bookmarkStart w:id="287" w:name="_Toc221950070"/>
            <w:r>
              <w:rPr>
                <w:rFonts w:ascii="Calibri" w:hAnsi="Calibri" w:eastAsia="宋体" w:cs="Times New Roman"/>
                <w:color w:val="auto"/>
                <w:szCs w:val="21"/>
                <w:highlight w:val="none"/>
              </w:rPr>
              <w:t>递交投标文件地点</w:t>
            </w:r>
            <w:bookmarkEnd w:id="287"/>
          </w:p>
        </w:tc>
        <w:tc>
          <w:tcPr>
            <w:tcW w:w="2902" w:type="pct"/>
            <w:tcBorders>
              <w:top w:val="single" w:color="auto" w:sz="4" w:space="0"/>
              <w:left w:val="single" w:color="auto" w:sz="4" w:space="0"/>
              <w:bottom w:val="single" w:color="auto" w:sz="4" w:space="0"/>
              <w:right w:val="single" w:color="auto" w:sz="4" w:space="0"/>
            </w:tcBorders>
            <w:noWrap w:val="0"/>
            <w:vAlign w:val="center"/>
          </w:tcPr>
          <w:p w14:paraId="3E1295DE">
            <w:pPr>
              <w:keepNext w:val="0"/>
              <w:keepLines w:val="0"/>
              <w:suppressLineNumbers w:val="0"/>
              <w:spacing w:before="0" w:beforeAutospacing="0" w:after="0" w:afterAutospacing="0" w:line="400" w:lineRule="exact"/>
              <w:ind w:left="0" w:right="0"/>
              <w:rPr>
                <w:rFonts w:ascii="Calibri" w:hAnsi="Calibri" w:eastAsia="宋体" w:cs="Times New Roman"/>
                <w:color w:val="auto"/>
                <w:kern w:val="0"/>
                <w:szCs w:val="21"/>
                <w:highlight w:val="none"/>
                <w:u w:val="single"/>
              </w:rPr>
            </w:pPr>
          </w:p>
        </w:tc>
      </w:tr>
      <w:tr w14:paraId="31DE9120">
        <w:tblPrEx>
          <w:tblCellMar>
            <w:top w:w="0" w:type="dxa"/>
            <w:left w:w="108" w:type="dxa"/>
            <w:bottom w:w="0" w:type="dxa"/>
            <w:right w:w="108" w:type="dxa"/>
          </w:tblCellMar>
        </w:tblPrEx>
        <w:trPr>
          <w:trHeight w:val="931" w:hRule="atLeast"/>
        </w:trPr>
        <w:tc>
          <w:tcPr>
            <w:tcW w:w="682" w:type="pct"/>
            <w:gridSpan w:val="2"/>
            <w:tcBorders>
              <w:top w:val="single" w:color="auto" w:sz="4" w:space="0"/>
              <w:left w:val="single" w:color="auto" w:sz="4" w:space="0"/>
              <w:right w:val="single" w:color="auto" w:sz="4" w:space="0"/>
            </w:tcBorders>
            <w:noWrap w:val="0"/>
            <w:vAlign w:val="center"/>
          </w:tcPr>
          <w:p w14:paraId="1F0A4711">
            <w:pPr>
              <w:keepNext w:val="0"/>
              <w:keepLines w:val="0"/>
              <w:suppressLineNumbers w:val="0"/>
              <w:spacing w:before="0" w:beforeAutospacing="0" w:after="0" w:afterAutospacing="0" w:line="40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5.1.</w:t>
            </w:r>
            <w:r>
              <w:rPr>
                <w:rFonts w:hint="eastAsia" w:ascii="Calibri" w:hAnsi="Calibri" w:eastAsia="宋体" w:cs="Times New Roman"/>
                <w:color w:val="auto"/>
                <w:szCs w:val="21"/>
                <w:highlight w:val="none"/>
              </w:rPr>
              <w:t>1</w:t>
            </w:r>
          </w:p>
        </w:tc>
        <w:tc>
          <w:tcPr>
            <w:tcW w:w="1415" w:type="pct"/>
            <w:gridSpan w:val="2"/>
            <w:tcBorders>
              <w:top w:val="single" w:color="auto" w:sz="4" w:space="0"/>
              <w:left w:val="single" w:color="auto" w:sz="4" w:space="0"/>
              <w:right w:val="single" w:color="auto" w:sz="4" w:space="0"/>
            </w:tcBorders>
            <w:noWrap w:val="0"/>
            <w:vAlign w:val="center"/>
          </w:tcPr>
          <w:p w14:paraId="6AFF5EF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组织</w:t>
            </w:r>
            <w:bookmarkStart w:id="288" w:name="_Toc221950072"/>
            <w:r>
              <w:rPr>
                <w:rFonts w:hint="eastAsia" w:ascii="宋体" w:hAnsi="宋体" w:eastAsia="宋体" w:cs="Times New Roman"/>
                <w:color w:val="auto"/>
                <w:szCs w:val="21"/>
                <w:highlight w:val="none"/>
              </w:rPr>
              <w:t>开标时间和地点</w:t>
            </w:r>
            <w:bookmarkEnd w:id="288"/>
          </w:p>
        </w:tc>
        <w:tc>
          <w:tcPr>
            <w:tcW w:w="2902" w:type="pct"/>
            <w:tcBorders>
              <w:top w:val="single" w:color="auto" w:sz="4" w:space="0"/>
              <w:left w:val="single" w:color="auto" w:sz="4" w:space="0"/>
              <w:right w:val="single" w:color="auto" w:sz="4" w:space="0"/>
            </w:tcBorders>
            <w:noWrap w:val="0"/>
            <w:vAlign w:val="center"/>
          </w:tcPr>
          <w:p w14:paraId="397CB8AA">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bookmarkStart w:id="289" w:name="_Toc221950073"/>
            <w:r>
              <w:rPr>
                <w:rFonts w:ascii="宋体" w:hAnsi="宋体" w:eastAsia="宋体" w:cs="Times New Roman"/>
                <w:color w:val="auto"/>
                <w:szCs w:val="21"/>
                <w:highlight w:val="none"/>
              </w:rPr>
              <w:t>时间</w:t>
            </w:r>
            <w:r>
              <w:rPr>
                <w:rFonts w:hint="eastAsia" w:ascii="宋体" w:hAnsi="宋体" w:eastAsia="宋体" w:cs="Times New Roman"/>
                <w:color w:val="auto"/>
                <w:szCs w:val="21"/>
                <w:highlight w:val="none"/>
              </w:rPr>
              <w:t>：</w:t>
            </w:r>
            <w:bookmarkEnd w:id="289"/>
            <w:r>
              <w:rPr>
                <w:rFonts w:hint="eastAsia" w:ascii="宋体" w:hAnsi="宋体" w:eastAsia="宋体" w:cs="Times New Roman"/>
                <w:color w:val="auto"/>
                <w:kern w:val="0"/>
                <w:szCs w:val="21"/>
                <w:highlight w:val="none"/>
              </w:rPr>
              <w:t>同投标截止时间</w:t>
            </w:r>
          </w:p>
          <w:p w14:paraId="0B1FB17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u w:val="single"/>
              </w:rPr>
            </w:pPr>
            <w:bookmarkStart w:id="290" w:name="_Toc221950074"/>
            <w:r>
              <w:rPr>
                <w:rFonts w:ascii="宋体" w:hAnsi="宋体" w:eastAsia="宋体" w:cs="Times New Roman"/>
                <w:color w:val="auto"/>
                <w:szCs w:val="21"/>
                <w:highlight w:val="none"/>
              </w:rPr>
              <w:t>地点</w:t>
            </w:r>
            <w:r>
              <w:rPr>
                <w:rFonts w:hint="eastAsia" w:ascii="宋体" w:hAnsi="宋体" w:eastAsia="宋体" w:cs="Times New Roman"/>
                <w:color w:val="auto"/>
                <w:szCs w:val="21"/>
                <w:highlight w:val="none"/>
              </w:rPr>
              <w:t>：</w:t>
            </w:r>
            <w:bookmarkEnd w:id="290"/>
            <w:r>
              <w:rPr>
                <w:rFonts w:hint="eastAsia" w:ascii="宋体" w:hAnsi="宋体" w:eastAsia="宋体" w:cs="Times New Roman"/>
                <w:color w:val="auto"/>
                <w:kern w:val="0"/>
                <w:szCs w:val="21"/>
                <w:highlight w:val="none"/>
              </w:rPr>
              <w:t>同递交投标文件地点</w:t>
            </w:r>
          </w:p>
        </w:tc>
      </w:tr>
      <w:tr w14:paraId="5FFC892C">
        <w:tblPrEx>
          <w:tblCellMar>
            <w:top w:w="0" w:type="dxa"/>
            <w:left w:w="108" w:type="dxa"/>
            <w:bottom w:w="0" w:type="dxa"/>
            <w:right w:w="108" w:type="dxa"/>
          </w:tblCellMar>
        </w:tblPrEx>
        <w:trPr>
          <w:trHeight w:val="1002"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E381918">
            <w:pPr>
              <w:keepNext w:val="0"/>
              <w:keepLines w:val="0"/>
              <w:suppressLineNumbers w:val="0"/>
              <w:tabs>
                <w:tab w:val="left" w:pos="1545"/>
              </w:tabs>
              <w:spacing w:before="78" w:beforeLines="25" w:beforeAutospacing="0" w:after="78" w:afterLines="25" w:afterAutospacing="0" w:line="260" w:lineRule="exact"/>
              <w:ind w:left="0" w:right="0" w:firstLine="420" w:firstLineChars="200"/>
              <w:rPr>
                <w:rFonts w:hint="eastAsia" w:ascii="Calibri" w:hAnsi="Calibri" w:eastAsia="宋体" w:cs="Times New Roman"/>
                <w:color w:val="auto"/>
                <w:highlight w:val="none"/>
              </w:rPr>
            </w:pPr>
            <w:r>
              <w:rPr>
                <w:rFonts w:hint="eastAsia" w:ascii="Calibri" w:hAnsi="Calibri" w:eastAsia="宋体" w:cs="Times New Roman"/>
                <w:color w:val="auto"/>
                <w:highlight w:val="none"/>
              </w:rPr>
              <w:t>5.1.2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41B89F2B">
            <w:pPr>
              <w:keepNext w:val="0"/>
              <w:keepLines w:val="0"/>
              <w:suppressLineNumbers w:val="0"/>
              <w:spacing w:before="0" w:beforeAutospacing="0" w:after="0" w:afterAutospacing="0" w:line="40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出席开标会</w:t>
            </w:r>
          </w:p>
          <w:p w14:paraId="58408373">
            <w:pPr>
              <w:keepNext w:val="0"/>
              <w:keepLines w:val="0"/>
              <w:suppressLineNumbers w:val="0"/>
              <w:spacing w:before="0" w:beforeAutospacing="0" w:after="0" w:afterAutospacing="0" w:line="40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投标人代表身份要求</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11C7EF76">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投标人代表须出席开标会并签署开标情况记录表等文件，投标人代表身份要求如下：</w:t>
            </w:r>
          </w:p>
          <w:p w14:paraId="202A9565">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r>
              <w:rPr>
                <w:rFonts w:hint="eastAsia" w:ascii="宋体" w:hAnsi="宋体" w:eastAsia="宋体" w:cs="Times New Roman"/>
                <w:color w:val="auto"/>
                <w:kern w:val="0"/>
                <w:szCs w:val="21"/>
                <w:highlight w:val="none"/>
              </w:rPr>
              <w:t>出席开标会的投标人代表须为投标人法定代表人或法定代表人授权的委托代理人。投标人的法定代表人或其委托代理人须携带本人二代身份证（原件）及有效的法定代表人证明（原件）或有效的委托书（原件）。</w:t>
            </w:r>
          </w:p>
        </w:tc>
      </w:tr>
      <w:tr w14:paraId="4B80597A">
        <w:tblPrEx>
          <w:tblCellMar>
            <w:top w:w="0" w:type="dxa"/>
            <w:left w:w="108" w:type="dxa"/>
            <w:bottom w:w="0" w:type="dxa"/>
            <w:right w:w="108" w:type="dxa"/>
          </w:tblCellMar>
        </w:tblPrEx>
        <w:trPr>
          <w:trHeight w:val="1401"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39ED3C39">
            <w:pPr>
              <w:keepNext w:val="0"/>
              <w:keepLines w:val="0"/>
              <w:suppressLineNumbers w:val="0"/>
              <w:spacing w:before="0" w:beforeAutospacing="0" w:after="0" w:afterAutospacing="0" w:line="40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5.2.1（4）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52D57050">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每份投标文件解密时间</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484E04EB">
            <w:pPr>
              <w:pStyle w:val="16"/>
              <w:keepNext w:val="0"/>
              <w:keepLines w:val="0"/>
              <w:suppressLineNumbers w:val="0"/>
              <w:topLinePunct/>
              <w:spacing w:before="156" w:beforeAutospacing="0" w:after="0" w:afterAutospacing="0" w:line="400" w:lineRule="exact"/>
              <w:ind w:left="0" w:right="0"/>
              <w:rPr>
                <w:rFonts w:hint="eastAsia" w:hAnsi="宋体" w:eastAsia="宋体" w:cs="Times New Roman"/>
                <w:color w:val="auto"/>
                <w:kern w:val="0"/>
                <w:szCs w:val="21"/>
                <w:highlight w:val="none"/>
              </w:rPr>
            </w:pPr>
            <w:r>
              <w:rPr>
                <w:rFonts w:hint="eastAsia" w:hAnsi="宋体" w:eastAsia="宋体" w:cs="Times New Roman"/>
                <w:color w:val="auto"/>
                <w:szCs w:val="21"/>
                <w:highlight w:val="none"/>
              </w:rPr>
              <w:t>□</w:t>
            </w:r>
            <w:r>
              <w:rPr>
                <w:rFonts w:hint="eastAsia" w:hAnsi="宋体" w:eastAsia="宋体" w:cs="Times New Roman"/>
                <w:color w:val="auto"/>
                <w:kern w:val="0"/>
                <w:szCs w:val="21"/>
                <w:highlight w:val="none"/>
              </w:rPr>
              <w:t>“不见面”开标会解密时间为招标人发出解密提示后30分钟内；</w:t>
            </w:r>
          </w:p>
          <w:p w14:paraId="7589D8BC">
            <w:pPr>
              <w:pStyle w:val="16"/>
              <w:keepNext w:val="0"/>
              <w:keepLines w:val="0"/>
              <w:suppressLineNumbers w:val="0"/>
              <w:topLinePunct/>
              <w:spacing w:before="156" w:beforeAutospacing="0" w:after="0" w:afterAutospacing="0" w:line="400" w:lineRule="exact"/>
              <w:ind w:left="0" w:right="0"/>
              <w:rPr>
                <w:rFonts w:hAnsi="宋体" w:eastAsia="宋体" w:cs="Times New Roman"/>
                <w:color w:val="auto"/>
                <w:kern w:val="0"/>
                <w:sz w:val="21"/>
                <w:szCs w:val="21"/>
                <w:highlight w:val="none"/>
              </w:rPr>
            </w:pPr>
            <w:r>
              <w:rPr>
                <w:rFonts w:hint="eastAsia" w:hAnsi="宋体" w:eastAsia="宋体" w:cs="Times New Roman"/>
                <w:color w:val="auto"/>
                <w:szCs w:val="21"/>
                <w:highlight w:val="none"/>
              </w:rPr>
              <w:t>□</w:t>
            </w:r>
            <w:r>
              <w:rPr>
                <w:rFonts w:hint="eastAsia" w:hAnsi="宋体" w:eastAsia="宋体" w:cs="Times New Roman"/>
                <w:color w:val="auto"/>
                <w:kern w:val="0"/>
                <w:szCs w:val="21"/>
                <w:highlight w:val="none"/>
              </w:rPr>
              <w:t>现场开标会每份投标文件解密时间为___分钟</w:t>
            </w:r>
            <w:r>
              <w:rPr>
                <w:rFonts w:hint="eastAsia" w:hAnsi="宋体" w:eastAsia="宋体" w:cs="Times New Roman"/>
                <w:color w:val="auto"/>
                <w:szCs w:val="21"/>
                <w:highlight w:val="none"/>
              </w:rPr>
              <w:t>(一般不少于15分钟)。</w:t>
            </w:r>
            <w:r>
              <w:rPr>
                <w:rFonts w:hint="eastAsia" w:hAnsi="宋体" w:eastAsia="宋体" w:cs="Times New Roman"/>
                <w:color w:val="auto"/>
                <w:kern w:val="0"/>
                <w:szCs w:val="21"/>
                <w:highlight w:val="none"/>
              </w:rPr>
              <w:t>。</w:t>
            </w:r>
          </w:p>
        </w:tc>
      </w:tr>
      <w:tr w14:paraId="4B0E773A">
        <w:tblPrEx>
          <w:tblCellMar>
            <w:top w:w="0" w:type="dxa"/>
            <w:left w:w="108" w:type="dxa"/>
            <w:bottom w:w="0" w:type="dxa"/>
            <w:right w:w="108" w:type="dxa"/>
          </w:tblCellMar>
        </w:tblPrEx>
        <w:trPr>
          <w:trHeight w:val="55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2E0F386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6.1.1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B614C85">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评标委员会的组建</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7524431A">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本项目共</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个标段，共组建</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组评标委员会；</w:t>
            </w:r>
          </w:p>
          <w:p w14:paraId="5A325FF7">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第</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组评标委员会</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人（专业</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），其中招标人代表</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人，评审第</w:t>
            </w:r>
            <w:r>
              <w:rPr>
                <w:rFonts w:ascii="Calibri" w:hAnsi="Calibri" w:eastAsia="宋体" w:cs="Times New Roman"/>
                <w:color w:val="auto"/>
                <w:szCs w:val="21"/>
                <w:highlight w:val="none"/>
              </w:rPr>
              <w:t>_____</w:t>
            </w:r>
            <w:r>
              <w:rPr>
                <w:rFonts w:hint="eastAsia" w:ascii="Calibri" w:hAnsi="Calibri" w:eastAsia="宋体" w:cs="Times New Roman"/>
                <w:color w:val="auto"/>
                <w:szCs w:val="21"/>
                <w:highlight w:val="none"/>
              </w:rPr>
              <w:t>标段；</w:t>
            </w:r>
          </w:p>
          <w:p w14:paraId="18CC1FE0">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p w14:paraId="15A5BFD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评标专家确定方式：从湖北省/武汉市综合评标专家库相应专业中随机抽取产生。</w:t>
            </w:r>
          </w:p>
        </w:tc>
      </w:tr>
      <w:tr w14:paraId="506AA4C8">
        <w:tblPrEx>
          <w:tblCellMar>
            <w:top w:w="0" w:type="dxa"/>
            <w:left w:w="108" w:type="dxa"/>
            <w:bottom w:w="0" w:type="dxa"/>
            <w:right w:w="108" w:type="dxa"/>
          </w:tblCellMar>
        </w:tblPrEx>
        <w:trPr>
          <w:trHeight w:val="880" w:hRule="atLeast"/>
        </w:trPr>
        <w:tc>
          <w:tcPr>
            <w:tcW w:w="680" w:type="pct"/>
            <w:tcBorders>
              <w:top w:val="single" w:color="auto" w:sz="4" w:space="0"/>
              <w:left w:val="single" w:color="auto" w:sz="4" w:space="0"/>
              <w:bottom w:val="single" w:color="auto" w:sz="4" w:space="0"/>
              <w:right w:val="single" w:color="auto" w:sz="4" w:space="0"/>
            </w:tcBorders>
            <w:noWrap w:val="0"/>
            <w:vAlign w:val="center"/>
          </w:tcPr>
          <w:p w14:paraId="0E81A653">
            <w:pPr>
              <w:keepNext w:val="0"/>
              <w:keepLines w:val="0"/>
              <w:suppressLineNumbers w:val="0"/>
              <w:spacing w:before="0" w:beforeAutospacing="0" w:after="0" w:afterAutospacing="0" w:line="400" w:lineRule="exact"/>
              <w:ind w:left="0" w:leftChars="0" w:right="0" w:rightChars="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6.3.2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BD8F3C4">
            <w:pPr>
              <w:keepNext w:val="0"/>
              <w:keepLines w:val="0"/>
              <w:suppressLineNumbers w:val="0"/>
              <w:spacing w:before="0" w:beforeAutospacing="0" w:after="0" w:afterAutospacing="0" w:line="400" w:lineRule="exact"/>
              <w:ind w:left="0" w:leftChars="0" w:right="0" w:rightChars="0"/>
              <w:jc w:val="left"/>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评标委员会推荐中标候选人的人数</w:t>
            </w:r>
          </w:p>
        </w:tc>
        <w:tc>
          <w:tcPr>
            <w:tcW w:w="2904" w:type="pct"/>
            <w:gridSpan w:val="2"/>
            <w:tcBorders>
              <w:top w:val="single" w:color="auto" w:sz="4" w:space="0"/>
              <w:left w:val="single" w:color="auto" w:sz="4" w:space="0"/>
              <w:bottom w:val="single" w:color="auto" w:sz="4" w:space="0"/>
              <w:right w:val="single" w:color="auto" w:sz="4" w:space="0"/>
            </w:tcBorders>
            <w:noWrap w:val="0"/>
            <w:vAlign w:val="center"/>
          </w:tcPr>
          <w:p w14:paraId="4C40732C">
            <w:pPr>
              <w:keepNext w:val="0"/>
              <w:keepLines w:val="0"/>
              <w:suppressLineNumbers w:val="0"/>
              <w:adjustRightInd w:val="0"/>
              <w:snapToGrid w:val="0"/>
              <w:spacing w:before="0" w:beforeAutospacing="0" w:after="0" w:afterAutospacing="0"/>
              <w:ind w:left="0" w:leftChars="0" w:right="0" w:rightChars="0"/>
              <w:jc w:val="left"/>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“综合评估法”根据得分高低确定中标候选人。</w:t>
            </w:r>
          </w:p>
          <w:p w14:paraId="6C999B10">
            <w:pPr>
              <w:keepNext w:val="0"/>
              <w:keepLines w:val="0"/>
              <w:suppressLineNumbers w:val="0"/>
              <w:adjustRightInd w:val="0"/>
              <w:snapToGrid w:val="0"/>
              <w:spacing w:before="0" w:beforeAutospacing="0" w:after="0" w:afterAutospacing="0"/>
              <w:ind w:left="0" w:leftChars="0" w:right="0" w:rightChars="0"/>
              <w:jc w:val="left"/>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w:t>
            </w:r>
            <w:r>
              <w:rPr>
                <w:rFonts w:hint="eastAsia"/>
                <w:color w:val="auto"/>
                <w:highlight w:val="none"/>
              </w:rPr>
              <w:t>经评审的最低投标价法</w:t>
            </w:r>
            <w:r>
              <w:rPr>
                <w:rFonts w:hint="eastAsia"/>
                <w:color w:val="auto"/>
                <w:highlight w:val="none"/>
                <w:lang w:eastAsia="zh-CN"/>
              </w:rPr>
              <w:t>”</w:t>
            </w:r>
            <w:r>
              <w:rPr>
                <w:rFonts w:hint="eastAsia"/>
                <w:color w:val="auto"/>
                <w:highlight w:val="none"/>
              </w:rPr>
              <w:t>按照经评审的投标价由低到高的顺序推荐中标候选人</w:t>
            </w:r>
            <w:r>
              <w:rPr>
                <w:rFonts w:hint="eastAsia"/>
                <w:color w:val="auto"/>
                <w:highlight w:val="none"/>
                <w:lang w:eastAsia="zh-CN"/>
              </w:rPr>
              <w:t>。</w:t>
            </w:r>
          </w:p>
          <w:p w14:paraId="5ADB7A89">
            <w:pPr>
              <w:keepNext w:val="0"/>
              <w:keepLines w:val="0"/>
              <w:suppressLineNumbers w:val="0"/>
              <w:adjustRightInd w:val="0"/>
              <w:snapToGrid w:val="0"/>
              <w:spacing w:before="0" w:beforeAutospacing="0" w:after="0" w:afterAutospacing="0"/>
              <w:ind w:left="0" w:leftChars="0" w:right="0" w:rightChars="0"/>
              <w:jc w:val="left"/>
              <w:rPr>
                <w:rFonts w:hint="eastAsia" w:ascii="Calibri" w:hAnsi="Calibri" w:eastAsia="宋体" w:cs="Times New Roman"/>
                <w:color w:val="auto"/>
                <w:kern w:val="2"/>
                <w:sz w:val="21"/>
                <w:szCs w:val="21"/>
                <w:highlight w:val="none"/>
                <w:lang w:val="en-US" w:eastAsia="zh-CN" w:bidi="ar-SA"/>
              </w:rPr>
            </w:pPr>
            <w:r>
              <w:rPr>
                <w:rFonts w:hint="eastAsia" w:ascii="宋体" w:hAnsi="宋体" w:cs="Times New Roman"/>
                <w:color w:val="auto"/>
                <w:szCs w:val="21"/>
                <w:highlight w:val="none"/>
                <w:lang w:val="en-US" w:eastAsia="zh-CN"/>
              </w:rPr>
              <w:t>推荐的中标候选人数：投标人数量少于或等于 10 家时，评标委员会推荐的中标候选人数量不超过3 家，投标人数量多于10 家时，推荐的中标候选人数量不超过5 家。</w:t>
            </w:r>
          </w:p>
        </w:tc>
      </w:tr>
      <w:tr w14:paraId="238B29F7">
        <w:tblPrEx>
          <w:tblCellMar>
            <w:top w:w="0" w:type="dxa"/>
            <w:left w:w="108" w:type="dxa"/>
            <w:bottom w:w="0" w:type="dxa"/>
            <w:right w:w="108" w:type="dxa"/>
          </w:tblCellMar>
        </w:tblPrEx>
        <w:trPr>
          <w:trHeight w:val="880"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AEAC238">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6.4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46D2D3A">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中标公示</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3BD0BCB">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武汉市公共资源交易平台招标投标交易系统</w:t>
            </w:r>
          </w:p>
          <w:p w14:paraId="26951A2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网址：</w:t>
            </w:r>
            <w:r>
              <w:rPr>
                <w:rFonts w:ascii="Calibri" w:hAnsi="Calibri" w:eastAsia="宋体" w:cs="Times New Roman"/>
                <w:color w:val="auto"/>
                <w:highlight w:val="none"/>
              </w:rPr>
              <w:fldChar w:fldCharType="begin"/>
            </w:r>
            <w:r>
              <w:rPr>
                <w:rFonts w:ascii="Calibri" w:hAnsi="Calibri" w:eastAsia="宋体" w:cs="Times New Roman"/>
                <w:color w:val="auto"/>
                <w:highlight w:val="none"/>
              </w:rPr>
              <w:instrText xml:space="preserve"> HYPERLINK "https://www.whzbtb.com" </w:instrText>
            </w:r>
            <w:r>
              <w:rPr>
                <w:rFonts w:ascii="Calibri" w:hAnsi="Calibri" w:eastAsia="宋体" w:cs="Times New Roman"/>
                <w:color w:val="auto"/>
                <w:highlight w:val="none"/>
              </w:rPr>
              <w:fldChar w:fldCharType="separate"/>
            </w:r>
            <w:r>
              <w:rPr>
                <w:rStyle w:val="43"/>
                <w:rFonts w:ascii="Calibri" w:hAnsi="Calibri" w:eastAsia="宋体" w:cs="Times New Roman"/>
                <w:color w:val="auto"/>
                <w:highlight w:val="none"/>
              </w:rPr>
              <w:t>https://</w:t>
            </w:r>
            <w:r>
              <w:rPr>
                <w:rStyle w:val="43"/>
                <w:rFonts w:hint="eastAsia" w:ascii="Calibri" w:hAnsi="Calibri" w:eastAsia="宋体" w:cs="Times New Roman"/>
                <w:color w:val="auto"/>
                <w:highlight w:val="none"/>
              </w:rPr>
              <w:t>www.whzbtbxt.cn</w:t>
            </w:r>
            <w:r>
              <w:rPr>
                <w:rFonts w:ascii="Calibri" w:hAnsi="Calibri" w:eastAsia="宋体" w:cs="Times New Roman"/>
                <w:color w:val="auto"/>
                <w:highlight w:val="none"/>
              </w:rPr>
              <w:fldChar w:fldCharType="end"/>
            </w:r>
          </w:p>
        </w:tc>
      </w:tr>
      <w:tr w14:paraId="1BAAB4BF">
        <w:tblPrEx>
          <w:tblCellMar>
            <w:top w:w="0" w:type="dxa"/>
            <w:left w:w="108" w:type="dxa"/>
            <w:bottom w:w="0" w:type="dxa"/>
            <w:right w:w="108" w:type="dxa"/>
          </w:tblCellMar>
        </w:tblPrEx>
        <w:trPr>
          <w:trHeight w:val="1107"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58E8F877">
            <w:pPr>
              <w:keepNext w:val="0"/>
              <w:keepLines w:val="0"/>
              <w:suppressLineNumbers w:val="0"/>
              <w:spacing w:before="0" w:beforeAutospacing="0" w:after="0" w:afterAutospacing="0" w:line="400" w:lineRule="exact"/>
              <w:ind w:left="0" w:leftChars="0" w:right="0" w:rightChars="0"/>
              <w:jc w:val="center"/>
              <w:rPr>
                <w:rFonts w:ascii="Calibri" w:hAnsi="Calibri" w:eastAsia="宋体" w:cs="Times New Roman"/>
                <w:color w:val="auto"/>
                <w:szCs w:val="21"/>
                <w:highlight w:val="none"/>
              </w:rPr>
            </w:pPr>
            <w:r>
              <w:rPr>
                <w:rFonts w:hint="eastAsia" w:ascii="Calibri" w:hAnsi="Calibri" w:cs="Times New Roman"/>
                <w:color w:val="auto"/>
                <w:szCs w:val="21"/>
                <w:highlight w:val="none"/>
                <w:lang w:val="en-US" w:eastAsia="zh-CN"/>
              </w:rPr>
              <w:t>7.1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2FAED716">
            <w:pPr>
              <w:keepNext w:val="0"/>
              <w:keepLines w:val="0"/>
              <w:suppressLineNumbers w:val="0"/>
              <w:spacing w:before="0" w:beforeAutospacing="0" w:after="0" w:afterAutospacing="0" w:line="400" w:lineRule="exact"/>
              <w:ind w:left="0" w:leftChars="0" w:right="0" w:rightChars="0"/>
              <w:jc w:val="left"/>
              <w:rPr>
                <w:rFonts w:ascii="Calibri" w:hAnsi="Calibri" w:eastAsia="宋体" w:cs="Times New Roman"/>
                <w:color w:val="auto"/>
                <w:szCs w:val="21"/>
                <w:highlight w:val="none"/>
              </w:rPr>
            </w:pPr>
            <w:r>
              <w:rPr>
                <w:rFonts w:hint="eastAsia" w:ascii="Calibri" w:hAnsi="Calibri" w:cs="Times New Roman"/>
                <w:color w:val="auto"/>
                <w:szCs w:val="21"/>
                <w:highlight w:val="none"/>
                <w:lang w:val="en-US" w:eastAsia="zh-CN"/>
              </w:rPr>
              <w:t>定标规则</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FE706AB">
            <w:pPr>
              <w:keepNext w:val="0"/>
              <w:keepLines w:val="0"/>
              <w:suppressLineNumbers w:val="0"/>
              <w:spacing w:before="0" w:beforeAutospacing="0" w:after="0" w:afterAutospacing="0" w:line="440" w:lineRule="exact"/>
              <w:ind w:left="0" w:right="0"/>
              <w:jc w:val="left"/>
              <w:rPr>
                <w:rFonts w:hint="eastAsia" w:ascii="Calibri" w:hAnsi="Calibri" w:cs="Times New Roman"/>
                <w:color w:val="auto"/>
                <w:highlight w:val="none"/>
                <w:lang w:val="en-US" w:eastAsia="zh-CN"/>
              </w:rPr>
            </w:pPr>
            <w:r>
              <w:rPr>
                <w:rFonts w:hint="eastAsia" w:ascii="Calibri" w:hAnsi="Calibri" w:cs="Times New Roman"/>
                <w:color w:val="auto"/>
                <w:highlight w:val="none"/>
                <w:lang w:val="en-US" w:eastAsia="zh-CN"/>
              </w:rPr>
              <w:t>1.定标办法：</w:t>
            </w:r>
          </w:p>
          <w:p w14:paraId="344D3C97">
            <w:pPr>
              <w:keepNext w:val="0"/>
              <w:keepLines w:val="0"/>
              <w:suppressLineNumbers w:val="0"/>
              <w:spacing w:before="0" w:beforeAutospacing="0" w:after="0" w:afterAutospacing="0"/>
              <w:ind w:left="0" w:right="0"/>
              <w:rPr>
                <w:rFonts w:hint="default" w:ascii="Times New Roman" w:hAnsi="Times New Roman" w:eastAsia="宋体"/>
                <w:color w:val="000000" w:themeColor="text1"/>
                <w:szCs w:val="24"/>
                <w:highlight w:val="none"/>
                <w:lang w:val="en-US" w:eastAsia="zh-CN"/>
                <w14:textFill>
                  <w14:solidFill>
                    <w14:schemeClr w14:val="tx1"/>
                  </w14:solidFill>
                </w14:textFill>
              </w:rPr>
            </w:pPr>
            <w:r>
              <w:rPr>
                <w:rFonts w:hint="eastAsia" w:ascii="Times New Roman" w:hAnsi="Times New Roman"/>
                <w:color w:val="000000" w:themeColor="text1"/>
                <w:szCs w:val="24"/>
                <w:highlight w:val="none"/>
                <w14:textFill>
                  <w14:solidFill>
                    <w14:schemeClr w14:val="tx1"/>
                  </w14:solidFill>
                </w14:textFill>
              </w:rPr>
              <w:sym w:font="Wingdings 2" w:char="00A3"/>
            </w:r>
            <w:r>
              <w:rPr>
                <w:rFonts w:hint="eastAsia" w:ascii="Times New Roman" w:hAnsi="Times New Roman"/>
                <w:color w:val="000000" w:themeColor="text1"/>
                <w:szCs w:val="24"/>
                <w:highlight w:val="none"/>
                <w14:textFill>
                  <w14:solidFill>
                    <w14:schemeClr w14:val="tx1"/>
                  </w14:solidFill>
                </w14:textFill>
              </w:rPr>
              <w:t>票决</w:t>
            </w:r>
            <w:r>
              <w:rPr>
                <w:rFonts w:hint="eastAsia"/>
                <w:color w:val="000000" w:themeColor="text1"/>
                <w:szCs w:val="24"/>
                <w:highlight w:val="none"/>
                <w:lang w:val="en-US" w:eastAsia="zh-CN"/>
                <w14:textFill>
                  <w14:solidFill>
                    <w14:schemeClr w14:val="tx1"/>
                  </w14:solidFill>
                </w14:textFill>
              </w:rPr>
              <w:t>定标法</w:t>
            </w:r>
          </w:p>
          <w:p w14:paraId="3C80498E">
            <w:pPr>
              <w:pStyle w:val="2"/>
              <w:keepNext w:val="0"/>
              <w:keepLines w:val="0"/>
              <w:suppressLineNumbers w:val="0"/>
              <w:spacing w:before="0" w:beforeAutospacing="0" w:afterAutospacing="0"/>
              <w:ind w:left="0" w:right="0"/>
              <w:rPr>
                <w:highlight w:val="none"/>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3E05DF7F">
            <w:pPr>
              <w:keepNext w:val="0"/>
              <w:keepLines w:val="0"/>
              <w:suppressLineNumbers w:val="0"/>
              <w:spacing w:before="0" w:beforeAutospacing="0" w:after="0" w:afterAutospacing="0"/>
              <w:ind w:left="0" w:right="0"/>
              <w:rPr>
                <w:rFonts w:hint="default" w:ascii="Times New Roman" w:hAnsi="Times New Roman" w:eastAsia="宋体"/>
                <w:color w:val="000000" w:themeColor="text1"/>
                <w:szCs w:val="24"/>
                <w:highlight w:val="none"/>
                <w:lang w:val="en-US" w:eastAsia="zh-CN"/>
                <w14:textFill>
                  <w14:solidFill>
                    <w14:schemeClr w14:val="tx1"/>
                  </w14:solidFill>
                </w14:textFill>
              </w:rPr>
            </w:pPr>
            <w:r>
              <w:rPr>
                <w:rFonts w:hint="eastAsia" w:ascii="Times New Roman" w:hAnsi="Times New Roman"/>
                <w:color w:val="000000" w:themeColor="text1"/>
                <w:szCs w:val="24"/>
                <w:highlight w:val="none"/>
                <w14:textFill>
                  <w14:solidFill>
                    <w14:schemeClr w14:val="tx1"/>
                  </w14:solidFill>
                </w14:textFill>
              </w:rPr>
              <w:t>□集体议事</w:t>
            </w:r>
            <w:r>
              <w:rPr>
                <w:rFonts w:hint="eastAsia"/>
                <w:color w:val="000000" w:themeColor="text1"/>
                <w:szCs w:val="24"/>
                <w:highlight w:val="none"/>
                <w:lang w:val="en-US" w:eastAsia="zh-CN"/>
                <w14:textFill>
                  <w14:solidFill>
                    <w14:schemeClr w14:val="tx1"/>
                  </w14:solidFill>
                </w14:textFill>
              </w:rPr>
              <w:t>定标法</w:t>
            </w:r>
          </w:p>
          <w:p w14:paraId="32A84839">
            <w:pPr>
              <w:pStyle w:val="2"/>
              <w:keepNext w:val="0"/>
              <w:keepLines w:val="0"/>
              <w:suppressLineNumbers w:val="0"/>
              <w:spacing w:before="0" w:beforeAutospacing="0" w:afterAutospacing="0"/>
              <w:ind w:left="0" w:right="0"/>
              <w:rPr>
                <w:highlight w:val="none"/>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140907FE">
            <w:pPr>
              <w:keepNext w:val="0"/>
              <w:keepLines w:val="0"/>
              <w:suppressLineNumbers w:val="0"/>
              <w:spacing w:before="0" w:beforeAutospacing="0" w:after="0" w:afterAutospacing="0"/>
              <w:ind w:left="0" w:right="0"/>
              <w:rPr>
                <w:rFonts w:hint="default" w:ascii="Times New Roman" w:hAnsi="Times New Roman" w:eastAsia="宋体"/>
                <w:color w:val="000000" w:themeColor="text1"/>
                <w:szCs w:val="24"/>
                <w:highlight w:val="none"/>
                <w:lang w:val="en-US" w:eastAsia="zh-CN"/>
                <w14:textFill>
                  <w14:solidFill>
                    <w14:schemeClr w14:val="tx1"/>
                  </w14:solidFill>
                </w14:textFill>
              </w:rPr>
            </w:pPr>
            <w:r>
              <w:rPr>
                <w:rFonts w:hint="eastAsia" w:ascii="Times New Roman" w:hAnsi="Times New Roman"/>
                <w:color w:val="000000" w:themeColor="text1"/>
                <w:szCs w:val="24"/>
                <w:highlight w:val="none"/>
                <w14:textFill>
                  <w14:solidFill>
                    <w14:schemeClr w14:val="tx1"/>
                  </w14:solidFill>
                </w14:textFill>
              </w:rPr>
              <w:t>□价格竞争</w:t>
            </w:r>
            <w:r>
              <w:rPr>
                <w:rFonts w:hint="eastAsia"/>
                <w:color w:val="000000" w:themeColor="text1"/>
                <w:szCs w:val="24"/>
                <w:highlight w:val="none"/>
                <w:lang w:val="en-US" w:eastAsia="zh-CN"/>
                <w14:textFill>
                  <w14:solidFill>
                    <w14:schemeClr w14:val="tx1"/>
                  </w14:solidFill>
                </w14:textFill>
              </w:rPr>
              <w:t>定标法</w:t>
            </w:r>
          </w:p>
          <w:p w14:paraId="18B94D0D">
            <w:pPr>
              <w:pStyle w:val="2"/>
              <w:keepNext w:val="0"/>
              <w:keepLines w:val="0"/>
              <w:suppressLineNumbers w:val="0"/>
              <w:spacing w:before="0" w:beforeAutospacing="0" w:afterAutospacing="0"/>
              <w:ind w:left="0" w:right="0"/>
              <w:rPr>
                <w:rFonts w:hint="eastAsia" w:ascii="Calibri" w:hAnsi="Calibri" w:eastAsia="宋体" w:cs="Times New Roman"/>
                <w:color w:val="auto"/>
                <w:highlight w:val="none"/>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2FB7F050">
            <w:pPr>
              <w:keepNext w:val="0"/>
              <w:keepLines w:val="0"/>
              <w:suppressLineNumbers w:val="0"/>
              <w:spacing w:before="0" w:beforeAutospacing="0" w:after="0" w:afterAutospacing="0" w:line="440" w:lineRule="exact"/>
              <w:ind w:left="0" w:right="0"/>
              <w:jc w:val="left"/>
              <w:rPr>
                <w:rFonts w:hint="eastAsia" w:ascii="Calibri" w:hAnsi="Calibri" w:cs="Times New Roman"/>
                <w:color w:val="auto"/>
                <w:highlight w:val="none"/>
                <w:lang w:val="en-US" w:eastAsia="zh-CN"/>
              </w:rPr>
            </w:pPr>
            <w:r>
              <w:rPr>
                <w:rFonts w:hint="eastAsia" w:ascii="Calibri" w:hAnsi="Calibri" w:cs="Times New Roman"/>
                <w:color w:val="auto"/>
                <w:highlight w:val="none"/>
                <w:lang w:val="en-US" w:eastAsia="zh-CN"/>
              </w:rPr>
              <w:t>2.定标要素：</w:t>
            </w:r>
          </w:p>
          <w:p w14:paraId="46AC0B8A">
            <w:pPr>
              <w:pStyle w:val="2"/>
              <w:keepNext w:val="0"/>
              <w:keepLines w:val="0"/>
              <w:suppressLineNumbers w:val="0"/>
              <w:spacing w:before="0" w:beforeAutospacing="0" w:afterAutospacing="0"/>
              <w:ind w:left="0" w:right="0"/>
              <w:rPr>
                <w:rFonts w:hint="eastAsia" w:ascii="宋体" w:hAnsi="宋体" w:eastAsia="宋体" w:cs="Times New Roman"/>
                <w:color w:val="auto"/>
                <w:szCs w:val="21"/>
                <w:highlight w:val="none"/>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366584C2">
            <w:pPr>
              <w:keepNext w:val="0"/>
              <w:keepLines w:val="0"/>
              <w:suppressLineNumbers w:val="0"/>
              <w:spacing w:before="0" w:beforeAutospacing="0" w:after="0" w:afterAutospacing="0" w:line="440" w:lineRule="exact"/>
              <w:ind w:left="0" w:right="0"/>
              <w:jc w:val="left"/>
              <w:rPr>
                <w:rFonts w:hint="eastAsia" w:ascii="宋体" w:hAnsi="宋体" w:cs="Times New Roman"/>
                <w:color w:val="auto"/>
                <w:szCs w:val="21"/>
                <w:highlight w:val="none"/>
                <w:lang w:eastAsia="zh-CN"/>
              </w:rPr>
            </w:pPr>
            <w:r>
              <w:rPr>
                <w:rFonts w:hint="eastAsia" w:ascii="Calibri" w:hAnsi="Calibri" w:cs="Times New Roman"/>
                <w:color w:val="auto"/>
                <w:highlight w:val="none"/>
                <w:lang w:val="en-US" w:eastAsia="zh-CN"/>
              </w:rPr>
              <w:t>3</w:t>
            </w:r>
            <w:r>
              <w:rPr>
                <w:rFonts w:hint="eastAsia" w:ascii="Calibri" w:hAnsi="Calibri" w:eastAsia="宋体" w:cs="Times New Roman"/>
                <w:color w:val="auto"/>
                <w:highlight w:val="none"/>
              </w:rPr>
              <w:t>.</w:t>
            </w:r>
            <w:r>
              <w:rPr>
                <w:rFonts w:hint="eastAsia" w:ascii="宋体" w:hAnsi="宋体" w:eastAsia="宋体" w:cs="Times New Roman"/>
                <w:color w:val="auto"/>
                <w:szCs w:val="21"/>
                <w:highlight w:val="none"/>
              </w:rPr>
              <w:t>定标过程中核验与考察的</w:t>
            </w:r>
            <w:r>
              <w:rPr>
                <w:rFonts w:hint="eastAsia" w:ascii="宋体" w:hAnsi="宋体" w:cs="Times New Roman"/>
                <w:color w:val="auto"/>
                <w:szCs w:val="21"/>
                <w:highlight w:val="none"/>
                <w:lang w:val="en-US" w:eastAsia="zh-CN"/>
              </w:rPr>
              <w:t>内容</w:t>
            </w:r>
            <w:r>
              <w:rPr>
                <w:rFonts w:hint="eastAsia" w:ascii="宋体" w:hAnsi="宋体" w:cs="Times New Roman"/>
                <w:color w:val="auto"/>
                <w:szCs w:val="21"/>
                <w:highlight w:val="none"/>
                <w:lang w:eastAsia="zh-CN"/>
              </w:rPr>
              <w:t>：</w:t>
            </w:r>
          </w:p>
          <w:p w14:paraId="084B6319">
            <w:pPr>
              <w:keepNext w:val="0"/>
              <w:keepLines w:val="0"/>
              <w:suppressLineNumbers w:val="0"/>
              <w:spacing w:before="0" w:beforeAutospacing="0" w:after="0" w:afterAutospacing="0" w:line="440" w:lineRule="exact"/>
              <w:ind w:left="0" w:right="0"/>
              <w:jc w:val="left"/>
              <w:rPr>
                <w:rFonts w:hint="eastAsia" w:ascii="宋体" w:hAnsi="宋体" w:eastAsia="宋体" w:cs="Times New Roman"/>
                <w:color w:val="auto"/>
                <w:szCs w:val="21"/>
                <w:highlight w:val="none"/>
                <w:lang w:eastAsia="zh-CN"/>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160F48CE">
            <w:pPr>
              <w:keepNext w:val="0"/>
              <w:keepLines w:val="0"/>
              <w:numPr>
                <w:ilvl w:val="0"/>
                <w:numId w:val="0"/>
              </w:numPr>
              <w:suppressLineNumbers w:val="0"/>
              <w:spacing w:before="0" w:beforeAutospacing="0" w:after="0" w:afterAutospacing="0" w:line="440" w:lineRule="exact"/>
              <w:ind w:left="0" w:leftChars="0" w:right="0" w:rightChars="0"/>
              <w:jc w:val="left"/>
              <w:rPr>
                <w:rFonts w:hint="eastAsia" w:ascii="宋体" w:hAnsi="宋体" w:eastAsia="宋体" w:cs="Times New Roman"/>
                <w:color w:val="auto"/>
                <w:szCs w:val="21"/>
                <w:highlight w:val="none"/>
                <w:lang w:eastAsia="zh-CN"/>
              </w:rPr>
            </w:pPr>
            <w:r>
              <w:rPr>
                <w:rFonts w:hint="eastAsia" w:ascii="Calibri" w:hAnsi="Calibri" w:cs="Times New Roman"/>
                <w:color w:val="auto"/>
                <w:highlight w:val="none"/>
                <w:lang w:val="en-US" w:eastAsia="zh-CN"/>
              </w:rPr>
              <w:t>4</w:t>
            </w:r>
            <w:r>
              <w:rPr>
                <w:rFonts w:hint="eastAsia" w:ascii="Calibri" w:hAnsi="Calibri" w:eastAsia="宋体" w:cs="Times New Roman"/>
                <w:color w:val="auto"/>
                <w:highlight w:val="none"/>
              </w:rPr>
              <w:t>.</w:t>
            </w:r>
            <w:r>
              <w:rPr>
                <w:rFonts w:hint="eastAsia" w:ascii="宋体" w:hAnsi="宋体" w:eastAsia="宋体" w:cs="Times New Roman"/>
                <w:color w:val="auto"/>
                <w:szCs w:val="21"/>
                <w:highlight w:val="none"/>
              </w:rPr>
              <w:t>对中标候选人的答辩要求</w:t>
            </w:r>
            <w:r>
              <w:rPr>
                <w:rFonts w:hint="eastAsia" w:ascii="宋体" w:hAnsi="宋体" w:cs="Times New Roman"/>
                <w:color w:val="auto"/>
                <w:szCs w:val="21"/>
                <w:highlight w:val="none"/>
                <w:lang w:eastAsia="zh-CN"/>
              </w:rPr>
              <w:t>：</w:t>
            </w:r>
          </w:p>
          <w:p w14:paraId="42BB3DB9">
            <w:pPr>
              <w:pStyle w:val="2"/>
              <w:keepNext w:val="0"/>
              <w:keepLines w:val="0"/>
              <w:numPr>
                <w:ilvl w:val="0"/>
                <w:numId w:val="0"/>
              </w:numPr>
              <w:suppressLineNumbers w:val="0"/>
              <w:spacing w:before="0" w:beforeAutospacing="0" w:afterAutospacing="0"/>
              <w:ind w:left="0" w:leftChars="0" w:right="0"/>
              <w:rPr>
                <w:rFonts w:hint="eastAsia" w:ascii="Calibri" w:hAnsi="Calibri" w:eastAsia="宋体" w:cs="Times New Roman"/>
                <w:color w:val="auto"/>
                <w:highlight w:val="none"/>
              </w:rPr>
            </w:pP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p w14:paraId="7D63CE5C">
            <w:pPr>
              <w:pStyle w:val="2"/>
              <w:keepNext w:val="0"/>
              <w:keepLines w:val="0"/>
              <w:numPr>
                <w:ilvl w:val="0"/>
                <w:numId w:val="0"/>
              </w:numPr>
              <w:suppressLineNumbers w:val="0"/>
              <w:spacing w:before="0" w:beforeAutospacing="0" w:afterAutospacing="0"/>
              <w:ind w:left="0" w:leftChars="0" w:right="0"/>
              <w:rPr>
                <w:rFonts w:hint="eastAsia" w:ascii="宋体" w:hAnsi="宋体" w:eastAsia="宋体" w:cs="Times New Roman"/>
                <w:color w:val="auto"/>
                <w:szCs w:val="21"/>
                <w:highlight w:val="none"/>
              </w:rPr>
            </w:pPr>
            <w:r>
              <w:rPr>
                <w:rFonts w:hint="eastAsia" w:ascii="Calibri" w:hAnsi="Calibri" w:cs="Times New Roman"/>
                <w:color w:val="auto"/>
                <w:highlight w:val="none"/>
                <w:lang w:val="en-US" w:eastAsia="zh-CN"/>
              </w:rPr>
              <w:t>5</w:t>
            </w:r>
            <w:r>
              <w:rPr>
                <w:rFonts w:hint="eastAsia" w:ascii="Calibri" w:hAnsi="Calibri" w:eastAsia="宋体" w:cs="Times New Roman"/>
                <w:color w:val="auto"/>
                <w:highlight w:val="none"/>
              </w:rPr>
              <w:t>.</w:t>
            </w:r>
            <w:r>
              <w:rPr>
                <w:rFonts w:hint="eastAsia" w:ascii="宋体" w:hAnsi="宋体" w:eastAsia="宋体" w:cs="Times New Roman"/>
                <w:color w:val="auto"/>
                <w:szCs w:val="21"/>
                <w:highlight w:val="none"/>
              </w:rPr>
              <w:t>如中标候选人被取消资格，</w:t>
            </w:r>
          </w:p>
          <w:p w14:paraId="029698DE">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Cs w:val="21"/>
                <w:highlight w:val="none"/>
                <w:lang w:eastAsia="zh-CN"/>
              </w:rPr>
            </w:pPr>
            <w:r>
              <w:rPr>
                <w:rFonts w:hint="eastAsia" w:ascii="宋体" w:hAnsi="宋体" w:eastAsia="宋体" w:cs="Times New Roman"/>
                <w:color w:val="auto"/>
                <w:szCs w:val="21"/>
                <w:highlight w:val="none"/>
              </w:rPr>
              <w:t>口</w:t>
            </w:r>
            <w:r>
              <w:rPr>
                <w:rFonts w:hint="eastAsia" w:ascii="宋体" w:hAnsi="宋体" w:cs="Times New Roman"/>
                <w:color w:val="auto"/>
                <w:szCs w:val="21"/>
                <w:highlight w:val="none"/>
                <w:lang w:val="en-US" w:eastAsia="zh-CN"/>
              </w:rPr>
              <w:t>由原</w:t>
            </w:r>
            <w:r>
              <w:rPr>
                <w:rFonts w:hint="eastAsia" w:ascii="宋体" w:hAnsi="宋体" w:eastAsia="宋体" w:cs="Times New Roman"/>
                <w:color w:val="auto"/>
                <w:szCs w:val="21"/>
                <w:highlight w:val="none"/>
              </w:rPr>
              <w:t>评标委员会</w:t>
            </w:r>
            <w:r>
              <w:rPr>
                <w:rFonts w:hint="eastAsia" w:ascii="宋体" w:hAnsi="宋体" w:cs="Times New Roman"/>
                <w:color w:val="auto"/>
                <w:szCs w:val="21"/>
                <w:highlight w:val="none"/>
                <w:lang w:val="en-US" w:eastAsia="zh-CN"/>
              </w:rPr>
              <w:t>根据原得</w:t>
            </w:r>
            <w:r>
              <w:rPr>
                <w:rFonts w:hint="eastAsia" w:ascii="宋体" w:hAnsi="宋体" w:eastAsia="宋体" w:cs="Times New Roman"/>
                <w:color w:val="auto"/>
                <w:szCs w:val="21"/>
                <w:highlight w:val="none"/>
              </w:rPr>
              <w:t>分高低</w:t>
            </w: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以不排序的方式递补。</w:t>
            </w: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应</w:t>
            </w:r>
            <w:r>
              <w:rPr>
                <w:rFonts w:hint="eastAsia"/>
                <w:highlight w:val="none"/>
                <w:lang w:val="en-US" w:eastAsia="zh-CN"/>
              </w:rPr>
              <w:t>对递补的</w:t>
            </w:r>
            <w:r>
              <w:rPr>
                <w:rFonts w:hint="eastAsia"/>
                <w:highlight w:val="none"/>
              </w:rPr>
              <w:t>中标候选人优</w:t>
            </w:r>
            <w:r>
              <w:rPr>
                <w:rFonts w:hint="eastAsia"/>
                <w:highlight w:val="none"/>
                <w:lang w:val="en-US" w:eastAsia="zh-CN"/>
              </w:rPr>
              <w:t>势</w:t>
            </w:r>
            <w:r>
              <w:rPr>
                <w:rFonts w:hint="eastAsia"/>
                <w:highlight w:val="none"/>
              </w:rPr>
              <w:t>、</w:t>
            </w:r>
            <w:r>
              <w:rPr>
                <w:rFonts w:hint="eastAsia"/>
                <w:highlight w:val="none"/>
                <w:lang w:val="en-US" w:eastAsia="zh-CN"/>
              </w:rPr>
              <w:t>不足、风险等情况进行详细说明</w:t>
            </w:r>
            <w:r>
              <w:rPr>
                <w:rFonts w:hint="eastAsia" w:ascii="宋体" w:hAnsi="宋体" w:cs="Times New Roman"/>
                <w:color w:val="auto"/>
                <w:szCs w:val="21"/>
                <w:highlight w:val="none"/>
                <w:lang w:eastAsia="zh-CN"/>
              </w:rPr>
              <w:t>）</w:t>
            </w:r>
          </w:p>
          <w:p w14:paraId="419E3352">
            <w:pPr>
              <w:keepNext w:val="0"/>
              <w:keepLines w:val="0"/>
              <w:suppressLineNumbers w:val="0"/>
              <w:adjustRightInd w:val="0"/>
              <w:snapToGrid w:val="0"/>
              <w:spacing w:before="0" w:beforeAutospacing="0" w:after="0" w:afterAutospacing="0"/>
              <w:ind w:left="0" w:leftChars="0" w:right="0" w:rightChars="0"/>
              <w:jc w:val="left"/>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口不再递补</w:t>
            </w:r>
            <w:r>
              <w:rPr>
                <w:rFonts w:hint="eastAsia" w:ascii="宋体" w:hAnsi="宋体" w:cs="Times New Roman"/>
                <w:color w:val="auto"/>
                <w:szCs w:val="21"/>
                <w:highlight w:val="none"/>
                <w:lang w:eastAsia="zh-CN"/>
              </w:rPr>
              <w:t>。</w:t>
            </w:r>
          </w:p>
        </w:tc>
      </w:tr>
      <w:tr w14:paraId="24FF8FA8">
        <w:tblPrEx>
          <w:tblCellMar>
            <w:top w:w="0" w:type="dxa"/>
            <w:left w:w="108" w:type="dxa"/>
            <w:bottom w:w="0" w:type="dxa"/>
            <w:right w:w="108" w:type="dxa"/>
          </w:tblCellMar>
        </w:tblPrEx>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59B475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7.3.1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54FEC903">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履约担保</w:t>
            </w:r>
          </w:p>
          <w:p w14:paraId="430DFCF4">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（招标人自行决定是否缴纳履约保证金）</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6FCAC244">
            <w:pPr>
              <w:keepNext w:val="0"/>
              <w:keepLines w:val="0"/>
              <w:suppressLineNumbers w:val="0"/>
              <w:adjustRightInd w:val="0"/>
              <w:snapToGrid w:val="0"/>
              <w:spacing w:before="0" w:beforeAutospacing="0" w:after="0" w:afterAutospacing="0"/>
              <w:ind w:left="0" w:right="0"/>
              <w:jc w:val="left"/>
              <w:rPr>
                <w:rFonts w:hint="eastAsia" w:ascii="宋体" w:hAnsi="宋体" w:eastAsia="宋体" w:cs="Times New Roman"/>
                <w:color w:val="auto"/>
                <w:szCs w:val="21"/>
                <w:highlight w:val="none"/>
              </w:rPr>
            </w:pPr>
            <w:bookmarkStart w:id="291" w:name="_Toc221950081"/>
            <w:r>
              <w:rPr>
                <w:rFonts w:hint="eastAsia" w:ascii="宋体" w:hAnsi="宋体" w:eastAsia="宋体" w:cs="Times New Roman"/>
                <w:color w:val="auto"/>
                <w:szCs w:val="21"/>
                <w:highlight w:val="none"/>
              </w:rPr>
              <w:sym w:font="Times New Roman" w:char="0000"/>
            </w:r>
            <w:r>
              <w:rPr>
                <w:rFonts w:hint="eastAsia" w:ascii="宋体" w:hAnsi="宋体" w:eastAsia="宋体" w:cs="Times New Roman"/>
                <w:color w:val="auto"/>
                <w:szCs w:val="21"/>
                <w:highlight w:val="none"/>
              </w:rPr>
              <w:t>□不提交</w:t>
            </w:r>
          </w:p>
          <w:p w14:paraId="6F1AA24E">
            <w:pPr>
              <w:keepNext w:val="0"/>
              <w:keepLines w:val="0"/>
              <w:suppressLineNumbers w:val="0"/>
              <w:adjustRightInd w:val="0"/>
              <w:snapToGrid w:val="0"/>
              <w:spacing w:before="0" w:beforeAutospacing="0" w:after="0" w:afterAutospacing="0"/>
              <w:ind w:left="0" w:right="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【注：政府采购工程（包括工程建设项目的勘察、设计、监理、施工以及与工程建设有关的重要材料设备等）进行招标投标活动的，应免收投标人履约保证金。】</w:t>
            </w:r>
          </w:p>
          <w:p w14:paraId="3BAFB2B2">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sym w:font="Times New Roman" w:char="0000"/>
            </w:r>
            <w:r>
              <w:rPr>
                <w:rFonts w:hint="eastAsia" w:ascii="宋体" w:hAnsi="宋体" w:eastAsia="宋体" w:cs="Times New Roman"/>
                <w:color w:val="auto"/>
                <w:szCs w:val="21"/>
                <w:highlight w:val="none"/>
              </w:rPr>
              <w:t>□提  交：</w:t>
            </w:r>
          </w:p>
          <w:p w14:paraId="029DC2C3">
            <w:pPr>
              <w:keepNext w:val="0"/>
              <w:keepLines w:val="0"/>
              <w:suppressLineNumbers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履约担保的形式： </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szCs w:val="21"/>
                <w:highlight w:val="none"/>
              </w:rPr>
              <w:t xml:space="preserve">        </w:t>
            </w:r>
          </w:p>
          <w:p w14:paraId="67D40BF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履约担保的金额： 合同价款的_____%或_____万元</w:t>
            </w:r>
            <w:bookmarkEnd w:id="291"/>
            <w:r>
              <w:rPr>
                <w:rFonts w:hint="eastAsia" w:ascii="宋体" w:hAnsi="宋体" w:eastAsia="宋体" w:cs="Times New Roman"/>
                <w:color w:val="auto"/>
                <w:szCs w:val="21"/>
                <w:highlight w:val="none"/>
              </w:rPr>
              <w:t xml:space="preserve">  </w:t>
            </w:r>
          </w:p>
        </w:tc>
      </w:tr>
      <w:tr w14:paraId="7A757485">
        <w:tblPrEx>
          <w:tblCellMar>
            <w:top w:w="0" w:type="dxa"/>
            <w:left w:w="108" w:type="dxa"/>
            <w:bottom w:w="0" w:type="dxa"/>
            <w:right w:w="108" w:type="dxa"/>
          </w:tblCellMar>
        </w:tblPrEx>
        <w:trPr>
          <w:trHeight w:val="2212" w:hRule="atLeast"/>
        </w:trPr>
        <w:tc>
          <w:tcPr>
            <w:tcW w:w="682" w:type="pct"/>
            <w:gridSpan w:val="2"/>
            <w:vMerge w:val="restart"/>
            <w:tcBorders>
              <w:top w:val="single" w:color="auto" w:sz="4" w:space="0"/>
              <w:left w:val="single" w:color="auto" w:sz="4" w:space="0"/>
              <w:right w:val="single" w:color="auto" w:sz="4" w:space="0"/>
            </w:tcBorders>
            <w:noWrap w:val="0"/>
            <w:vAlign w:val="center"/>
          </w:tcPr>
          <w:p w14:paraId="4E9A51AD">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9.5</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A4AA36F">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综合监督管理部门</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5E30C2E4">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名称</w:t>
            </w:r>
            <w:r>
              <w:rPr>
                <w:rFonts w:ascii="Calibri" w:hAnsi="Calibri" w:eastAsia="宋体" w:cs="Times New Roman"/>
                <w:color w:val="auto"/>
                <w:highlight w:val="none"/>
              </w:rPr>
              <w:t>：</w:t>
            </w:r>
            <w:r>
              <w:rPr>
                <w:rFonts w:hint="eastAsia" w:ascii="Calibri" w:hAnsi="Calibri" w:eastAsia="宋体" w:cs="Times New Roman"/>
                <w:color w:val="auto"/>
                <w:highlight w:val="none"/>
              </w:rPr>
              <w:t xml:space="preserve"> </w:t>
            </w:r>
          </w:p>
          <w:p w14:paraId="67E171E0">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地址：</w:t>
            </w:r>
            <w:r>
              <w:rPr>
                <w:rFonts w:hint="eastAsia" w:ascii="Calibri" w:hAnsi="Calibri" w:eastAsia="宋体" w:cs="Times New Roman"/>
                <w:color w:val="auto"/>
                <w:highlight w:val="none"/>
              </w:rPr>
              <w:t xml:space="preserve"> </w:t>
            </w:r>
          </w:p>
          <w:p w14:paraId="08F0185E">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电话：</w:t>
            </w:r>
          </w:p>
          <w:p w14:paraId="6C4797BB">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传真：</w:t>
            </w:r>
          </w:p>
          <w:p w14:paraId="65F03DE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highlight w:val="none"/>
              </w:rPr>
              <w:t>邮政编码：</w:t>
            </w:r>
          </w:p>
        </w:tc>
      </w:tr>
      <w:tr w14:paraId="028FFC77">
        <w:tblPrEx>
          <w:tblCellMar>
            <w:top w:w="0" w:type="dxa"/>
            <w:left w:w="108" w:type="dxa"/>
            <w:bottom w:w="0" w:type="dxa"/>
            <w:right w:w="108" w:type="dxa"/>
          </w:tblCellMar>
        </w:tblPrEx>
        <w:trPr>
          <w:trHeight w:val="1106" w:hRule="atLeast"/>
        </w:trPr>
        <w:tc>
          <w:tcPr>
            <w:tcW w:w="682" w:type="pct"/>
            <w:gridSpan w:val="2"/>
            <w:vMerge w:val="continue"/>
            <w:tcBorders>
              <w:left w:val="single" w:color="auto" w:sz="4" w:space="0"/>
              <w:bottom w:val="single" w:color="auto" w:sz="4" w:space="0"/>
              <w:right w:val="single" w:color="auto" w:sz="4" w:space="0"/>
            </w:tcBorders>
            <w:noWrap w:val="0"/>
            <w:vAlign w:val="center"/>
          </w:tcPr>
          <w:p w14:paraId="382EC19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79F906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行政监督部门</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BBB765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名    称：</w:t>
            </w:r>
          </w:p>
          <w:p w14:paraId="5C96285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    址：</w:t>
            </w:r>
          </w:p>
          <w:p w14:paraId="263B317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u w:val="single"/>
              </w:rPr>
            </w:pPr>
            <w:r>
              <w:rPr>
                <w:rFonts w:ascii="Calibri" w:hAnsi="Calibri" w:eastAsia="宋体" w:cs="Times New Roman"/>
                <w:color w:val="auto"/>
                <w:szCs w:val="21"/>
                <w:highlight w:val="none"/>
              </w:rPr>
              <w:t>电    话：</w:t>
            </w:r>
          </w:p>
          <w:p w14:paraId="33F9E4A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传    真：</w:t>
            </w:r>
          </w:p>
          <w:p w14:paraId="3D343747">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邮政编码</w:t>
            </w:r>
          </w:p>
        </w:tc>
      </w:tr>
      <w:tr w14:paraId="0B29A1A2">
        <w:tblPrEx>
          <w:tblCellMar>
            <w:top w:w="0" w:type="dxa"/>
            <w:left w:w="108" w:type="dxa"/>
            <w:bottom w:w="0" w:type="dxa"/>
            <w:right w:w="108" w:type="dxa"/>
          </w:tblCellMar>
        </w:tblPrEx>
        <w:trPr>
          <w:trHeight w:val="1106" w:hRule="atLeast"/>
        </w:trPr>
        <w:tc>
          <w:tcPr>
            <w:tcW w:w="682" w:type="pct"/>
            <w:gridSpan w:val="2"/>
            <w:vMerge w:val="continue"/>
            <w:tcBorders>
              <w:left w:val="single" w:color="auto" w:sz="4" w:space="0"/>
              <w:bottom w:val="single" w:color="auto" w:sz="4" w:space="0"/>
              <w:right w:val="single" w:color="auto" w:sz="4" w:space="0"/>
            </w:tcBorders>
            <w:noWrap w:val="0"/>
            <w:vAlign w:val="center"/>
          </w:tcPr>
          <w:p w14:paraId="5482AA57">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highlight w:val="none"/>
              </w:rPr>
            </w:pP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3AB506F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异议受理部门</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1B7F3AC">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名    称：</w:t>
            </w:r>
          </w:p>
          <w:p w14:paraId="1A59A1F3">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地    址：</w:t>
            </w:r>
          </w:p>
          <w:p w14:paraId="273CEEFC">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联 系 人：</w:t>
            </w:r>
          </w:p>
          <w:p w14:paraId="78BA489D">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电    话：</w:t>
            </w:r>
          </w:p>
          <w:p w14:paraId="45C196A0">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邮政编码：</w:t>
            </w:r>
          </w:p>
          <w:p w14:paraId="5BF631F6">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电子邮箱：</w:t>
            </w:r>
          </w:p>
        </w:tc>
      </w:tr>
      <w:tr w14:paraId="1F0BAABF">
        <w:tblPrEx>
          <w:tblCellMar>
            <w:top w:w="0" w:type="dxa"/>
            <w:left w:w="108" w:type="dxa"/>
            <w:bottom w:w="0" w:type="dxa"/>
            <w:right w:w="108" w:type="dxa"/>
          </w:tblCellMar>
        </w:tblPrEx>
        <w:trPr>
          <w:trHeight w:val="5138"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73EB881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10.1</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259ED529">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宋体" w:hAnsi="Calibri" w:eastAsia="宋体" w:cs="宋体"/>
                <w:color w:val="auto"/>
                <w:spacing w:val="4"/>
                <w:kern w:val="0"/>
                <w:sz w:val="22"/>
                <w:szCs w:val="22"/>
                <w:highlight w:val="none"/>
              </w:rPr>
              <w:t>多标段投标</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02FC9ED2">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投标人可同时对本次招标标段中的</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个标段投标。招标人按下列原则选择中标人：</w:t>
            </w:r>
          </w:p>
          <w:p w14:paraId="19151320">
            <w:pPr>
              <w:keepNext w:val="0"/>
              <w:keepLines w:val="0"/>
              <w:suppressLineNumbers w:val="0"/>
              <w:adjustRightInd w:val="0"/>
              <w:spacing w:before="0" w:beforeAutospacing="0" w:after="0" w:afterAutospacing="0" w:line="400" w:lineRule="exact"/>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投标人最多只允许中标</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个标段。如果同一投标人在多个标段中均排序第一，推荐中标候选人顺序为：</w:t>
            </w:r>
          </w:p>
          <w:p w14:paraId="65D0458F">
            <w:pPr>
              <w:keepNext w:val="0"/>
              <w:keepLines w:val="0"/>
              <w:suppressLineNumbers w:val="0"/>
              <w:adjustRightInd w:val="0"/>
              <w:spacing w:before="0" w:beforeAutospacing="0" w:after="0" w:afterAutospacing="0" w:line="400" w:lineRule="exact"/>
              <w:ind w:left="0" w:right="0" w:firstLine="315" w:firstLineChars="150"/>
              <w:rPr>
                <w:rFonts w:ascii="Calibri" w:hAnsi="Calibri" w:eastAsia="宋体" w:cs="Times New Roman"/>
                <w:color w:val="auto"/>
                <w:highlight w:val="none"/>
              </w:rPr>
            </w:pPr>
            <w:r>
              <w:rPr>
                <w:rFonts w:hint="eastAsia" w:ascii="Calibri" w:hAnsi="Calibri" w:eastAsia="宋体" w:cs="Times New Roman"/>
                <w:color w:val="auto"/>
                <w:highlight w:val="none"/>
              </w:rPr>
              <w:t>□按照标段顺序，投标人在前面标段被推荐为第一中标候选人后，所投其他标段将不再被推荐为中标候选人。</w:t>
            </w:r>
          </w:p>
          <w:p w14:paraId="112B5C9F">
            <w:pPr>
              <w:keepNext w:val="0"/>
              <w:keepLines w:val="0"/>
              <w:suppressLineNumbers w:val="0"/>
              <w:adjustRightInd w:val="0"/>
              <w:spacing w:before="0" w:beforeAutospacing="0" w:after="0" w:afterAutospacing="0" w:line="400" w:lineRule="exact"/>
              <w:ind w:left="0" w:right="0" w:firstLine="315" w:firstLineChars="150"/>
              <w:rPr>
                <w:rFonts w:ascii="Calibri" w:hAnsi="Calibri" w:eastAsia="宋体" w:cs="Times New Roman"/>
                <w:color w:val="auto"/>
                <w:highlight w:val="none"/>
              </w:rPr>
            </w:pPr>
            <w:r>
              <w:rPr>
                <w:rFonts w:hint="eastAsia" w:ascii="Calibri" w:hAnsi="Calibri" w:eastAsia="宋体" w:cs="Times New Roman"/>
                <w:color w:val="auto"/>
                <w:highlight w:val="none"/>
              </w:rPr>
              <w:t>□按照标段最高投标限价从大到小的顺序，投标人在最高投标限价大的标段被推荐为第一中标候选人后，所投其他标段将不再被推荐为中标候选人。</w:t>
            </w:r>
          </w:p>
          <w:p w14:paraId="1555CA7A">
            <w:pPr>
              <w:keepNext w:val="0"/>
              <w:keepLines w:val="0"/>
              <w:suppressLineNumbers w:val="0"/>
              <w:spacing w:before="0" w:beforeAutospacing="0" w:after="0" w:afterAutospacing="0"/>
              <w:ind w:left="315" w:leftChars="150" w:right="0"/>
              <w:rPr>
                <w:rFonts w:ascii="Calibri" w:hAnsi="Calibri" w:eastAsia="宋体" w:cs="Times New Roman"/>
                <w:color w:val="auto"/>
                <w:highlight w:val="none"/>
              </w:rPr>
            </w:pPr>
            <w:r>
              <w:rPr>
                <w:rFonts w:hint="eastAsia" w:ascii="Calibri" w:hAnsi="Calibri" w:eastAsia="宋体" w:cs="Times New Roman"/>
                <w:color w:val="auto"/>
                <w:highlight w:val="none"/>
              </w:rPr>
              <w:t>□</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tc>
      </w:tr>
      <w:tr w14:paraId="42556740">
        <w:tblPrEx>
          <w:tblCellMar>
            <w:top w:w="0" w:type="dxa"/>
            <w:left w:w="108" w:type="dxa"/>
            <w:bottom w:w="0" w:type="dxa"/>
            <w:right w:w="108" w:type="dxa"/>
          </w:tblCellMar>
        </w:tblPrEx>
        <w:trPr>
          <w:trHeight w:val="800"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CC57D41">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10.2</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68FA99AE">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szCs w:val="21"/>
                <w:highlight w:val="none"/>
              </w:rPr>
              <w:t>知识产权</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755DF5F4">
            <w:pPr>
              <w:keepNext w:val="0"/>
              <w:keepLines w:val="0"/>
              <w:suppressLineNumbers w:val="0"/>
              <w:spacing w:before="0" w:beforeAutospacing="0" w:after="0" w:afterAutospacing="0" w:line="440" w:lineRule="exact"/>
              <w:ind w:left="0" w:right="0"/>
              <w:jc w:val="left"/>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4CA61982">
        <w:tblPrEx>
          <w:tblCellMar>
            <w:top w:w="0" w:type="dxa"/>
            <w:left w:w="108" w:type="dxa"/>
            <w:bottom w:w="0" w:type="dxa"/>
            <w:right w:w="108" w:type="dxa"/>
          </w:tblCellMar>
        </w:tblPrEx>
        <w:trPr>
          <w:trHeight w:val="800"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0CEE75CD">
            <w:pPr>
              <w:keepNext w:val="0"/>
              <w:keepLines w:val="0"/>
              <w:suppressLineNumbers w:val="0"/>
              <w:spacing w:before="0" w:beforeAutospacing="0" w:after="0" w:afterAutospacing="0" w:line="400" w:lineRule="exact"/>
              <w:ind w:left="0" w:right="0"/>
              <w:jc w:val="center"/>
              <w:rPr>
                <w:rFonts w:hint="default" w:ascii="Calibri" w:hAnsi="Calibri" w:eastAsia="宋体" w:cs="Times New Roman"/>
                <w:color w:val="auto"/>
                <w:szCs w:val="21"/>
                <w:highlight w:val="none"/>
                <w:lang w:val="en-US" w:eastAsia="zh-CN"/>
              </w:rPr>
            </w:pPr>
            <w:r>
              <w:rPr>
                <w:rFonts w:hint="eastAsia" w:ascii="Calibri" w:hAnsi="Calibri" w:cs="Times New Roman"/>
                <w:color w:val="auto"/>
                <w:szCs w:val="21"/>
                <w:highlight w:val="none"/>
                <w:lang w:val="en-US" w:eastAsia="zh-CN"/>
              </w:rPr>
              <w:t>10.3</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2DF44680">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“可能低于成本或者影响履约的异常低价投标”的</w:t>
            </w:r>
            <w:r>
              <w:rPr>
                <w:rFonts w:hint="eastAsia" w:ascii="Calibri" w:hAnsi="Calibri" w:eastAsia="宋体" w:cs="Times New Roman"/>
                <w:color w:val="auto"/>
                <w:highlight w:val="none"/>
                <w:lang w:eastAsia="zh-CN"/>
              </w:rPr>
              <w:t>判定</w:t>
            </w:r>
            <w:r>
              <w:rPr>
                <w:rFonts w:hint="eastAsia" w:ascii="Calibri" w:hAnsi="Calibri" w:eastAsia="宋体" w:cs="Times New Roman"/>
                <w:color w:val="auto"/>
                <w:highlight w:val="none"/>
              </w:rPr>
              <w:t>标准和评标委员会的处理程序</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9DCD9E8">
            <w:pPr>
              <w:keepNext w:val="0"/>
              <w:keepLines w:val="0"/>
              <w:suppressLineNumbers w:val="0"/>
              <w:spacing w:before="0" w:beforeAutospacing="0" w:after="0" w:afterAutospacing="0" w:line="440" w:lineRule="exact"/>
              <w:ind w:left="0" w:right="0"/>
              <w:jc w:val="left"/>
              <w:rPr>
                <w:rFonts w:hint="eastAsia" w:ascii="宋体" w:hAnsi="宋体" w:eastAsia="宋体" w:cs="Times New Roman"/>
                <w:color w:val="auto"/>
                <w:szCs w:val="21"/>
                <w:highlight w:val="none"/>
              </w:rPr>
            </w:pPr>
          </w:p>
        </w:tc>
      </w:tr>
      <w:tr w14:paraId="7276F0E7">
        <w:tblPrEx>
          <w:tblCellMar>
            <w:top w:w="0" w:type="dxa"/>
            <w:left w:w="108" w:type="dxa"/>
            <w:bottom w:w="0" w:type="dxa"/>
            <w:right w:w="108" w:type="dxa"/>
          </w:tblCellMar>
        </w:tblPrEx>
        <w:trPr>
          <w:trHeight w:val="800" w:hRule="atLeast"/>
        </w:trPr>
        <w:tc>
          <w:tcPr>
            <w:tcW w:w="682" w:type="pct"/>
            <w:gridSpan w:val="2"/>
            <w:tcBorders>
              <w:top w:val="single" w:color="auto" w:sz="4" w:space="0"/>
              <w:left w:val="single" w:color="auto" w:sz="4" w:space="0"/>
              <w:bottom w:val="single" w:color="auto" w:sz="4" w:space="0"/>
              <w:right w:val="single" w:color="auto" w:sz="4" w:space="0"/>
            </w:tcBorders>
            <w:noWrap w:val="0"/>
            <w:vAlign w:val="center"/>
          </w:tcPr>
          <w:p w14:paraId="649C49A8">
            <w:pPr>
              <w:keepNext w:val="0"/>
              <w:keepLines w:val="0"/>
              <w:suppressLineNumbers w:val="0"/>
              <w:spacing w:before="0" w:beforeAutospacing="0" w:after="0" w:afterAutospacing="0" w:line="400" w:lineRule="exact"/>
              <w:ind w:left="0" w:leftChars="0" w:right="0" w:rightChars="0"/>
              <w:jc w:val="center"/>
              <w:rPr>
                <w:rFonts w:hint="eastAsia"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rPr>
              <w:t>10.</w:t>
            </w:r>
            <w:r>
              <w:rPr>
                <w:rFonts w:hint="eastAsia" w:ascii="Calibri" w:hAnsi="Calibri" w:cs="Times New Roman"/>
                <w:color w:val="auto"/>
                <w:szCs w:val="21"/>
                <w:highlight w:val="none"/>
                <w:lang w:val="en-US" w:eastAsia="zh-CN"/>
              </w:rPr>
              <w:t>4</w:t>
            </w:r>
          </w:p>
        </w:tc>
        <w:tc>
          <w:tcPr>
            <w:tcW w:w="1415" w:type="pct"/>
            <w:gridSpan w:val="2"/>
            <w:tcBorders>
              <w:top w:val="single" w:color="auto" w:sz="4" w:space="0"/>
              <w:left w:val="single" w:color="auto" w:sz="4" w:space="0"/>
              <w:bottom w:val="single" w:color="auto" w:sz="4" w:space="0"/>
              <w:right w:val="single" w:color="auto" w:sz="4" w:space="0"/>
            </w:tcBorders>
            <w:noWrap w:val="0"/>
            <w:vAlign w:val="center"/>
          </w:tcPr>
          <w:p w14:paraId="1D340CBF">
            <w:pPr>
              <w:keepNext w:val="0"/>
              <w:keepLines w:val="0"/>
              <w:suppressLineNumbers w:val="0"/>
              <w:spacing w:before="0" w:beforeAutospacing="0" w:after="0" w:afterAutospacing="0" w:line="400" w:lineRule="exact"/>
              <w:ind w:left="0" w:leftChars="0" w:right="0" w:rightChars="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招标人补充的其他内容</w:t>
            </w:r>
          </w:p>
        </w:tc>
        <w:tc>
          <w:tcPr>
            <w:tcW w:w="2902" w:type="pct"/>
            <w:tcBorders>
              <w:top w:val="single" w:color="auto" w:sz="4" w:space="0"/>
              <w:left w:val="single" w:color="auto" w:sz="4" w:space="0"/>
              <w:bottom w:val="single" w:color="auto" w:sz="4" w:space="0"/>
              <w:right w:val="single" w:color="auto" w:sz="4" w:space="0"/>
            </w:tcBorders>
            <w:noWrap w:val="0"/>
            <w:vAlign w:val="center"/>
          </w:tcPr>
          <w:p w14:paraId="323CDE70">
            <w:pPr>
              <w:keepNext w:val="0"/>
              <w:keepLines w:val="0"/>
              <w:suppressLineNumbers w:val="0"/>
              <w:spacing w:before="0" w:beforeAutospacing="0" w:after="0" w:afterAutospacing="0" w:line="440" w:lineRule="exact"/>
              <w:ind w:left="0" w:leftChars="0" w:right="0" w:rightChars="0"/>
              <w:jc w:val="left"/>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u w:val="single"/>
              </w:rPr>
              <w:t>（补充内容不得与投标人须知其他内容相抵触）</w:t>
            </w:r>
          </w:p>
        </w:tc>
      </w:tr>
    </w:tbl>
    <w:p w14:paraId="63526753">
      <w:pPr>
        <w:ind w:left="945" w:hanging="945" w:hangingChars="450"/>
        <w:rPr>
          <w:rFonts w:hint="eastAsia"/>
          <w:color w:val="auto"/>
          <w:szCs w:val="21"/>
          <w:highlight w:val="none"/>
        </w:rPr>
      </w:pPr>
    </w:p>
    <w:p w14:paraId="0935599B">
      <w:pPr>
        <w:spacing w:line="440" w:lineRule="exact"/>
        <w:ind w:left="945" w:hanging="945" w:hangingChars="450"/>
        <w:jc w:val="left"/>
        <w:rPr>
          <w:rFonts w:ascii="宋体" w:hAnsi="宋体"/>
          <w:color w:val="auto"/>
          <w:szCs w:val="21"/>
          <w:highlight w:val="none"/>
        </w:rPr>
      </w:pPr>
      <w:r>
        <w:rPr>
          <w:rFonts w:hint="eastAsia" w:ascii="宋体" w:hAnsi="宋体"/>
          <w:color w:val="auto"/>
          <w:szCs w:val="21"/>
          <w:highlight w:val="none"/>
        </w:rPr>
        <w:t>备注：1. 采用资格后审方式的项目。对“近年完成类似项目情况的年份要求”：如要求提供近5年的类似项目情况，则近5年是指从投标截止日往前推算5年，例如投标截止日为2014年2 月1日，则近5年是指2009年2月1日至2014年1月31日。</w:t>
      </w:r>
    </w:p>
    <w:p w14:paraId="2930C547">
      <w:pPr>
        <w:spacing w:line="440" w:lineRule="exact"/>
        <w:ind w:left="945" w:hanging="945" w:hangingChars="450"/>
        <w:jc w:val="left"/>
        <w:rPr>
          <w:rFonts w:hint="eastAsia" w:ascii="宋体" w:hAnsi="宋体"/>
          <w:color w:val="auto"/>
          <w:szCs w:val="21"/>
          <w:highlight w:val="none"/>
        </w:rPr>
      </w:pPr>
      <w:r>
        <w:rPr>
          <w:rFonts w:hint="eastAsia" w:ascii="宋体" w:hAnsi="宋体"/>
          <w:color w:val="auto"/>
          <w:szCs w:val="21"/>
          <w:highlight w:val="none"/>
        </w:rPr>
        <w:t xml:space="preserve">         采用资格预审方式的项目。对“近年完成类似项目情况的年份要求”：如要求提供近5年的类似项目情况，近5年是指从申请截止日往前推算5年至投标截止日的前一日，例如申请截止日为2014年2月1日，投标截止日为2014年3月5日，则近5年是指2009年2月1日至2014年3月4日。</w:t>
      </w:r>
    </w:p>
    <w:p w14:paraId="7B6E6F4C">
      <w:pPr>
        <w:spacing w:line="440" w:lineRule="exact"/>
        <w:ind w:left="945" w:leftChars="450"/>
        <w:jc w:val="left"/>
        <w:rPr>
          <w:rFonts w:hint="eastAsia" w:ascii="宋体" w:hAnsi="宋体"/>
          <w:color w:val="auto"/>
          <w:szCs w:val="21"/>
          <w:highlight w:val="none"/>
        </w:rPr>
      </w:pPr>
      <w:r>
        <w:rPr>
          <w:rFonts w:hint="eastAsia" w:ascii="宋体" w:hAnsi="宋体"/>
          <w:color w:val="auto"/>
          <w:szCs w:val="21"/>
          <w:highlight w:val="none"/>
        </w:rPr>
        <w:t>近年完成类似设计项目情况、近年完成类似施工项目情况、近年发生的诉讼及仲裁情况、近年工程获质量奖项情况、近年项目负责人已完工程获质量奖项情况、近年项目负责人获得的表彰等，如有年份要求的均按上述示例规则推算。</w:t>
      </w:r>
    </w:p>
    <w:p w14:paraId="7F3CB61D">
      <w:pPr>
        <w:spacing w:line="440" w:lineRule="exact"/>
        <w:ind w:left="945" w:leftChars="300" w:hanging="315" w:hangingChars="150"/>
        <w:jc w:val="left"/>
        <w:rPr>
          <w:rFonts w:hint="eastAsia" w:ascii="宋体" w:hAnsi="宋体"/>
          <w:color w:val="auto"/>
          <w:szCs w:val="21"/>
          <w:highlight w:val="none"/>
        </w:rPr>
      </w:pPr>
      <w:r>
        <w:rPr>
          <w:rFonts w:hint="eastAsia" w:ascii="宋体" w:hAnsi="宋体"/>
          <w:color w:val="auto"/>
          <w:szCs w:val="21"/>
          <w:highlight w:val="none"/>
        </w:rPr>
        <w:t>2．近年财务状况的年份要求：如要求提供近3年的财务状况，投标截止日如在6月30日以前，则近3年是指上上个年度往前推算3年，例如投标截止日为2015年2月1日，近3年是指2011年度、2012年度、2013年度。投标截止日如在6月30日以后，则近3年是指上个年度往前推算的3年，例如投标截止日为2015年7月1日，近3年是指2012年度、2013年度、2014年度。</w:t>
      </w:r>
    </w:p>
    <w:p w14:paraId="1B4EBE45">
      <w:pPr>
        <w:spacing w:line="440" w:lineRule="exact"/>
        <w:ind w:left="945" w:leftChars="300" w:hanging="315" w:hangingChars="150"/>
        <w:jc w:val="left"/>
        <w:rPr>
          <w:rFonts w:hint="eastAsia" w:ascii="宋体" w:hAnsi="宋体"/>
          <w:color w:val="auto"/>
          <w:szCs w:val="21"/>
          <w:highlight w:val="none"/>
        </w:rPr>
      </w:pPr>
      <w:r>
        <w:rPr>
          <w:rFonts w:hint="eastAsia" w:ascii="宋体" w:hAnsi="宋体"/>
          <w:color w:val="auto"/>
          <w:szCs w:val="21"/>
          <w:highlight w:val="none"/>
        </w:rPr>
        <w:t>3. 本附表中涉及招标公告或投标邀请书中内容的应与其保持一致。</w:t>
      </w:r>
    </w:p>
    <w:p w14:paraId="183EC5D5">
      <w:pPr>
        <w:rPr>
          <w:rFonts w:hint="eastAsia" w:ascii="宋体" w:hAnsi="宋体"/>
          <w:color w:val="auto"/>
          <w:szCs w:val="21"/>
          <w:highlight w:val="none"/>
        </w:rPr>
      </w:pPr>
      <w:r>
        <w:rPr>
          <w:rFonts w:hint="eastAsia" w:ascii="宋体" w:hAnsi="宋体"/>
          <w:color w:val="auto"/>
          <w:szCs w:val="21"/>
          <w:highlight w:val="none"/>
        </w:rPr>
        <w:br w:type="page"/>
      </w:r>
    </w:p>
    <w:p w14:paraId="3DC7B0E7">
      <w:pPr>
        <w:pStyle w:val="4"/>
        <w:spacing w:before="62"/>
        <w:rPr>
          <w:color w:val="auto"/>
          <w:sz w:val="28"/>
          <w:szCs w:val="28"/>
          <w:highlight w:val="none"/>
        </w:rPr>
      </w:pPr>
      <w:bookmarkStart w:id="292" w:name="_Toc2074"/>
      <w:bookmarkStart w:id="293" w:name="_Toc28140"/>
      <w:bookmarkStart w:id="294" w:name="_Toc13967"/>
      <w:bookmarkStart w:id="295" w:name="_Toc467939762"/>
      <w:bookmarkStart w:id="296" w:name="_Toc2358_WPSOffice_Level2"/>
      <w:bookmarkStart w:id="297" w:name="_Toc519085269"/>
      <w:bookmarkStart w:id="298" w:name="_Toc27627"/>
      <w:bookmarkStart w:id="299" w:name="_Toc30007"/>
      <w:bookmarkStart w:id="300" w:name="_Toc30718"/>
      <w:r>
        <w:rPr>
          <w:color w:val="auto"/>
          <w:sz w:val="28"/>
          <w:szCs w:val="28"/>
          <w:highlight w:val="none"/>
        </w:rPr>
        <w:t>投标人须知正文部分</w:t>
      </w:r>
      <w:bookmarkEnd w:id="292"/>
      <w:bookmarkEnd w:id="293"/>
      <w:bookmarkEnd w:id="294"/>
      <w:bookmarkEnd w:id="295"/>
      <w:bookmarkEnd w:id="296"/>
      <w:bookmarkEnd w:id="297"/>
      <w:bookmarkEnd w:id="298"/>
      <w:bookmarkEnd w:id="299"/>
      <w:bookmarkEnd w:id="300"/>
    </w:p>
    <w:p w14:paraId="53CD34DF">
      <w:pPr>
        <w:pStyle w:val="5"/>
        <w:spacing w:before="156"/>
        <w:rPr>
          <w:color w:val="auto"/>
          <w:sz w:val="28"/>
          <w:szCs w:val="28"/>
          <w:highlight w:val="none"/>
        </w:rPr>
      </w:pPr>
      <w:bookmarkStart w:id="301" w:name="_Toc247513952"/>
      <w:bookmarkStart w:id="302" w:name="_Toc247527553"/>
      <w:bookmarkStart w:id="303" w:name="_Toc10926"/>
      <w:bookmarkStart w:id="304" w:name="_Toc21546"/>
      <w:bookmarkStart w:id="305" w:name="_Toc152042305"/>
      <w:bookmarkStart w:id="306" w:name="_Toc144974497"/>
      <w:bookmarkStart w:id="307" w:name="_Toc152045529"/>
      <w:bookmarkStart w:id="308" w:name="_Toc32141"/>
      <w:bookmarkStart w:id="309" w:name="_Toc10432"/>
      <w:bookmarkStart w:id="310" w:name="_Toc519085270"/>
      <w:bookmarkStart w:id="311" w:name="_Toc2138_WPSOffice_Level2"/>
      <w:bookmarkStart w:id="312" w:name="_Toc9700"/>
      <w:r>
        <w:rPr>
          <w:color w:val="auto"/>
          <w:sz w:val="28"/>
          <w:szCs w:val="28"/>
          <w:highlight w:val="none"/>
        </w:rPr>
        <w:t>1. 总则</w:t>
      </w:r>
      <w:bookmarkEnd w:id="301"/>
      <w:bookmarkEnd w:id="302"/>
      <w:bookmarkEnd w:id="303"/>
      <w:bookmarkEnd w:id="304"/>
      <w:bookmarkEnd w:id="305"/>
      <w:bookmarkEnd w:id="306"/>
      <w:bookmarkEnd w:id="307"/>
      <w:bookmarkEnd w:id="308"/>
      <w:bookmarkEnd w:id="309"/>
      <w:bookmarkEnd w:id="310"/>
      <w:bookmarkEnd w:id="311"/>
      <w:bookmarkEnd w:id="312"/>
    </w:p>
    <w:p w14:paraId="5A0817A1">
      <w:pPr>
        <w:pStyle w:val="107"/>
        <w:outlineLvl w:val="3"/>
        <w:rPr>
          <w:rFonts w:ascii="黑体" w:hAnsi="黑体"/>
          <w:color w:val="auto"/>
          <w:highlight w:val="none"/>
        </w:rPr>
      </w:pPr>
      <w:bookmarkStart w:id="313" w:name="_Toc7530"/>
      <w:bookmarkStart w:id="314" w:name="_Toc14197"/>
      <w:bookmarkStart w:id="315" w:name="_Toc152042306"/>
      <w:bookmarkStart w:id="316" w:name="_Toc28484"/>
      <w:bookmarkStart w:id="317" w:name="_Toc247527554"/>
      <w:bookmarkStart w:id="318" w:name="_Toc21738"/>
      <w:bookmarkStart w:id="319" w:name="_Toc247513953"/>
      <w:bookmarkStart w:id="320" w:name="_Toc519085271"/>
      <w:bookmarkStart w:id="321" w:name="_Toc21450"/>
      <w:bookmarkStart w:id="322" w:name="_Toc152045530"/>
      <w:bookmarkStart w:id="323" w:name="_Toc144974498"/>
      <w:r>
        <w:rPr>
          <w:rFonts w:ascii="黑体" w:hAnsi="黑体"/>
          <w:color w:val="auto"/>
          <w:highlight w:val="none"/>
        </w:rPr>
        <w:t>1.1 项目概况</w:t>
      </w:r>
      <w:bookmarkEnd w:id="313"/>
      <w:bookmarkEnd w:id="314"/>
      <w:bookmarkEnd w:id="315"/>
      <w:bookmarkEnd w:id="316"/>
      <w:bookmarkEnd w:id="317"/>
      <w:bookmarkEnd w:id="318"/>
      <w:bookmarkEnd w:id="319"/>
      <w:bookmarkEnd w:id="320"/>
      <w:bookmarkEnd w:id="321"/>
      <w:bookmarkEnd w:id="322"/>
      <w:bookmarkEnd w:id="323"/>
    </w:p>
    <w:p w14:paraId="1649774D">
      <w:pPr>
        <w:spacing w:line="400" w:lineRule="exact"/>
        <w:ind w:firstLine="420" w:firstLineChars="200"/>
        <w:rPr>
          <w:color w:val="auto"/>
          <w:highlight w:val="none"/>
        </w:rPr>
      </w:pPr>
      <w:r>
        <w:rPr>
          <w:color w:val="auto"/>
          <w:highlight w:val="none"/>
        </w:rPr>
        <w:t>1.1.1根据《中华人民共和国招标投标法》等有关法律、法规和规章的规定，本项目已具备招标条件，现对</w:t>
      </w:r>
      <w:r>
        <w:rPr>
          <w:rFonts w:hint="eastAsia"/>
          <w:color w:val="auto"/>
          <w:highlight w:val="none"/>
        </w:rPr>
        <w:t>本</w:t>
      </w:r>
      <w:r>
        <w:rPr>
          <w:color w:val="auto"/>
          <w:highlight w:val="none"/>
        </w:rPr>
        <w:t>项目进行</w:t>
      </w:r>
      <w:r>
        <w:rPr>
          <w:rFonts w:hint="eastAsia"/>
          <w:color w:val="auto"/>
          <w:highlight w:val="none"/>
        </w:rPr>
        <w:t>工程</w:t>
      </w:r>
      <w:r>
        <w:rPr>
          <w:color w:val="auto"/>
          <w:highlight w:val="none"/>
        </w:rPr>
        <w:t>总承包招标。</w:t>
      </w:r>
    </w:p>
    <w:p w14:paraId="1858E287">
      <w:pPr>
        <w:spacing w:line="400" w:lineRule="exact"/>
        <w:ind w:firstLine="420" w:firstLineChars="200"/>
        <w:rPr>
          <w:color w:val="auto"/>
          <w:highlight w:val="none"/>
        </w:rPr>
      </w:pPr>
      <w:r>
        <w:rPr>
          <w:color w:val="auto"/>
          <w:highlight w:val="none"/>
        </w:rPr>
        <w:t>1.1.2 招标人：见投标人须知前附表。</w:t>
      </w:r>
    </w:p>
    <w:p w14:paraId="7EB64ED5">
      <w:pPr>
        <w:spacing w:line="400" w:lineRule="exact"/>
        <w:ind w:firstLine="420" w:firstLineChars="200"/>
        <w:rPr>
          <w:color w:val="auto"/>
          <w:highlight w:val="none"/>
        </w:rPr>
      </w:pPr>
      <w:r>
        <w:rPr>
          <w:color w:val="auto"/>
          <w:highlight w:val="none"/>
        </w:rPr>
        <w:t>1.1.3 招标代理机构：见投标人须知前附表。</w:t>
      </w:r>
    </w:p>
    <w:p w14:paraId="60C3D7DA">
      <w:pPr>
        <w:spacing w:line="400" w:lineRule="exact"/>
        <w:ind w:firstLine="420" w:firstLineChars="200"/>
        <w:rPr>
          <w:color w:val="auto"/>
          <w:highlight w:val="none"/>
        </w:rPr>
      </w:pPr>
      <w:r>
        <w:rPr>
          <w:color w:val="auto"/>
          <w:highlight w:val="none"/>
        </w:rPr>
        <w:t>1.1.4 招标项目名称：见投标人须知前附表。</w:t>
      </w:r>
    </w:p>
    <w:p w14:paraId="453273BF">
      <w:pPr>
        <w:spacing w:line="400" w:lineRule="exact"/>
        <w:ind w:firstLine="420" w:firstLineChars="200"/>
        <w:rPr>
          <w:color w:val="auto"/>
          <w:highlight w:val="none"/>
        </w:rPr>
      </w:pPr>
      <w:r>
        <w:rPr>
          <w:color w:val="auto"/>
          <w:highlight w:val="none"/>
        </w:rPr>
        <w:t>1.1.5 项目建设地点：见投标人须知前附表。</w:t>
      </w:r>
    </w:p>
    <w:p w14:paraId="4193718A">
      <w:pPr>
        <w:pStyle w:val="107"/>
        <w:outlineLvl w:val="3"/>
        <w:rPr>
          <w:rFonts w:ascii="黑体" w:hAnsi="黑体"/>
          <w:color w:val="auto"/>
          <w:highlight w:val="none"/>
        </w:rPr>
      </w:pPr>
      <w:bookmarkStart w:id="324" w:name="_Toc247513954"/>
      <w:bookmarkStart w:id="325" w:name="_Toc247527555"/>
      <w:bookmarkStart w:id="326" w:name="_Toc144974499"/>
      <w:bookmarkStart w:id="327" w:name="_Toc16896"/>
      <w:bookmarkStart w:id="328" w:name="_Toc7547"/>
      <w:bookmarkStart w:id="329" w:name="_Toc22697"/>
      <w:bookmarkStart w:id="330" w:name="_Toc152045531"/>
      <w:bookmarkStart w:id="331" w:name="_Toc519085272"/>
      <w:bookmarkStart w:id="332" w:name="_Toc22916"/>
      <w:bookmarkStart w:id="333" w:name="_Toc152042307"/>
      <w:bookmarkStart w:id="334" w:name="_Toc30738"/>
      <w:r>
        <w:rPr>
          <w:rFonts w:ascii="黑体" w:hAnsi="黑体"/>
          <w:color w:val="auto"/>
          <w:highlight w:val="none"/>
        </w:rPr>
        <w:t>1.2 项目的资金来源和落实情况</w:t>
      </w:r>
      <w:bookmarkEnd w:id="324"/>
      <w:bookmarkEnd w:id="325"/>
      <w:bookmarkEnd w:id="326"/>
      <w:bookmarkEnd w:id="327"/>
      <w:bookmarkEnd w:id="328"/>
      <w:bookmarkEnd w:id="329"/>
      <w:bookmarkEnd w:id="330"/>
      <w:bookmarkEnd w:id="331"/>
      <w:bookmarkEnd w:id="332"/>
      <w:bookmarkEnd w:id="333"/>
      <w:bookmarkEnd w:id="334"/>
    </w:p>
    <w:p w14:paraId="1292D15F">
      <w:pPr>
        <w:spacing w:line="400" w:lineRule="exact"/>
        <w:ind w:firstLine="420" w:firstLineChars="200"/>
        <w:rPr>
          <w:color w:val="auto"/>
          <w:highlight w:val="none"/>
        </w:rPr>
      </w:pPr>
      <w:r>
        <w:rPr>
          <w:color w:val="auto"/>
          <w:highlight w:val="none"/>
        </w:rPr>
        <w:t>1.2.1 本招标项目的资金来源</w:t>
      </w:r>
      <w:r>
        <w:rPr>
          <w:rFonts w:hint="eastAsia"/>
          <w:color w:val="auto"/>
          <w:highlight w:val="none"/>
        </w:rPr>
        <w:t>及本标段工程投资额</w:t>
      </w:r>
      <w:r>
        <w:rPr>
          <w:color w:val="auto"/>
          <w:highlight w:val="none"/>
        </w:rPr>
        <w:t>：见投标人须知前附表。</w:t>
      </w:r>
    </w:p>
    <w:p w14:paraId="5E826E93">
      <w:pPr>
        <w:spacing w:line="400" w:lineRule="exact"/>
        <w:ind w:firstLine="420" w:firstLineChars="200"/>
        <w:rPr>
          <w:color w:val="auto"/>
          <w:highlight w:val="none"/>
        </w:rPr>
      </w:pPr>
      <w:r>
        <w:rPr>
          <w:color w:val="auto"/>
          <w:highlight w:val="none"/>
        </w:rPr>
        <w:t>1.2.2 本招标项目的资金落实情况：见投标人须知前附表。</w:t>
      </w:r>
    </w:p>
    <w:p w14:paraId="5EC53F34">
      <w:pPr>
        <w:pStyle w:val="107"/>
        <w:outlineLvl w:val="3"/>
        <w:rPr>
          <w:rFonts w:ascii="黑体" w:hAnsi="黑体"/>
          <w:color w:val="auto"/>
          <w:highlight w:val="none"/>
        </w:rPr>
      </w:pPr>
      <w:bookmarkStart w:id="335" w:name="_Toc247527556"/>
      <w:bookmarkStart w:id="336" w:name="_Toc247513955"/>
      <w:bookmarkStart w:id="337" w:name="_Toc152045532"/>
      <w:bookmarkStart w:id="338" w:name="_Toc152042308"/>
      <w:bookmarkStart w:id="339" w:name="_Toc144974500"/>
      <w:bookmarkStart w:id="340" w:name="_Toc972"/>
      <w:bookmarkStart w:id="341" w:name="_Toc519085273"/>
      <w:bookmarkStart w:id="342" w:name="_Toc27764"/>
      <w:bookmarkStart w:id="343" w:name="_Toc29680"/>
      <w:bookmarkStart w:id="344" w:name="_Toc24401"/>
      <w:bookmarkStart w:id="345" w:name="_Toc16345"/>
      <w:r>
        <w:rPr>
          <w:rFonts w:ascii="黑体" w:hAnsi="黑体"/>
          <w:color w:val="auto"/>
          <w:highlight w:val="none"/>
        </w:rPr>
        <w:t>1.3 招标范围、计划工期和</w:t>
      </w:r>
      <w:bookmarkEnd w:id="335"/>
      <w:bookmarkEnd w:id="336"/>
      <w:bookmarkEnd w:id="337"/>
      <w:bookmarkEnd w:id="338"/>
      <w:bookmarkEnd w:id="339"/>
      <w:r>
        <w:rPr>
          <w:rFonts w:ascii="黑体" w:hAnsi="黑体"/>
          <w:color w:val="auto"/>
          <w:highlight w:val="none"/>
        </w:rPr>
        <w:t>质量标准</w:t>
      </w:r>
      <w:bookmarkEnd w:id="340"/>
      <w:bookmarkEnd w:id="341"/>
      <w:bookmarkEnd w:id="342"/>
      <w:bookmarkEnd w:id="343"/>
      <w:bookmarkEnd w:id="344"/>
      <w:bookmarkEnd w:id="345"/>
    </w:p>
    <w:p w14:paraId="3E9852A9">
      <w:pPr>
        <w:spacing w:line="400" w:lineRule="exact"/>
        <w:ind w:firstLine="420" w:firstLineChars="200"/>
        <w:rPr>
          <w:color w:val="auto"/>
          <w:highlight w:val="none"/>
        </w:rPr>
      </w:pPr>
      <w:r>
        <w:rPr>
          <w:color w:val="auto"/>
          <w:highlight w:val="none"/>
        </w:rPr>
        <w:t>1.3.1 招标范围：见投标人须知前附表。</w:t>
      </w:r>
    </w:p>
    <w:p w14:paraId="11F71508">
      <w:pPr>
        <w:spacing w:line="400" w:lineRule="exact"/>
        <w:ind w:firstLine="420" w:firstLineChars="200"/>
        <w:rPr>
          <w:color w:val="auto"/>
          <w:highlight w:val="none"/>
        </w:rPr>
      </w:pPr>
      <w:r>
        <w:rPr>
          <w:color w:val="auto"/>
          <w:highlight w:val="none"/>
        </w:rPr>
        <w:t>1.3.2 计划工期：见投标人须知前附表。</w:t>
      </w:r>
    </w:p>
    <w:p w14:paraId="3D1B27BE">
      <w:pPr>
        <w:spacing w:line="400" w:lineRule="exact"/>
        <w:ind w:firstLine="420" w:firstLineChars="200"/>
        <w:rPr>
          <w:color w:val="auto"/>
          <w:highlight w:val="none"/>
        </w:rPr>
      </w:pPr>
      <w:r>
        <w:rPr>
          <w:color w:val="auto"/>
          <w:highlight w:val="none"/>
        </w:rPr>
        <w:t>1.3.3 质量要求：见投标人须知前附表。</w:t>
      </w:r>
    </w:p>
    <w:p w14:paraId="5EF11C19">
      <w:pPr>
        <w:pStyle w:val="107"/>
        <w:outlineLvl w:val="3"/>
        <w:rPr>
          <w:rFonts w:ascii="黑体" w:hAnsi="黑体"/>
          <w:color w:val="auto"/>
          <w:highlight w:val="none"/>
        </w:rPr>
      </w:pPr>
      <w:bookmarkStart w:id="346" w:name="_Toc20219"/>
      <w:bookmarkStart w:id="347" w:name="_Toc3580"/>
      <w:bookmarkStart w:id="348" w:name="_Toc8658"/>
      <w:bookmarkStart w:id="349" w:name="_Toc144974501"/>
      <w:bookmarkStart w:id="350" w:name="_Toc20897"/>
      <w:bookmarkStart w:id="351" w:name="_Toc152042309"/>
      <w:bookmarkStart w:id="352" w:name="_Toc247513956"/>
      <w:bookmarkStart w:id="353" w:name="_Toc152045533"/>
      <w:bookmarkStart w:id="354" w:name="_Toc519085274"/>
      <w:bookmarkStart w:id="355" w:name="_Toc4001"/>
      <w:bookmarkStart w:id="356" w:name="_Toc247527557"/>
      <w:r>
        <w:rPr>
          <w:rFonts w:ascii="黑体" w:hAnsi="黑体"/>
          <w:color w:val="auto"/>
          <w:highlight w:val="none"/>
        </w:rPr>
        <w:t>1.4 投标人资格要求（适用于已进行资格预审的）</w:t>
      </w:r>
      <w:bookmarkEnd w:id="346"/>
      <w:bookmarkEnd w:id="347"/>
      <w:bookmarkEnd w:id="348"/>
      <w:bookmarkEnd w:id="349"/>
      <w:bookmarkEnd w:id="350"/>
      <w:bookmarkEnd w:id="351"/>
      <w:bookmarkEnd w:id="352"/>
      <w:bookmarkEnd w:id="353"/>
      <w:bookmarkEnd w:id="354"/>
      <w:bookmarkEnd w:id="355"/>
      <w:bookmarkEnd w:id="356"/>
    </w:p>
    <w:p w14:paraId="107D3BFF">
      <w:pPr>
        <w:spacing w:line="400" w:lineRule="exact"/>
        <w:ind w:firstLine="420" w:firstLineChars="200"/>
        <w:rPr>
          <w:color w:val="auto"/>
          <w:highlight w:val="none"/>
        </w:rPr>
      </w:pPr>
      <w:r>
        <w:rPr>
          <w:color w:val="auto"/>
          <w:highlight w:val="none"/>
        </w:rPr>
        <w:t>投标人应是收到招标人发出投标邀请书的单位。</w:t>
      </w:r>
    </w:p>
    <w:p w14:paraId="3A342C75">
      <w:pPr>
        <w:pStyle w:val="107"/>
        <w:outlineLvl w:val="3"/>
        <w:rPr>
          <w:rFonts w:ascii="黑体" w:hAnsi="黑体"/>
          <w:color w:val="auto"/>
          <w:highlight w:val="none"/>
        </w:rPr>
      </w:pPr>
      <w:bookmarkStart w:id="357" w:name="_Toc19693"/>
      <w:bookmarkStart w:id="358" w:name="_Toc247527558"/>
      <w:bookmarkStart w:id="359" w:name="_Toc519085275"/>
      <w:bookmarkStart w:id="360" w:name="_Toc9717"/>
      <w:bookmarkStart w:id="361" w:name="_Toc144974502"/>
      <w:bookmarkStart w:id="362" w:name="_Toc152045534"/>
      <w:bookmarkStart w:id="363" w:name="_Toc247513957"/>
      <w:bookmarkStart w:id="364" w:name="_Toc29284"/>
      <w:bookmarkStart w:id="365" w:name="_Toc32341"/>
      <w:bookmarkStart w:id="366" w:name="_Toc152042310"/>
      <w:bookmarkStart w:id="367" w:name="_Toc30048"/>
      <w:r>
        <w:rPr>
          <w:rFonts w:ascii="黑体" w:hAnsi="黑体"/>
          <w:color w:val="auto"/>
          <w:highlight w:val="none"/>
        </w:rPr>
        <w:t>1.4 投标人资格要求（适用于资格</w:t>
      </w:r>
      <w:r>
        <w:rPr>
          <w:rFonts w:hint="eastAsia" w:ascii="黑体" w:hAnsi="黑体"/>
          <w:color w:val="auto"/>
          <w:highlight w:val="none"/>
        </w:rPr>
        <w:t>后</w:t>
      </w:r>
      <w:r>
        <w:rPr>
          <w:rFonts w:ascii="黑体" w:hAnsi="黑体"/>
          <w:color w:val="auto"/>
          <w:highlight w:val="none"/>
        </w:rPr>
        <w:t>审的）</w:t>
      </w:r>
      <w:bookmarkEnd w:id="357"/>
      <w:bookmarkEnd w:id="358"/>
      <w:bookmarkEnd w:id="359"/>
      <w:bookmarkEnd w:id="360"/>
      <w:bookmarkEnd w:id="361"/>
      <w:bookmarkEnd w:id="362"/>
      <w:bookmarkEnd w:id="363"/>
      <w:bookmarkEnd w:id="364"/>
      <w:bookmarkEnd w:id="365"/>
      <w:bookmarkEnd w:id="366"/>
      <w:bookmarkEnd w:id="367"/>
    </w:p>
    <w:p w14:paraId="4837F6FE">
      <w:pPr>
        <w:spacing w:line="400" w:lineRule="exact"/>
        <w:ind w:firstLine="420" w:firstLineChars="200"/>
        <w:rPr>
          <w:color w:val="auto"/>
          <w:highlight w:val="none"/>
        </w:rPr>
      </w:pPr>
      <w:r>
        <w:rPr>
          <w:color w:val="auto"/>
          <w:highlight w:val="none"/>
        </w:rPr>
        <w:t>1.4.1 投标人应具备承担本招标项目资质条件、能力和信誉。</w:t>
      </w:r>
    </w:p>
    <w:p w14:paraId="3B8DE33A">
      <w:pPr>
        <w:spacing w:line="400" w:lineRule="exact"/>
        <w:ind w:firstLine="420" w:firstLineChars="200"/>
        <w:rPr>
          <w:color w:val="auto"/>
          <w:highlight w:val="none"/>
        </w:rPr>
      </w:pPr>
      <w:r>
        <w:rPr>
          <w:color w:val="auto"/>
          <w:highlight w:val="none"/>
        </w:rPr>
        <w:t>（1）资质条</w:t>
      </w:r>
      <w:r>
        <w:rPr>
          <w:rFonts w:hint="eastAsia"/>
          <w:color w:val="auto"/>
          <w:highlight w:val="none"/>
        </w:rPr>
        <w:t>件</w:t>
      </w:r>
      <w:r>
        <w:rPr>
          <w:color w:val="auto"/>
          <w:highlight w:val="none"/>
        </w:rPr>
        <w:t>见投标人须知前附表；</w:t>
      </w:r>
    </w:p>
    <w:p w14:paraId="78C1927F">
      <w:pPr>
        <w:spacing w:line="400" w:lineRule="exact"/>
        <w:ind w:firstLine="420" w:firstLineChars="200"/>
        <w:rPr>
          <w:color w:val="auto"/>
          <w:highlight w:val="none"/>
        </w:rPr>
      </w:pPr>
      <w:r>
        <w:rPr>
          <w:color w:val="auto"/>
          <w:highlight w:val="none"/>
        </w:rPr>
        <w:t>（2）财务要求：见投标人须知前附表；</w:t>
      </w:r>
    </w:p>
    <w:p w14:paraId="02C8E26A">
      <w:pPr>
        <w:spacing w:line="400" w:lineRule="exact"/>
        <w:ind w:firstLine="420" w:firstLineChars="200"/>
        <w:rPr>
          <w:color w:val="auto"/>
          <w:highlight w:val="none"/>
        </w:rPr>
      </w:pPr>
      <w:r>
        <w:rPr>
          <w:color w:val="auto"/>
          <w:highlight w:val="none"/>
        </w:rPr>
        <w:t>（3）业绩要求：见投标人须知前附表；</w:t>
      </w:r>
    </w:p>
    <w:p w14:paraId="060509F0">
      <w:pPr>
        <w:spacing w:line="400" w:lineRule="exact"/>
        <w:ind w:firstLine="420" w:firstLineChars="200"/>
        <w:rPr>
          <w:color w:val="auto"/>
          <w:highlight w:val="none"/>
        </w:rPr>
      </w:pPr>
      <w:r>
        <w:rPr>
          <w:color w:val="auto"/>
          <w:highlight w:val="none"/>
        </w:rPr>
        <w:t>（4）信誉要求：见投标人须知前附表；</w:t>
      </w:r>
    </w:p>
    <w:p w14:paraId="6BF8CC22">
      <w:pPr>
        <w:spacing w:line="400" w:lineRule="exact"/>
        <w:ind w:firstLine="420" w:firstLineChars="200"/>
        <w:rPr>
          <w:color w:val="auto"/>
          <w:highlight w:val="none"/>
        </w:rPr>
      </w:pPr>
      <w:r>
        <w:rPr>
          <w:color w:val="auto"/>
          <w:highlight w:val="none"/>
        </w:rPr>
        <w:t>（5）项目负责人的资格要求：见投标人须知前附表；</w:t>
      </w:r>
    </w:p>
    <w:p w14:paraId="3BD78AF1">
      <w:pPr>
        <w:spacing w:line="400" w:lineRule="exact"/>
        <w:ind w:firstLine="420" w:firstLineChars="200"/>
        <w:rPr>
          <w:color w:val="auto"/>
          <w:highlight w:val="none"/>
        </w:rPr>
      </w:pPr>
      <w:r>
        <w:rPr>
          <w:color w:val="auto"/>
          <w:highlight w:val="none"/>
        </w:rPr>
        <w:t>（6）设计负责人的资格要求：见投标人须知前附表；</w:t>
      </w:r>
    </w:p>
    <w:p w14:paraId="23F19BE8">
      <w:pPr>
        <w:spacing w:line="400" w:lineRule="exact"/>
        <w:ind w:firstLine="420" w:firstLineChars="200"/>
        <w:rPr>
          <w:color w:val="auto"/>
          <w:highlight w:val="none"/>
        </w:rPr>
      </w:pPr>
      <w:r>
        <w:rPr>
          <w:color w:val="auto"/>
          <w:highlight w:val="none"/>
        </w:rPr>
        <w:t>（7）施工负责人的资格要求：见投标人须知前附表；</w:t>
      </w:r>
    </w:p>
    <w:p w14:paraId="3E9041D9">
      <w:pPr>
        <w:spacing w:line="400" w:lineRule="exact"/>
        <w:ind w:firstLine="420" w:firstLineChars="200"/>
        <w:rPr>
          <w:color w:val="auto"/>
          <w:highlight w:val="none"/>
        </w:rPr>
      </w:pPr>
      <w:r>
        <w:rPr>
          <w:color w:val="auto"/>
          <w:highlight w:val="none"/>
        </w:rPr>
        <w:t>（8）施工机械设备：见投标人须知前附表；</w:t>
      </w:r>
    </w:p>
    <w:p w14:paraId="1FB79620">
      <w:pPr>
        <w:spacing w:line="400" w:lineRule="exact"/>
        <w:ind w:firstLine="420" w:firstLineChars="200"/>
        <w:rPr>
          <w:color w:val="auto"/>
          <w:highlight w:val="none"/>
        </w:rPr>
      </w:pPr>
      <w:r>
        <w:rPr>
          <w:color w:val="auto"/>
          <w:highlight w:val="none"/>
        </w:rPr>
        <w:t>（9）项目管理机构及人员：见投标人须知前附表；</w:t>
      </w:r>
    </w:p>
    <w:p w14:paraId="42B0C193">
      <w:pPr>
        <w:spacing w:line="400" w:lineRule="exact"/>
        <w:ind w:firstLine="420" w:firstLineChars="200"/>
        <w:rPr>
          <w:rFonts w:hint="eastAsia"/>
          <w:color w:val="auto"/>
          <w:highlight w:val="none"/>
        </w:rPr>
      </w:pPr>
      <w:r>
        <w:rPr>
          <w:color w:val="auto"/>
          <w:highlight w:val="none"/>
        </w:rPr>
        <w:t>（10）其他要求：见投标人须知前附表。</w:t>
      </w:r>
    </w:p>
    <w:p w14:paraId="5861F080">
      <w:pPr>
        <w:spacing w:line="400" w:lineRule="exact"/>
        <w:ind w:firstLine="420" w:firstLineChars="200"/>
        <w:rPr>
          <w:color w:val="auto"/>
          <w:highlight w:val="none"/>
        </w:rPr>
      </w:pPr>
      <w:r>
        <w:rPr>
          <w:color w:val="auto"/>
          <w:highlight w:val="none"/>
        </w:rPr>
        <w:t xml:space="preserve">1.4.2投标人须知前附表规定接受联合体投标的，除应符合本章第1.4.1项和投标人须知前附表的要求外，还应遵守以下规定： </w:t>
      </w:r>
    </w:p>
    <w:p w14:paraId="5887FF37">
      <w:pPr>
        <w:spacing w:line="400" w:lineRule="exact"/>
        <w:ind w:firstLine="420" w:firstLineChars="200"/>
        <w:rPr>
          <w:color w:val="auto"/>
          <w:highlight w:val="none"/>
        </w:rPr>
      </w:pPr>
      <w:r>
        <w:rPr>
          <w:color w:val="auto"/>
          <w:highlight w:val="none"/>
        </w:rPr>
        <w:t>（1）联合体各方应按招标文件提供的格式签订联合体协议书，明确联合体牵头人和各方权利义务；</w:t>
      </w:r>
    </w:p>
    <w:p w14:paraId="7EA0DAB0">
      <w:pPr>
        <w:spacing w:line="400" w:lineRule="exact"/>
        <w:ind w:firstLine="420" w:firstLineChars="200"/>
        <w:rPr>
          <w:color w:val="auto"/>
          <w:highlight w:val="none"/>
        </w:rPr>
      </w:pPr>
      <w:r>
        <w:rPr>
          <w:color w:val="auto"/>
          <w:highlight w:val="none"/>
        </w:rPr>
        <w:t>（2）由同一专业的单位组成的联合体，按照资质等级较低的单位确定资质等级；</w:t>
      </w:r>
    </w:p>
    <w:p w14:paraId="389C4CB8">
      <w:pPr>
        <w:spacing w:line="400" w:lineRule="exact"/>
        <w:ind w:firstLine="420" w:firstLineChars="200"/>
        <w:rPr>
          <w:color w:val="auto"/>
          <w:highlight w:val="none"/>
        </w:rPr>
      </w:pPr>
      <w:r>
        <w:rPr>
          <w:color w:val="auto"/>
          <w:highlight w:val="none"/>
        </w:rPr>
        <w:t>（3）联合体各方不得再以自己名义单独或参加其他联合体在本招标项目中投标。</w:t>
      </w:r>
    </w:p>
    <w:p w14:paraId="4A5395F5">
      <w:pPr>
        <w:spacing w:line="400" w:lineRule="exact"/>
        <w:ind w:firstLine="420" w:firstLineChars="200"/>
        <w:rPr>
          <w:color w:val="auto"/>
          <w:highlight w:val="none"/>
        </w:rPr>
      </w:pPr>
      <w:r>
        <w:rPr>
          <w:color w:val="auto"/>
          <w:highlight w:val="none"/>
        </w:rPr>
        <w:t>1.4.3 投标人不得存在下列情形之一：</w:t>
      </w:r>
    </w:p>
    <w:p w14:paraId="68EC9E87">
      <w:pPr>
        <w:spacing w:line="400" w:lineRule="exact"/>
        <w:ind w:firstLine="718" w:firstLineChars="342"/>
        <w:rPr>
          <w:rFonts w:hint="eastAsia"/>
          <w:color w:val="auto"/>
          <w:highlight w:val="none"/>
        </w:rPr>
      </w:pPr>
      <w:r>
        <w:rPr>
          <w:rFonts w:hint="eastAsia"/>
          <w:color w:val="auto"/>
          <w:highlight w:val="none"/>
        </w:rPr>
        <w:t xml:space="preserve">（1）为招标人不具有独立法人资格的附属机构（单位）； </w:t>
      </w:r>
    </w:p>
    <w:p w14:paraId="4ACA010B">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2</w:t>
      </w:r>
      <w:r>
        <w:rPr>
          <w:rFonts w:hint="eastAsia"/>
          <w:color w:val="auto"/>
          <w:highlight w:val="none"/>
        </w:rPr>
        <w:t>）与招标人存在利害关系且可能影响招标公正性；</w:t>
      </w:r>
    </w:p>
    <w:p w14:paraId="1B7622BE">
      <w:pPr>
        <w:spacing w:line="400" w:lineRule="exact"/>
        <w:ind w:firstLine="735" w:firstLineChars="350"/>
        <w:rPr>
          <w:color w:val="auto"/>
          <w:highlight w:val="none"/>
        </w:rPr>
      </w:pPr>
      <w:r>
        <w:rPr>
          <w:rFonts w:hint="eastAsia"/>
          <w:color w:val="auto"/>
          <w:highlight w:val="none"/>
        </w:rPr>
        <w:t>（</w:t>
      </w:r>
      <w:r>
        <w:rPr>
          <w:color w:val="auto"/>
          <w:highlight w:val="none"/>
        </w:rPr>
        <w:t>3</w:t>
      </w:r>
      <w:r>
        <w:rPr>
          <w:rFonts w:hint="eastAsia"/>
          <w:color w:val="auto"/>
          <w:highlight w:val="none"/>
        </w:rPr>
        <w:t>）与本标段的其他投标人为同一个单位负责人；</w:t>
      </w:r>
    </w:p>
    <w:p w14:paraId="6FA65CF7">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4</w:t>
      </w:r>
      <w:r>
        <w:rPr>
          <w:rFonts w:hint="eastAsia"/>
          <w:color w:val="auto"/>
          <w:highlight w:val="none"/>
        </w:rPr>
        <w:t>）与本标段的其他投标人存在控股、管理关系；</w:t>
      </w:r>
    </w:p>
    <w:p w14:paraId="2A89FE8A">
      <w:pPr>
        <w:spacing w:line="400" w:lineRule="exact"/>
        <w:ind w:firstLine="735" w:firstLineChars="350"/>
        <w:rPr>
          <w:rFonts w:hint="eastAsia"/>
          <w:color w:val="auto"/>
          <w:highlight w:val="none"/>
        </w:rPr>
      </w:pPr>
      <w:r>
        <w:rPr>
          <w:rFonts w:hint="eastAsia"/>
          <w:color w:val="auto"/>
          <w:highlight w:val="none"/>
        </w:rPr>
        <w:t xml:space="preserve">（5）为本标段前期工作提供咨询服务的（招标人公开已完成的可行性研究报告、勘察设计文件等咨询成果除外的）； </w:t>
      </w:r>
    </w:p>
    <w:p w14:paraId="17D87B97">
      <w:pPr>
        <w:spacing w:line="400" w:lineRule="exact"/>
        <w:ind w:firstLine="735" w:firstLineChars="350"/>
        <w:rPr>
          <w:rFonts w:hint="eastAsia"/>
          <w:color w:val="auto"/>
          <w:highlight w:val="none"/>
        </w:rPr>
      </w:pPr>
      <w:r>
        <w:rPr>
          <w:rFonts w:hint="eastAsia"/>
          <w:color w:val="auto"/>
          <w:highlight w:val="none"/>
        </w:rPr>
        <w:t>（6）为本标段的监理人；</w:t>
      </w:r>
    </w:p>
    <w:p w14:paraId="105243EA">
      <w:pPr>
        <w:spacing w:line="400" w:lineRule="exact"/>
        <w:ind w:firstLine="735" w:firstLineChars="350"/>
        <w:rPr>
          <w:rFonts w:hint="eastAsia"/>
          <w:color w:val="auto"/>
          <w:highlight w:val="none"/>
        </w:rPr>
      </w:pPr>
      <w:r>
        <w:rPr>
          <w:rFonts w:hint="eastAsia"/>
          <w:color w:val="auto"/>
          <w:highlight w:val="none"/>
        </w:rPr>
        <w:t xml:space="preserve">（7）为本标段的代建人； </w:t>
      </w:r>
    </w:p>
    <w:p w14:paraId="743C491F">
      <w:pPr>
        <w:spacing w:line="400" w:lineRule="exact"/>
        <w:ind w:firstLine="735" w:firstLineChars="350"/>
        <w:rPr>
          <w:rFonts w:hint="eastAsia"/>
          <w:color w:val="auto"/>
          <w:highlight w:val="none"/>
        </w:rPr>
      </w:pPr>
      <w:r>
        <w:rPr>
          <w:rFonts w:hint="eastAsia"/>
          <w:color w:val="auto"/>
          <w:highlight w:val="none"/>
        </w:rPr>
        <w:t xml:space="preserve">（8）为本标段提供招标代理服务； </w:t>
      </w:r>
    </w:p>
    <w:p w14:paraId="18F194EE">
      <w:pPr>
        <w:spacing w:line="400" w:lineRule="exact"/>
        <w:ind w:firstLine="735" w:firstLineChars="350"/>
        <w:rPr>
          <w:rFonts w:hint="eastAsia"/>
          <w:color w:val="auto"/>
          <w:highlight w:val="none"/>
        </w:rPr>
      </w:pPr>
      <w:r>
        <w:rPr>
          <w:rFonts w:hint="eastAsia"/>
          <w:color w:val="auto"/>
          <w:highlight w:val="none"/>
        </w:rPr>
        <w:t>（9）与本标段的监理人或代建人或招标代理机构同为一个法定代表人；</w:t>
      </w:r>
    </w:p>
    <w:p w14:paraId="470976E2">
      <w:pPr>
        <w:spacing w:line="400" w:lineRule="exact"/>
        <w:ind w:firstLine="735" w:firstLineChars="350"/>
        <w:rPr>
          <w:rFonts w:hint="eastAsia"/>
          <w:color w:val="auto"/>
          <w:highlight w:val="none"/>
        </w:rPr>
      </w:pPr>
      <w:r>
        <w:rPr>
          <w:rFonts w:hint="eastAsia"/>
          <w:color w:val="auto"/>
          <w:highlight w:val="none"/>
        </w:rPr>
        <w:t>（10）与本标段的监理人或代建人或招标代理机构相互控股或参股；</w:t>
      </w:r>
    </w:p>
    <w:p w14:paraId="77F367C0">
      <w:pPr>
        <w:spacing w:line="400" w:lineRule="exact"/>
        <w:ind w:firstLine="735" w:firstLineChars="350"/>
        <w:rPr>
          <w:rFonts w:hint="eastAsia"/>
          <w:color w:val="auto"/>
          <w:highlight w:val="none"/>
        </w:rPr>
      </w:pPr>
      <w:r>
        <w:rPr>
          <w:rFonts w:hint="eastAsia"/>
          <w:color w:val="auto"/>
          <w:highlight w:val="none"/>
        </w:rPr>
        <w:t>（11）与本标段的监理人或代建人或招标代理机构相互任职或工作；</w:t>
      </w:r>
    </w:p>
    <w:p w14:paraId="3FB588DB">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1</w:t>
      </w:r>
      <w:r>
        <w:rPr>
          <w:rFonts w:hint="eastAsia"/>
          <w:color w:val="auto"/>
          <w:highlight w:val="none"/>
        </w:rPr>
        <w:t>2）被依法暂停或取消投标资格（指被本招标项目所在地县级及以上</w:t>
      </w:r>
      <w:r>
        <w:rPr>
          <w:rFonts w:hint="eastAsia"/>
          <w:color w:val="auto"/>
          <w:szCs w:val="21"/>
          <w:highlight w:val="none"/>
        </w:rPr>
        <w:t>住房城乡建设</w:t>
      </w:r>
      <w:r>
        <w:rPr>
          <w:rFonts w:hint="eastAsia"/>
          <w:color w:val="auto"/>
          <w:highlight w:val="none"/>
        </w:rPr>
        <w:t>主管部门或其他行政主管部门暂停或取消投标资格或禁止进入该区域建设市场且处于有效期内）；</w:t>
      </w:r>
    </w:p>
    <w:p w14:paraId="1DE34ED3">
      <w:pPr>
        <w:spacing w:line="400" w:lineRule="exact"/>
        <w:ind w:firstLine="735" w:firstLineChars="350"/>
        <w:rPr>
          <w:rFonts w:hint="eastAsia"/>
          <w:color w:val="auto"/>
          <w:highlight w:val="none"/>
        </w:rPr>
      </w:pPr>
      <w:r>
        <w:rPr>
          <w:rFonts w:hint="eastAsia"/>
          <w:color w:val="auto"/>
          <w:highlight w:val="none"/>
        </w:rPr>
        <w:t xml:space="preserve">（13）被责令停产停业、暂扣或者吊销许可证、暂扣或者吊销执照；  </w:t>
      </w:r>
    </w:p>
    <w:p w14:paraId="73E5E5E8">
      <w:pPr>
        <w:spacing w:line="400" w:lineRule="exact"/>
        <w:ind w:firstLine="735" w:firstLineChars="350"/>
        <w:rPr>
          <w:rFonts w:hint="eastAsia"/>
          <w:color w:val="auto"/>
          <w:highlight w:val="none"/>
        </w:rPr>
      </w:pPr>
      <w:r>
        <w:rPr>
          <w:rFonts w:hint="eastAsia"/>
          <w:color w:val="auto"/>
          <w:highlight w:val="none"/>
        </w:rPr>
        <w:t>（14）进入清算程序，或被宣告破产，或其他丧失履约能力的情形；</w:t>
      </w:r>
    </w:p>
    <w:p w14:paraId="6C01702A">
      <w:pPr>
        <w:spacing w:line="400" w:lineRule="exact"/>
        <w:ind w:firstLine="735" w:firstLineChars="350"/>
        <w:rPr>
          <w:rFonts w:hint="eastAsia"/>
          <w:color w:val="auto"/>
          <w:highlight w:val="none"/>
        </w:rPr>
      </w:pPr>
      <w:r>
        <w:rPr>
          <w:rFonts w:hint="eastAsia"/>
          <w:color w:val="auto"/>
          <w:highlight w:val="none"/>
        </w:rPr>
        <w:t>（15）在最近三年内发生重大工程质量问题（以相关行政主管部门的行政处罚决定或司法机关出具的有关法律文书为准）；</w:t>
      </w:r>
    </w:p>
    <w:p w14:paraId="15792ED5">
      <w:pPr>
        <w:spacing w:line="400" w:lineRule="exact"/>
        <w:ind w:firstLine="735" w:firstLineChars="350"/>
        <w:rPr>
          <w:color w:val="auto"/>
          <w:highlight w:val="none"/>
        </w:rPr>
      </w:pPr>
      <w:r>
        <w:rPr>
          <w:color w:val="auto"/>
          <w:highlight w:val="none"/>
        </w:rPr>
        <w:t>（1</w:t>
      </w:r>
      <w:r>
        <w:rPr>
          <w:rFonts w:hint="eastAsia"/>
          <w:color w:val="auto"/>
          <w:highlight w:val="none"/>
        </w:rPr>
        <w:t>6</w:t>
      </w:r>
      <w:r>
        <w:rPr>
          <w:color w:val="auto"/>
          <w:highlight w:val="none"/>
        </w:rPr>
        <w:t>）</w:t>
      </w:r>
      <w:r>
        <w:rPr>
          <w:rFonts w:hint="eastAsia"/>
          <w:color w:val="auto"/>
          <w:highlight w:val="none"/>
        </w:rPr>
        <w:t>被工商行政管理部门在“国家企业信用信息公示系统”（</w:t>
      </w:r>
      <w:r>
        <w:rPr>
          <w:color w:val="auto"/>
          <w:highlight w:val="none"/>
        </w:rPr>
        <w:t xml:space="preserve"> www.gsxt.gov.cn</w:t>
      </w:r>
      <w:r>
        <w:rPr>
          <w:rFonts w:hint="eastAsia"/>
          <w:color w:val="auto"/>
          <w:highlight w:val="none"/>
        </w:rPr>
        <w:t>）中列入严重违法失信企业名单；</w:t>
      </w:r>
    </w:p>
    <w:p w14:paraId="2066163D">
      <w:pPr>
        <w:spacing w:line="360" w:lineRule="auto"/>
        <w:ind w:firstLine="735" w:firstLineChars="350"/>
        <w:rPr>
          <w:rFonts w:hint="eastAsia"/>
          <w:color w:val="auto"/>
          <w:highlight w:val="none"/>
        </w:rPr>
      </w:pPr>
      <w:r>
        <w:rPr>
          <w:rFonts w:hint="eastAsia"/>
          <w:color w:val="auto"/>
          <w:highlight w:val="none"/>
        </w:rPr>
        <w:t>（17）被有关部门依法列入信用联合惩戒对象名单和失信被执行人名单（通过信用中国网站查询）；</w:t>
      </w:r>
    </w:p>
    <w:p w14:paraId="38935672">
      <w:pPr>
        <w:spacing w:line="360" w:lineRule="auto"/>
        <w:ind w:firstLine="420" w:firstLineChars="200"/>
        <w:rPr>
          <w:rFonts w:hint="eastAsia"/>
          <w:color w:val="auto"/>
          <w:highlight w:val="none"/>
        </w:rPr>
      </w:pPr>
      <w:r>
        <w:rPr>
          <w:rFonts w:hint="eastAsia"/>
          <w:color w:val="auto"/>
          <w:highlight w:val="none"/>
        </w:rPr>
        <w:t>（18）在最近三年内投标人或其法定代表人、拟委任的项目负责人有行贿犯罪行为（通过中国裁判文书网查询）；</w:t>
      </w:r>
    </w:p>
    <w:p w14:paraId="481A6B0C">
      <w:pPr>
        <w:spacing w:line="400" w:lineRule="exact"/>
        <w:ind w:firstLine="420" w:firstLineChars="200"/>
        <w:rPr>
          <w:rFonts w:hint="eastAsia"/>
          <w:color w:val="auto"/>
          <w:highlight w:val="none"/>
        </w:rPr>
      </w:pPr>
      <w:r>
        <w:rPr>
          <w:rFonts w:hint="eastAsia"/>
          <w:color w:val="auto"/>
          <w:highlight w:val="none"/>
        </w:rPr>
        <w:t>（19）法律法规或投标人须知前附表规定的其他情形。</w:t>
      </w:r>
    </w:p>
    <w:p w14:paraId="441E2999">
      <w:pPr>
        <w:pStyle w:val="107"/>
        <w:outlineLvl w:val="3"/>
        <w:rPr>
          <w:rFonts w:ascii="黑体" w:hAnsi="黑体"/>
          <w:color w:val="auto"/>
          <w:highlight w:val="none"/>
        </w:rPr>
      </w:pPr>
      <w:bookmarkStart w:id="368" w:name="_Toc247527559"/>
      <w:bookmarkStart w:id="369" w:name="_Toc152045535"/>
      <w:bookmarkStart w:id="370" w:name="_Toc247513958"/>
      <w:bookmarkStart w:id="371" w:name="_Toc144974503"/>
      <w:bookmarkStart w:id="372" w:name="_Toc152042311"/>
      <w:bookmarkStart w:id="373" w:name="_Toc4446"/>
      <w:bookmarkStart w:id="374" w:name="_Toc12455"/>
      <w:bookmarkStart w:id="375" w:name="_Toc16924"/>
      <w:bookmarkStart w:id="376" w:name="_Toc9629"/>
      <w:bookmarkStart w:id="377" w:name="_Toc519085276"/>
      <w:bookmarkStart w:id="378" w:name="_Toc12450"/>
      <w:r>
        <w:rPr>
          <w:rFonts w:ascii="黑体" w:hAnsi="黑体"/>
          <w:color w:val="auto"/>
          <w:highlight w:val="none"/>
        </w:rPr>
        <w:t>1.5 费用承担</w:t>
      </w:r>
      <w:bookmarkEnd w:id="368"/>
      <w:bookmarkEnd w:id="369"/>
      <w:bookmarkEnd w:id="370"/>
      <w:bookmarkEnd w:id="371"/>
      <w:bookmarkEnd w:id="372"/>
      <w:r>
        <w:rPr>
          <w:rFonts w:ascii="黑体" w:hAnsi="黑体"/>
          <w:color w:val="auto"/>
          <w:highlight w:val="none"/>
        </w:rPr>
        <w:t>和设计成果补偿</w:t>
      </w:r>
      <w:bookmarkEnd w:id="373"/>
      <w:bookmarkEnd w:id="374"/>
      <w:bookmarkEnd w:id="375"/>
      <w:bookmarkEnd w:id="376"/>
      <w:bookmarkEnd w:id="377"/>
      <w:bookmarkEnd w:id="378"/>
    </w:p>
    <w:p w14:paraId="0A50941C">
      <w:pPr>
        <w:spacing w:line="400" w:lineRule="exact"/>
        <w:ind w:firstLine="420" w:firstLineChars="200"/>
        <w:rPr>
          <w:color w:val="auto"/>
          <w:highlight w:val="none"/>
        </w:rPr>
      </w:pPr>
      <w:r>
        <w:rPr>
          <w:color w:val="auto"/>
          <w:highlight w:val="none"/>
        </w:rPr>
        <w:t>1.5.1 投标人准备和参加投标活动发生的费用自理。</w:t>
      </w:r>
    </w:p>
    <w:p w14:paraId="1F65210E">
      <w:pPr>
        <w:spacing w:line="400" w:lineRule="exact"/>
        <w:ind w:firstLine="420" w:firstLineChars="200"/>
        <w:rPr>
          <w:color w:val="auto"/>
          <w:highlight w:val="none"/>
        </w:rPr>
      </w:pPr>
      <w:r>
        <w:rPr>
          <w:color w:val="auto"/>
          <w:highlight w:val="none"/>
        </w:rPr>
        <w:t>1.5.2 招标人对符合招标文件规定的未中标人的设计成果进行补偿的，按投标人须知前附表规定给予补偿，并有权免费使用未中标人设计成果。</w:t>
      </w:r>
    </w:p>
    <w:p w14:paraId="5FD27623">
      <w:pPr>
        <w:pStyle w:val="107"/>
        <w:outlineLvl w:val="3"/>
        <w:rPr>
          <w:rFonts w:ascii="黑体" w:hAnsi="黑体"/>
          <w:color w:val="auto"/>
          <w:highlight w:val="none"/>
        </w:rPr>
      </w:pPr>
      <w:bookmarkStart w:id="379" w:name="_Toc247513959"/>
      <w:bookmarkStart w:id="380" w:name="_Toc247527560"/>
      <w:bookmarkStart w:id="381" w:name="_Toc144974504"/>
      <w:bookmarkStart w:id="382" w:name="_Toc519085277"/>
      <w:bookmarkStart w:id="383" w:name="_Toc30273"/>
      <w:bookmarkStart w:id="384" w:name="_Toc18702"/>
      <w:bookmarkStart w:id="385" w:name="_Toc3241"/>
      <w:bookmarkStart w:id="386" w:name="_Toc18686"/>
      <w:bookmarkStart w:id="387" w:name="_Toc152042312"/>
      <w:bookmarkStart w:id="388" w:name="_Toc12702"/>
      <w:bookmarkStart w:id="389" w:name="_Toc152045536"/>
      <w:r>
        <w:rPr>
          <w:rFonts w:ascii="黑体" w:hAnsi="黑体"/>
          <w:color w:val="auto"/>
          <w:highlight w:val="none"/>
        </w:rPr>
        <w:t>1.6 保密</w:t>
      </w:r>
      <w:bookmarkEnd w:id="379"/>
      <w:bookmarkEnd w:id="380"/>
      <w:bookmarkEnd w:id="381"/>
      <w:bookmarkEnd w:id="382"/>
      <w:bookmarkEnd w:id="383"/>
      <w:bookmarkEnd w:id="384"/>
      <w:bookmarkEnd w:id="385"/>
      <w:bookmarkEnd w:id="386"/>
      <w:bookmarkEnd w:id="387"/>
      <w:bookmarkEnd w:id="388"/>
      <w:bookmarkEnd w:id="389"/>
    </w:p>
    <w:p w14:paraId="1E6F75ED">
      <w:pPr>
        <w:spacing w:line="400" w:lineRule="exact"/>
        <w:ind w:firstLine="420" w:firstLineChars="200"/>
        <w:rPr>
          <w:color w:val="auto"/>
          <w:highlight w:val="none"/>
        </w:rPr>
      </w:pPr>
      <w:r>
        <w:rPr>
          <w:color w:val="auto"/>
          <w:highlight w:val="none"/>
        </w:rPr>
        <w:t>参与招标投标活动的各方应对招标文件和投标文件中的商业和技术等秘密保密，违者应对由此造成的后果承担法律责任。</w:t>
      </w:r>
    </w:p>
    <w:p w14:paraId="23A5C243">
      <w:pPr>
        <w:pStyle w:val="107"/>
        <w:outlineLvl w:val="3"/>
        <w:rPr>
          <w:rFonts w:ascii="黑体" w:hAnsi="黑体"/>
          <w:color w:val="auto"/>
          <w:highlight w:val="none"/>
        </w:rPr>
      </w:pPr>
      <w:bookmarkStart w:id="390" w:name="_Toc144974505"/>
      <w:bookmarkStart w:id="391" w:name="_Toc152042313"/>
      <w:bookmarkStart w:id="392" w:name="_Toc247527561"/>
      <w:bookmarkStart w:id="393" w:name="_Toc15838"/>
      <w:bookmarkStart w:id="394" w:name="_Toc519085278"/>
      <w:bookmarkStart w:id="395" w:name="_Toc7749"/>
      <w:bookmarkStart w:id="396" w:name="_Toc7201"/>
      <w:bookmarkStart w:id="397" w:name="_Toc23466"/>
      <w:bookmarkStart w:id="398" w:name="_Toc24773"/>
      <w:bookmarkStart w:id="399" w:name="_Toc247513960"/>
      <w:bookmarkStart w:id="400" w:name="_Toc152045537"/>
      <w:r>
        <w:rPr>
          <w:rFonts w:ascii="黑体" w:hAnsi="黑体"/>
          <w:color w:val="auto"/>
          <w:highlight w:val="none"/>
        </w:rPr>
        <w:t>1.7 语言</w:t>
      </w:r>
      <w:bookmarkEnd w:id="390"/>
      <w:r>
        <w:rPr>
          <w:rFonts w:ascii="黑体" w:hAnsi="黑体"/>
          <w:color w:val="auto"/>
          <w:highlight w:val="none"/>
        </w:rPr>
        <w:t>文字</w:t>
      </w:r>
      <w:bookmarkEnd w:id="391"/>
      <w:bookmarkEnd w:id="392"/>
      <w:bookmarkEnd w:id="393"/>
      <w:bookmarkEnd w:id="394"/>
      <w:bookmarkEnd w:id="395"/>
      <w:bookmarkEnd w:id="396"/>
      <w:bookmarkEnd w:id="397"/>
      <w:bookmarkEnd w:id="398"/>
      <w:bookmarkEnd w:id="399"/>
      <w:bookmarkEnd w:id="400"/>
    </w:p>
    <w:p w14:paraId="3CAD1DA1">
      <w:pPr>
        <w:spacing w:line="400" w:lineRule="exact"/>
        <w:ind w:firstLine="420" w:firstLineChars="200"/>
        <w:rPr>
          <w:color w:val="auto"/>
          <w:highlight w:val="none"/>
        </w:rPr>
      </w:pPr>
      <w:r>
        <w:rPr>
          <w:color w:val="auto"/>
          <w:highlight w:val="none"/>
        </w:rPr>
        <w:t>除专用术语外，与招标投标有关的语言均使用中文。必要时专用术语应附有中文注释。</w:t>
      </w:r>
    </w:p>
    <w:p w14:paraId="0FB687C9">
      <w:pPr>
        <w:pStyle w:val="107"/>
        <w:outlineLvl w:val="3"/>
        <w:rPr>
          <w:rFonts w:ascii="黑体" w:hAnsi="黑体"/>
          <w:color w:val="auto"/>
          <w:highlight w:val="none"/>
        </w:rPr>
      </w:pPr>
      <w:bookmarkStart w:id="401" w:name="_Toc24893"/>
      <w:bookmarkStart w:id="402" w:name="_Toc152042314"/>
      <w:bookmarkStart w:id="403" w:name="_Toc3897"/>
      <w:bookmarkStart w:id="404" w:name="_Toc247527562"/>
      <w:bookmarkStart w:id="405" w:name="_Toc519085279"/>
      <w:bookmarkStart w:id="406" w:name="_Toc24555"/>
      <w:bookmarkStart w:id="407" w:name="_Toc27386"/>
      <w:bookmarkStart w:id="408" w:name="_Toc776"/>
      <w:bookmarkStart w:id="409" w:name="_Toc144974506"/>
      <w:bookmarkStart w:id="410" w:name="_Toc247513961"/>
      <w:bookmarkStart w:id="411" w:name="_Toc152045538"/>
      <w:r>
        <w:rPr>
          <w:rFonts w:ascii="黑体" w:hAnsi="黑体"/>
          <w:color w:val="auto"/>
          <w:highlight w:val="none"/>
        </w:rPr>
        <w:t>1.8 计量单位</w:t>
      </w:r>
      <w:bookmarkEnd w:id="401"/>
      <w:bookmarkEnd w:id="402"/>
      <w:bookmarkEnd w:id="403"/>
      <w:bookmarkEnd w:id="404"/>
      <w:bookmarkEnd w:id="405"/>
      <w:bookmarkEnd w:id="406"/>
      <w:bookmarkEnd w:id="407"/>
      <w:bookmarkEnd w:id="408"/>
      <w:bookmarkEnd w:id="409"/>
      <w:bookmarkEnd w:id="410"/>
      <w:bookmarkEnd w:id="411"/>
    </w:p>
    <w:p w14:paraId="723BA518">
      <w:pPr>
        <w:spacing w:line="400" w:lineRule="exact"/>
        <w:ind w:firstLine="420" w:firstLineChars="200"/>
        <w:rPr>
          <w:color w:val="auto"/>
          <w:highlight w:val="none"/>
        </w:rPr>
      </w:pPr>
      <w:r>
        <w:rPr>
          <w:color w:val="auto"/>
          <w:highlight w:val="none"/>
        </w:rPr>
        <w:t>所有计量均采用中华人民共和国法定计量单位。</w:t>
      </w:r>
    </w:p>
    <w:p w14:paraId="3E31AA62">
      <w:pPr>
        <w:pStyle w:val="107"/>
        <w:outlineLvl w:val="3"/>
        <w:rPr>
          <w:rFonts w:ascii="黑体" w:hAnsi="黑体"/>
          <w:color w:val="auto"/>
          <w:highlight w:val="none"/>
        </w:rPr>
      </w:pPr>
      <w:bookmarkStart w:id="412" w:name="_Toc27898"/>
      <w:bookmarkStart w:id="413" w:name="_Toc152042315"/>
      <w:bookmarkStart w:id="414" w:name="_Toc247513962"/>
      <w:bookmarkStart w:id="415" w:name="_Toc15510"/>
      <w:bookmarkStart w:id="416" w:name="_Toc144974507"/>
      <w:bookmarkStart w:id="417" w:name="_Toc152045539"/>
      <w:bookmarkStart w:id="418" w:name="_Toc17992"/>
      <w:bookmarkStart w:id="419" w:name="_Toc15338"/>
      <w:bookmarkStart w:id="420" w:name="_Toc247527563"/>
      <w:bookmarkStart w:id="421" w:name="_Toc3646"/>
      <w:bookmarkStart w:id="422" w:name="_Toc519085280"/>
      <w:r>
        <w:rPr>
          <w:rFonts w:ascii="黑体" w:hAnsi="黑体"/>
          <w:color w:val="auto"/>
          <w:highlight w:val="none"/>
        </w:rPr>
        <w:t>1.9 踏勘现场</w:t>
      </w:r>
      <w:bookmarkEnd w:id="412"/>
      <w:bookmarkEnd w:id="413"/>
      <w:bookmarkEnd w:id="414"/>
      <w:bookmarkEnd w:id="415"/>
      <w:bookmarkEnd w:id="416"/>
      <w:bookmarkEnd w:id="417"/>
      <w:bookmarkEnd w:id="418"/>
      <w:bookmarkEnd w:id="419"/>
      <w:bookmarkEnd w:id="420"/>
      <w:bookmarkEnd w:id="421"/>
      <w:bookmarkEnd w:id="422"/>
    </w:p>
    <w:p w14:paraId="431D62DC">
      <w:pPr>
        <w:spacing w:line="400" w:lineRule="exact"/>
        <w:ind w:firstLine="420" w:firstLineChars="200"/>
        <w:rPr>
          <w:color w:val="auto"/>
          <w:highlight w:val="none"/>
        </w:rPr>
      </w:pPr>
      <w:r>
        <w:rPr>
          <w:color w:val="auto"/>
          <w:highlight w:val="none"/>
        </w:rPr>
        <w:t xml:space="preserve">1.9.1 投标人须知前附表规定组织踏勘现场的，招标人按投标人须知前附表规定的时间、地点组织投标人踏勘项目现场。 </w:t>
      </w:r>
    </w:p>
    <w:p w14:paraId="50590DCB">
      <w:pPr>
        <w:spacing w:line="400" w:lineRule="exact"/>
        <w:ind w:firstLine="420" w:firstLineChars="200"/>
        <w:rPr>
          <w:color w:val="auto"/>
          <w:highlight w:val="none"/>
        </w:rPr>
      </w:pPr>
      <w:r>
        <w:rPr>
          <w:color w:val="auto"/>
          <w:highlight w:val="none"/>
        </w:rPr>
        <w:t>1.9.2 投标人踏勘现场发生的费用自理。</w:t>
      </w:r>
    </w:p>
    <w:p w14:paraId="0F2C0ED6">
      <w:pPr>
        <w:spacing w:line="400" w:lineRule="exact"/>
        <w:ind w:firstLine="420" w:firstLineChars="200"/>
        <w:rPr>
          <w:color w:val="auto"/>
          <w:highlight w:val="none"/>
        </w:rPr>
      </w:pPr>
      <w:r>
        <w:rPr>
          <w:color w:val="auto"/>
          <w:highlight w:val="none"/>
        </w:rPr>
        <w:t>1.9.3 除招标人的原因外，投标人自行负责在踏勘现场中所发生的人员伤亡和财产损失。</w:t>
      </w:r>
    </w:p>
    <w:p w14:paraId="6AC7BB49">
      <w:pPr>
        <w:spacing w:line="400" w:lineRule="exact"/>
        <w:ind w:firstLine="420" w:firstLineChars="200"/>
        <w:rPr>
          <w:color w:val="auto"/>
          <w:highlight w:val="none"/>
        </w:rPr>
      </w:pPr>
      <w:r>
        <w:rPr>
          <w:color w:val="auto"/>
          <w:highlight w:val="none"/>
        </w:rPr>
        <w:t>1.9.4 招标人在踏勘现场中介绍的工程场地和相关的周边环境情况，供投标人在编制投标文件时参考，招标人不对投标人据此作出的判断和决策负责。</w:t>
      </w:r>
    </w:p>
    <w:p w14:paraId="7EDD126F">
      <w:pPr>
        <w:pStyle w:val="107"/>
        <w:outlineLvl w:val="3"/>
        <w:rPr>
          <w:rFonts w:hint="eastAsia" w:ascii="黑体" w:hAnsi="黑体"/>
          <w:color w:val="auto"/>
          <w:highlight w:val="none"/>
        </w:rPr>
      </w:pPr>
      <w:bookmarkStart w:id="423" w:name="_Toc495331100"/>
      <w:bookmarkStart w:id="424" w:name="_Toc27610"/>
      <w:bookmarkStart w:id="425" w:name="_Toc29719"/>
      <w:bookmarkStart w:id="426" w:name="_Toc3553"/>
      <w:bookmarkStart w:id="427" w:name="_Toc9470"/>
      <w:bookmarkStart w:id="428" w:name="_Toc519085281"/>
      <w:bookmarkStart w:id="429" w:name="_Toc16069"/>
      <w:bookmarkStart w:id="430" w:name="_Toc247527564"/>
      <w:bookmarkStart w:id="431" w:name="_Toc152042316"/>
      <w:bookmarkStart w:id="432" w:name="_Toc144974508"/>
      <w:bookmarkStart w:id="433" w:name="_Toc16139"/>
      <w:bookmarkStart w:id="434" w:name="_Toc152045540"/>
      <w:bookmarkStart w:id="435" w:name="_Toc247513963"/>
      <w:bookmarkStart w:id="436" w:name="_Toc13163"/>
      <w:r>
        <w:rPr>
          <w:rFonts w:hint="eastAsia" w:ascii="黑体" w:hAnsi="黑体"/>
          <w:color w:val="auto"/>
          <w:highlight w:val="none"/>
        </w:rPr>
        <w:t>1.10 答疑会</w:t>
      </w:r>
      <w:bookmarkEnd w:id="423"/>
      <w:bookmarkEnd w:id="424"/>
      <w:bookmarkEnd w:id="425"/>
      <w:bookmarkEnd w:id="426"/>
      <w:bookmarkEnd w:id="427"/>
    </w:p>
    <w:bookmarkEnd w:id="428"/>
    <w:bookmarkEnd w:id="429"/>
    <w:bookmarkEnd w:id="430"/>
    <w:bookmarkEnd w:id="431"/>
    <w:bookmarkEnd w:id="432"/>
    <w:bookmarkEnd w:id="433"/>
    <w:bookmarkEnd w:id="434"/>
    <w:bookmarkEnd w:id="435"/>
    <w:bookmarkEnd w:id="436"/>
    <w:p w14:paraId="0E9A9A52">
      <w:pPr>
        <w:spacing w:line="360" w:lineRule="auto"/>
        <w:ind w:firstLine="420" w:firstLineChars="200"/>
        <w:rPr>
          <w:rFonts w:hint="eastAsia"/>
          <w:color w:val="auto"/>
          <w:highlight w:val="none"/>
        </w:rPr>
      </w:pPr>
      <w:r>
        <w:rPr>
          <w:rFonts w:hint="eastAsia"/>
          <w:color w:val="auto"/>
          <w:highlight w:val="none"/>
        </w:rPr>
        <w:t>1.10.1在投标人须知前附表规定的时间前，投标人应使用CA数字证书</w:t>
      </w:r>
      <w:r>
        <w:rPr>
          <w:color w:val="auto"/>
          <w:highlight w:val="none"/>
        </w:rPr>
        <w:t>登录</w:t>
      </w:r>
      <w:r>
        <w:rPr>
          <w:rFonts w:hint="eastAsia"/>
          <w:color w:val="auto"/>
          <w:highlight w:val="none"/>
        </w:rPr>
        <w:t xml:space="preserve"> “市电子交易平台”，在“投标答疑”菜单以书面形式将需要招标人澄清的问题送达招标人，以便招标人澄清。</w:t>
      </w:r>
    </w:p>
    <w:p w14:paraId="4CFE17F1">
      <w:pPr>
        <w:spacing w:line="360" w:lineRule="auto"/>
        <w:ind w:firstLine="420" w:firstLineChars="200"/>
        <w:rPr>
          <w:rFonts w:hint="eastAsia"/>
          <w:color w:val="auto"/>
          <w:highlight w:val="none"/>
        </w:rPr>
      </w:pPr>
      <w:r>
        <w:rPr>
          <w:rFonts w:hint="eastAsia"/>
          <w:color w:val="auto"/>
          <w:highlight w:val="none"/>
        </w:rPr>
        <w:t>1.10.2在投标人须知第2.2项规定的时间内，招标人对投标人所提问题的澄清将以书面形式通过 “市电子交易平台”通知所有下载招标文件的投标人。该澄清通知为招标文件的组成部分。</w:t>
      </w:r>
    </w:p>
    <w:p w14:paraId="28E32298">
      <w:pPr>
        <w:pStyle w:val="107"/>
        <w:outlineLvl w:val="3"/>
        <w:rPr>
          <w:rFonts w:ascii="黑体" w:hAnsi="黑体"/>
          <w:color w:val="auto"/>
          <w:highlight w:val="none"/>
        </w:rPr>
      </w:pPr>
      <w:bookmarkStart w:id="437" w:name="_Toc21892"/>
      <w:bookmarkStart w:id="438" w:name="_Toc247527565"/>
      <w:bookmarkStart w:id="439" w:name="_Toc152045541"/>
      <w:bookmarkStart w:id="440" w:name="_Toc519085282"/>
      <w:bookmarkStart w:id="441" w:name="_Toc22796"/>
      <w:bookmarkStart w:id="442" w:name="_Toc5517"/>
      <w:bookmarkStart w:id="443" w:name="_Toc20966"/>
      <w:bookmarkStart w:id="444" w:name="_Toc20313"/>
      <w:bookmarkStart w:id="445" w:name="_Toc247513964"/>
      <w:bookmarkStart w:id="446" w:name="_Toc144974509"/>
      <w:bookmarkStart w:id="447" w:name="_Toc152042317"/>
      <w:r>
        <w:rPr>
          <w:rFonts w:ascii="黑体" w:hAnsi="黑体"/>
          <w:color w:val="auto"/>
          <w:highlight w:val="none"/>
        </w:rPr>
        <w:t>1.11 分包</w:t>
      </w:r>
      <w:bookmarkEnd w:id="437"/>
      <w:bookmarkEnd w:id="438"/>
      <w:bookmarkEnd w:id="439"/>
      <w:bookmarkEnd w:id="440"/>
      <w:bookmarkEnd w:id="441"/>
      <w:bookmarkEnd w:id="442"/>
      <w:bookmarkEnd w:id="443"/>
      <w:bookmarkEnd w:id="444"/>
      <w:bookmarkEnd w:id="445"/>
      <w:bookmarkEnd w:id="446"/>
      <w:bookmarkEnd w:id="447"/>
    </w:p>
    <w:p w14:paraId="340BD4F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在投标人须知前附表规定允许分包的，</w:t>
      </w:r>
      <w:r>
        <w:rPr>
          <w:rFonts w:hint="eastAsia" w:ascii="宋体" w:hAnsi="宋体"/>
          <w:vanish/>
          <w:color w:val="auto"/>
          <w:szCs w:val="21"/>
          <w:highlight w:val="none"/>
        </w:rPr>
        <w:t xml:space="preserve">招要11 </w:t>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bookmarkStart w:id="448" w:name="_Toc221950129"/>
      <w:r>
        <w:rPr>
          <w:rFonts w:hint="eastAsia" w:ascii="宋体" w:hAnsi="宋体"/>
          <w:vanish/>
          <w:color w:val="auto"/>
          <w:szCs w:val="21"/>
          <w:highlight w:val="none"/>
        </w:rPr>
        <w:t>1.111.11</w:t>
      </w:r>
      <w:r>
        <w:rPr>
          <w:rFonts w:hint="eastAsia" w:ascii="宋体" w:hAnsi="宋体"/>
          <w:color w:val="auto"/>
          <w:szCs w:val="21"/>
          <w:highlight w:val="none"/>
        </w:rPr>
        <w:t>投标人应在投标文件中明确是否在中标后将中标项目的部分非主体、非关键性工作进行分包。</w:t>
      </w:r>
      <w:bookmarkEnd w:id="448"/>
      <w:bookmarkStart w:id="449" w:name="_Toc221950130"/>
      <w:r>
        <w:rPr>
          <w:rFonts w:hint="eastAsia" w:ascii="宋体" w:hAnsi="宋体"/>
          <w:color w:val="auto"/>
          <w:szCs w:val="21"/>
          <w:highlight w:val="none"/>
        </w:rPr>
        <w:t>投标人拟分包时，</w:t>
      </w:r>
      <w:bookmarkStart w:id="450" w:name="_Toc221950131"/>
      <w:r>
        <w:rPr>
          <w:rFonts w:hint="eastAsia" w:ascii="宋体" w:hAnsi="宋体"/>
          <w:color w:val="auto"/>
          <w:szCs w:val="21"/>
          <w:highlight w:val="none"/>
        </w:rPr>
        <w:t>分包人应具备与分包工程的标准和规模相适应的资质和业绩，在人力、设备、资金等方面具有承担分包工程的能力</w:t>
      </w:r>
      <w:bookmarkEnd w:id="450"/>
      <w:r>
        <w:rPr>
          <w:rFonts w:hint="eastAsia" w:ascii="宋体" w:hAnsi="宋体"/>
          <w:color w:val="auto"/>
          <w:szCs w:val="21"/>
          <w:highlight w:val="none"/>
        </w:rPr>
        <w:t>。</w:t>
      </w:r>
      <w:bookmarkEnd w:id="449"/>
    </w:p>
    <w:p w14:paraId="733AD7AB">
      <w:pPr>
        <w:pStyle w:val="107"/>
        <w:outlineLvl w:val="3"/>
        <w:rPr>
          <w:rFonts w:ascii="黑体" w:hAnsi="黑体"/>
          <w:color w:val="auto"/>
          <w:highlight w:val="none"/>
        </w:rPr>
      </w:pPr>
      <w:bookmarkStart w:id="451" w:name="_Toc247513965"/>
      <w:bookmarkStart w:id="452" w:name="_Toc16346"/>
      <w:bookmarkStart w:id="453" w:name="_Toc13507"/>
      <w:bookmarkStart w:id="454" w:name="_Toc5062"/>
      <w:bookmarkStart w:id="455" w:name="_Toc14280"/>
      <w:bookmarkStart w:id="456" w:name="_Toc519085283"/>
      <w:bookmarkStart w:id="457" w:name="_Toc247527566"/>
      <w:bookmarkStart w:id="458" w:name="_Toc556"/>
      <w:r>
        <w:rPr>
          <w:rFonts w:ascii="黑体" w:hAnsi="黑体"/>
          <w:color w:val="auto"/>
          <w:highlight w:val="none"/>
        </w:rPr>
        <w:t>1.12 偏离</w:t>
      </w:r>
      <w:bookmarkEnd w:id="451"/>
      <w:bookmarkEnd w:id="452"/>
      <w:bookmarkEnd w:id="453"/>
      <w:bookmarkEnd w:id="454"/>
      <w:bookmarkEnd w:id="455"/>
      <w:bookmarkEnd w:id="456"/>
      <w:bookmarkEnd w:id="457"/>
      <w:bookmarkEnd w:id="458"/>
    </w:p>
    <w:p w14:paraId="5C4DD84B">
      <w:pPr>
        <w:spacing w:line="400" w:lineRule="exact"/>
        <w:ind w:firstLine="359" w:firstLineChars="171"/>
        <w:rPr>
          <w:color w:val="auto"/>
          <w:highlight w:val="none"/>
        </w:rPr>
      </w:pPr>
      <w:bookmarkStart w:id="459" w:name="_Toc221950135"/>
      <w:r>
        <w:rPr>
          <w:color w:val="auto"/>
          <w:highlight w:val="none"/>
        </w:rPr>
        <w:t>投标文件不允许偏离招标文件的实质性要求和条件</w:t>
      </w:r>
      <w:bookmarkEnd w:id="459"/>
      <w:r>
        <w:rPr>
          <w:color w:val="auto"/>
          <w:highlight w:val="none"/>
        </w:rPr>
        <w:t>。</w:t>
      </w:r>
      <w:r>
        <w:rPr>
          <w:rFonts w:hint="eastAsia"/>
          <w:color w:val="auto"/>
          <w:highlight w:val="none"/>
        </w:rPr>
        <w:t>投标人须知前附表允许投标文件偏离招标文件某些要求的，偏离应当符合招标文件规定的偏离范围和幅度。</w:t>
      </w:r>
    </w:p>
    <w:p w14:paraId="4098D28F">
      <w:pPr>
        <w:pStyle w:val="5"/>
        <w:spacing w:before="156"/>
        <w:rPr>
          <w:color w:val="auto"/>
          <w:sz w:val="28"/>
          <w:szCs w:val="28"/>
          <w:highlight w:val="none"/>
        </w:rPr>
      </w:pPr>
      <w:bookmarkStart w:id="460" w:name="_Toc20382"/>
      <w:bookmarkStart w:id="461" w:name="_Toc152045542"/>
      <w:bookmarkStart w:id="462" w:name="_Toc152042318"/>
      <w:bookmarkStart w:id="463" w:name="_Toc247513966"/>
      <w:bookmarkStart w:id="464" w:name="_Toc32513"/>
      <w:bookmarkStart w:id="465" w:name="_Toc144974510"/>
      <w:bookmarkStart w:id="466" w:name="_Toc16736"/>
      <w:bookmarkStart w:id="467" w:name="_Toc15272"/>
      <w:bookmarkStart w:id="468" w:name="_Toc519085284"/>
      <w:bookmarkStart w:id="469" w:name="_Toc247527567"/>
      <w:bookmarkStart w:id="470" w:name="_Toc1799_WPSOffice_Level2"/>
      <w:bookmarkStart w:id="471" w:name="_Toc24372"/>
      <w:r>
        <w:rPr>
          <w:color w:val="auto"/>
          <w:sz w:val="28"/>
          <w:szCs w:val="28"/>
          <w:highlight w:val="none"/>
        </w:rPr>
        <w:t>2. 招标文件</w:t>
      </w:r>
      <w:bookmarkEnd w:id="460"/>
      <w:bookmarkEnd w:id="461"/>
      <w:bookmarkEnd w:id="462"/>
      <w:bookmarkEnd w:id="463"/>
      <w:bookmarkEnd w:id="464"/>
      <w:bookmarkEnd w:id="465"/>
      <w:bookmarkEnd w:id="466"/>
      <w:bookmarkEnd w:id="467"/>
      <w:bookmarkEnd w:id="468"/>
      <w:bookmarkEnd w:id="469"/>
      <w:bookmarkEnd w:id="470"/>
      <w:bookmarkEnd w:id="471"/>
    </w:p>
    <w:p w14:paraId="596895B3">
      <w:pPr>
        <w:pStyle w:val="107"/>
        <w:outlineLvl w:val="3"/>
        <w:rPr>
          <w:rFonts w:ascii="黑体" w:hAnsi="黑体"/>
          <w:color w:val="auto"/>
          <w:highlight w:val="none"/>
        </w:rPr>
      </w:pPr>
      <w:bookmarkStart w:id="472" w:name="_Toc247513967"/>
      <w:bookmarkStart w:id="473" w:name="_Toc152042319"/>
      <w:bookmarkStart w:id="474" w:name="_Toc2957"/>
      <w:bookmarkStart w:id="475" w:name="_Toc144974511"/>
      <w:bookmarkStart w:id="476" w:name="_Toc247527568"/>
      <w:bookmarkStart w:id="477" w:name="_Toc519085285"/>
      <w:bookmarkStart w:id="478" w:name="_Toc26139"/>
      <w:bookmarkStart w:id="479" w:name="_Toc18488"/>
      <w:bookmarkStart w:id="480" w:name="_Toc15040"/>
      <w:bookmarkStart w:id="481" w:name="_Toc22838"/>
      <w:bookmarkStart w:id="482" w:name="_Toc152045543"/>
      <w:r>
        <w:rPr>
          <w:rFonts w:ascii="黑体" w:hAnsi="黑体"/>
          <w:color w:val="auto"/>
          <w:highlight w:val="none"/>
        </w:rPr>
        <w:t>2.1 招标文件的组成</w:t>
      </w:r>
      <w:bookmarkEnd w:id="472"/>
      <w:bookmarkEnd w:id="473"/>
      <w:bookmarkEnd w:id="474"/>
      <w:bookmarkEnd w:id="475"/>
      <w:bookmarkEnd w:id="476"/>
      <w:bookmarkEnd w:id="477"/>
      <w:bookmarkEnd w:id="478"/>
      <w:bookmarkEnd w:id="479"/>
      <w:bookmarkEnd w:id="480"/>
      <w:bookmarkEnd w:id="481"/>
      <w:bookmarkEnd w:id="482"/>
    </w:p>
    <w:p w14:paraId="239F44E5">
      <w:pPr>
        <w:spacing w:line="400" w:lineRule="exact"/>
        <w:ind w:firstLine="420" w:firstLineChars="200"/>
        <w:rPr>
          <w:color w:val="auto"/>
          <w:highlight w:val="none"/>
        </w:rPr>
      </w:pPr>
      <w:r>
        <w:rPr>
          <w:color w:val="auto"/>
          <w:highlight w:val="none"/>
        </w:rPr>
        <w:t>本招标文件包括：</w:t>
      </w:r>
    </w:p>
    <w:p w14:paraId="51F59CC4">
      <w:pPr>
        <w:spacing w:line="400" w:lineRule="exact"/>
        <w:ind w:firstLine="420" w:firstLineChars="200"/>
        <w:rPr>
          <w:color w:val="auto"/>
          <w:highlight w:val="none"/>
        </w:rPr>
      </w:pPr>
      <w:r>
        <w:rPr>
          <w:color w:val="auto"/>
          <w:highlight w:val="none"/>
        </w:rPr>
        <w:t>（1）招标公告（或投标邀请书）；</w:t>
      </w:r>
    </w:p>
    <w:p w14:paraId="264E9C82">
      <w:pPr>
        <w:spacing w:line="400" w:lineRule="exact"/>
        <w:ind w:firstLine="420" w:firstLineChars="200"/>
        <w:rPr>
          <w:color w:val="auto"/>
          <w:highlight w:val="none"/>
        </w:rPr>
      </w:pPr>
      <w:r>
        <w:rPr>
          <w:color w:val="auto"/>
          <w:highlight w:val="none"/>
        </w:rPr>
        <w:t>（2）投标人须知；</w:t>
      </w:r>
    </w:p>
    <w:p w14:paraId="382EEB6B">
      <w:pPr>
        <w:spacing w:line="400" w:lineRule="exact"/>
        <w:ind w:firstLine="420" w:firstLineChars="200"/>
        <w:rPr>
          <w:color w:val="auto"/>
          <w:highlight w:val="none"/>
        </w:rPr>
      </w:pPr>
      <w:r>
        <w:rPr>
          <w:color w:val="auto"/>
          <w:highlight w:val="none"/>
        </w:rPr>
        <w:t>（3）评标办法；</w:t>
      </w:r>
    </w:p>
    <w:p w14:paraId="526E5639">
      <w:pPr>
        <w:spacing w:line="400" w:lineRule="exact"/>
        <w:ind w:firstLine="420" w:firstLineChars="200"/>
        <w:rPr>
          <w:color w:val="auto"/>
          <w:highlight w:val="none"/>
        </w:rPr>
      </w:pPr>
      <w:r>
        <w:rPr>
          <w:color w:val="auto"/>
          <w:highlight w:val="none"/>
        </w:rPr>
        <w:t>（4）合同条款及格式；</w:t>
      </w:r>
    </w:p>
    <w:p w14:paraId="6D56E77E">
      <w:pPr>
        <w:spacing w:line="400" w:lineRule="exact"/>
        <w:ind w:firstLine="420" w:firstLineChars="200"/>
        <w:rPr>
          <w:color w:val="auto"/>
          <w:highlight w:val="none"/>
        </w:rPr>
      </w:pPr>
      <w:r>
        <w:rPr>
          <w:color w:val="auto"/>
          <w:highlight w:val="none"/>
        </w:rPr>
        <w:t>（5）发包人要求；</w:t>
      </w:r>
    </w:p>
    <w:p w14:paraId="2B36114A">
      <w:pPr>
        <w:spacing w:line="400" w:lineRule="exact"/>
        <w:ind w:firstLine="420" w:firstLineChars="200"/>
        <w:rPr>
          <w:color w:val="auto"/>
          <w:highlight w:val="none"/>
        </w:rPr>
      </w:pPr>
      <w:r>
        <w:rPr>
          <w:color w:val="auto"/>
          <w:highlight w:val="none"/>
        </w:rPr>
        <w:t>（6）发包人提供的资料和条件；</w:t>
      </w:r>
    </w:p>
    <w:p w14:paraId="628FEEF0">
      <w:pPr>
        <w:spacing w:line="400" w:lineRule="exact"/>
        <w:ind w:firstLine="420" w:firstLineChars="200"/>
        <w:rPr>
          <w:color w:val="auto"/>
          <w:highlight w:val="none"/>
        </w:rPr>
      </w:pPr>
      <w:r>
        <w:rPr>
          <w:color w:val="auto"/>
          <w:highlight w:val="none"/>
        </w:rPr>
        <w:t>（7）投标文件格式；</w:t>
      </w:r>
    </w:p>
    <w:p w14:paraId="6A66B864">
      <w:pPr>
        <w:spacing w:line="400" w:lineRule="exact"/>
        <w:ind w:firstLine="420" w:firstLineChars="200"/>
        <w:rPr>
          <w:color w:val="auto"/>
          <w:highlight w:val="none"/>
        </w:rPr>
      </w:pPr>
      <w:r>
        <w:rPr>
          <w:color w:val="auto"/>
          <w:highlight w:val="none"/>
        </w:rPr>
        <w:t>（8）投标人须知前附表规定的其他资料。</w:t>
      </w:r>
    </w:p>
    <w:p w14:paraId="53D35991">
      <w:pPr>
        <w:spacing w:line="400" w:lineRule="exact"/>
        <w:ind w:firstLine="420" w:firstLineChars="200"/>
        <w:rPr>
          <w:color w:val="auto"/>
          <w:highlight w:val="none"/>
        </w:rPr>
      </w:pPr>
      <w:r>
        <w:rPr>
          <w:color w:val="auto"/>
          <w:highlight w:val="none"/>
        </w:rPr>
        <w:t>根据本章第1.10款、第2.2款和第2.3款对招标文件所作的澄清、修改，构成招标文件的组成部分。</w:t>
      </w:r>
    </w:p>
    <w:p w14:paraId="73D71B8F">
      <w:pPr>
        <w:pStyle w:val="107"/>
        <w:outlineLvl w:val="3"/>
        <w:rPr>
          <w:rFonts w:ascii="黑体" w:hAnsi="黑体"/>
          <w:color w:val="auto"/>
          <w:highlight w:val="none"/>
        </w:rPr>
      </w:pPr>
      <w:bookmarkStart w:id="483" w:name="_Toc30627"/>
      <w:bookmarkStart w:id="484" w:name="_Toc247527569"/>
      <w:bookmarkStart w:id="485" w:name="_Toc6565"/>
      <w:bookmarkStart w:id="486" w:name="_Toc152045544"/>
      <w:bookmarkStart w:id="487" w:name="_Toc144974512"/>
      <w:bookmarkStart w:id="488" w:name="_Toc247513968"/>
      <w:bookmarkStart w:id="489" w:name="_Toc152042320"/>
      <w:bookmarkStart w:id="490" w:name="_Toc5412"/>
      <w:bookmarkStart w:id="491" w:name="_Toc13604"/>
      <w:bookmarkStart w:id="492" w:name="_Toc519085286"/>
      <w:bookmarkStart w:id="493" w:name="_Toc8958"/>
      <w:r>
        <w:rPr>
          <w:rFonts w:ascii="黑体" w:hAnsi="黑体"/>
          <w:color w:val="auto"/>
          <w:highlight w:val="none"/>
        </w:rPr>
        <w:t>2.2 招标文件的澄清</w:t>
      </w:r>
      <w:bookmarkEnd w:id="483"/>
      <w:bookmarkEnd w:id="484"/>
      <w:bookmarkEnd w:id="485"/>
      <w:bookmarkEnd w:id="486"/>
      <w:bookmarkEnd w:id="487"/>
      <w:bookmarkEnd w:id="488"/>
      <w:bookmarkEnd w:id="489"/>
      <w:bookmarkEnd w:id="490"/>
      <w:bookmarkEnd w:id="491"/>
      <w:bookmarkEnd w:id="492"/>
      <w:bookmarkEnd w:id="493"/>
    </w:p>
    <w:p w14:paraId="1BCAE053">
      <w:pPr>
        <w:spacing w:line="360" w:lineRule="auto"/>
        <w:ind w:firstLine="420" w:firstLineChars="200"/>
        <w:rPr>
          <w:rFonts w:hint="eastAsia"/>
          <w:color w:val="auto"/>
          <w:highlight w:val="none"/>
        </w:rPr>
      </w:pPr>
      <w:bookmarkStart w:id="494" w:name="_Toc152045545"/>
      <w:bookmarkStart w:id="495" w:name="_Toc247527570"/>
      <w:bookmarkStart w:id="496" w:name="_Toc247513969"/>
      <w:bookmarkStart w:id="497" w:name="_Toc144974513"/>
      <w:bookmarkStart w:id="498" w:name="_Toc152042321"/>
      <w:r>
        <w:rPr>
          <w:rFonts w:hint="eastAsia"/>
          <w:color w:val="auto"/>
          <w:highlight w:val="none"/>
        </w:rPr>
        <w:t>2.2.1投标人应仔细阅读和检查招标文件的全部内容。如对招标文件有任何疑问，应在投标人须知前附表规定的投标人提问截止时间前，使用CA数字证书登录 “市电子交易平台”，向招标人提出澄清要求，在投标人提问截止时间前可多次提交澄清要求。</w:t>
      </w:r>
    </w:p>
    <w:p w14:paraId="2BBF5FDF">
      <w:pPr>
        <w:spacing w:line="360" w:lineRule="auto"/>
        <w:ind w:firstLine="420" w:firstLineChars="200"/>
        <w:rPr>
          <w:rFonts w:hint="eastAsia"/>
          <w:color w:val="auto"/>
          <w:highlight w:val="none"/>
        </w:rPr>
      </w:pPr>
      <w:r>
        <w:rPr>
          <w:rFonts w:hint="eastAsia"/>
          <w:color w:val="auto"/>
          <w:highlight w:val="none"/>
        </w:rPr>
        <w:t>2.2.2无论是招标人根据需要主动对招标文件进行必要的澄清，或是根据投标人的要求对招标文件做出的澄清，招标人应使用 CA 数字证书登录 “市电子交易平台”向投标人予以澄清。</w:t>
      </w:r>
    </w:p>
    <w:p w14:paraId="0E735AFA">
      <w:pPr>
        <w:spacing w:line="360" w:lineRule="auto"/>
        <w:ind w:firstLine="420" w:firstLineChars="200"/>
        <w:rPr>
          <w:rFonts w:hint="eastAsia"/>
          <w:color w:val="auto"/>
          <w:highlight w:val="none"/>
        </w:rPr>
      </w:pPr>
      <w:r>
        <w:rPr>
          <w:rFonts w:hint="eastAsia"/>
          <w:color w:val="auto"/>
          <w:highlight w:val="none"/>
        </w:rPr>
        <w:t>2.2.3行政监督部门应于答疑纪要备案截止时间前使用 CA 数字证书登录 “市电子交易平台”对招标人提交的澄清文件进行备案。</w:t>
      </w:r>
    </w:p>
    <w:p w14:paraId="6876BFD3">
      <w:pPr>
        <w:spacing w:line="360" w:lineRule="auto"/>
        <w:ind w:firstLine="420" w:firstLineChars="200"/>
        <w:rPr>
          <w:rFonts w:hint="eastAsia"/>
          <w:color w:val="auto"/>
          <w:highlight w:val="none"/>
        </w:rPr>
      </w:pPr>
      <w:r>
        <w:rPr>
          <w:rFonts w:hint="eastAsia"/>
          <w:color w:val="auto"/>
          <w:highlight w:val="none"/>
        </w:rPr>
        <w:t>2.2.4已通过备案的澄清文件将向所有获得招标文件的投标人发送，投标人应使用 CA 数字证书登录 “市电子交易平台”查看澄清文件，与招标文件具有同等约束作用。</w:t>
      </w:r>
    </w:p>
    <w:p w14:paraId="3459FE0E">
      <w:pPr>
        <w:spacing w:line="360" w:lineRule="auto"/>
        <w:ind w:firstLine="420" w:firstLineChars="200"/>
        <w:rPr>
          <w:rFonts w:hint="eastAsia"/>
          <w:color w:val="auto"/>
          <w:highlight w:val="none"/>
        </w:rPr>
      </w:pPr>
      <w:r>
        <w:rPr>
          <w:rFonts w:hint="eastAsia"/>
          <w:color w:val="auto"/>
          <w:highlight w:val="none"/>
        </w:rPr>
        <w:t>2.2.5澄清文件自备案之日起至投标截止时间不足 15 日的，并且澄清的内容影响投标文件编制的，招标人应当顺延提交投标文件的截止时间直至满足。</w:t>
      </w:r>
    </w:p>
    <w:p w14:paraId="52E687D8">
      <w:pPr>
        <w:spacing w:line="360" w:lineRule="auto"/>
        <w:ind w:firstLine="420" w:firstLineChars="200"/>
        <w:rPr>
          <w:rFonts w:hint="eastAsia"/>
          <w:color w:val="auto"/>
          <w:highlight w:val="none"/>
        </w:rPr>
      </w:pPr>
      <w:r>
        <w:rPr>
          <w:rFonts w:hint="eastAsia"/>
          <w:color w:val="auto"/>
          <w:highlight w:val="none"/>
        </w:rPr>
        <w:t>2.2.6投标人应实时关注 “市电子交易平台”上发出的澄清通知，因投标人自身原因未及时获知澄清内容而导致的任何后果将由投标人自行承担。</w:t>
      </w:r>
    </w:p>
    <w:p w14:paraId="01B001FE">
      <w:pPr>
        <w:pStyle w:val="107"/>
        <w:outlineLvl w:val="3"/>
        <w:rPr>
          <w:rFonts w:ascii="黑体" w:hAnsi="黑体"/>
          <w:color w:val="auto"/>
          <w:highlight w:val="none"/>
        </w:rPr>
      </w:pPr>
      <w:bookmarkStart w:id="499" w:name="_Toc28414"/>
      <w:bookmarkStart w:id="500" w:name="_Toc519085287"/>
      <w:bookmarkStart w:id="501" w:name="_Toc30764"/>
      <w:bookmarkStart w:id="502" w:name="_Toc25882"/>
      <w:bookmarkStart w:id="503" w:name="_Toc12304"/>
      <w:bookmarkStart w:id="504" w:name="_Toc21893"/>
      <w:r>
        <w:rPr>
          <w:rFonts w:ascii="黑体" w:hAnsi="黑体"/>
          <w:color w:val="auto"/>
          <w:highlight w:val="none"/>
        </w:rPr>
        <w:t>2.3 招标文件的修改</w:t>
      </w:r>
      <w:bookmarkEnd w:id="494"/>
      <w:bookmarkEnd w:id="495"/>
      <w:bookmarkEnd w:id="496"/>
      <w:bookmarkEnd w:id="497"/>
      <w:bookmarkEnd w:id="498"/>
      <w:bookmarkEnd w:id="499"/>
      <w:bookmarkEnd w:id="500"/>
      <w:bookmarkEnd w:id="501"/>
      <w:bookmarkEnd w:id="502"/>
      <w:bookmarkEnd w:id="503"/>
      <w:bookmarkEnd w:id="504"/>
    </w:p>
    <w:p w14:paraId="14D8C2A4">
      <w:pPr>
        <w:spacing w:line="360" w:lineRule="auto"/>
        <w:ind w:firstLine="420" w:firstLineChars="200"/>
        <w:rPr>
          <w:rFonts w:hint="eastAsia"/>
          <w:color w:val="auto"/>
          <w:highlight w:val="none"/>
        </w:rPr>
      </w:pPr>
      <w:bookmarkStart w:id="505" w:name="_Toc247513970"/>
      <w:bookmarkStart w:id="506" w:name="_Toc152045546"/>
      <w:bookmarkStart w:id="507" w:name="_Toc144974514"/>
      <w:bookmarkStart w:id="508" w:name="_Toc152042322"/>
      <w:bookmarkStart w:id="509" w:name="_Toc247527571"/>
      <w:r>
        <w:rPr>
          <w:rFonts w:hint="eastAsia"/>
          <w:color w:val="auto"/>
          <w:highlight w:val="none"/>
        </w:rPr>
        <w:t>2.3.1招标文件发出后，在提交投标文件截止时间 15 日前，招标人可使用 CA 数字证书登录 “市电子交易平台”对招标文件进行必要的修改或补充。招标人对招标文件的修改及补充，以向投标人发出补充招标文件的方式作出。</w:t>
      </w:r>
    </w:p>
    <w:p w14:paraId="23D0949B">
      <w:pPr>
        <w:spacing w:line="360" w:lineRule="auto"/>
        <w:ind w:firstLine="420" w:firstLineChars="200"/>
        <w:rPr>
          <w:rFonts w:hint="eastAsia"/>
          <w:color w:val="auto"/>
          <w:highlight w:val="none"/>
        </w:rPr>
      </w:pPr>
      <w:r>
        <w:rPr>
          <w:rFonts w:hint="eastAsia"/>
          <w:color w:val="auto"/>
          <w:highlight w:val="none"/>
        </w:rPr>
        <w:t>2.3.2行政监督部门应对招标人提交的补充招标文件进行备案。已通过备案的补充招标文件向所有获得招标文件的投标人发送，投标人应使用 CA 数字证书登录 “市电子交易平台”查看，与招标文件具有同等约束作用。</w:t>
      </w:r>
    </w:p>
    <w:p w14:paraId="24173BF4">
      <w:pPr>
        <w:spacing w:line="360" w:lineRule="auto"/>
        <w:ind w:firstLine="420" w:firstLineChars="200"/>
        <w:rPr>
          <w:rFonts w:hint="eastAsia"/>
          <w:color w:val="auto"/>
          <w:highlight w:val="none"/>
        </w:rPr>
      </w:pPr>
      <w:r>
        <w:rPr>
          <w:rFonts w:hint="eastAsia"/>
          <w:color w:val="auto"/>
          <w:highlight w:val="none"/>
        </w:rPr>
        <w:t>2.3.3补充招标文件自备案之日起至投标截止时间不足 15 日的，招标人应当顺延提交投标文件的截止时间直至满足。</w:t>
      </w:r>
    </w:p>
    <w:p w14:paraId="40410321">
      <w:pPr>
        <w:spacing w:line="360" w:lineRule="auto"/>
        <w:ind w:firstLine="420" w:firstLineChars="200"/>
        <w:rPr>
          <w:rFonts w:hint="eastAsia"/>
          <w:color w:val="auto"/>
          <w:highlight w:val="none"/>
        </w:rPr>
      </w:pPr>
      <w:r>
        <w:rPr>
          <w:rFonts w:hint="eastAsia"/>
          <w:color w:val="auto"/>
          <w:highlight w:val="none"/>
        </w:rPr>
        <w:t>2.3.4当招标文件、招标文件的澄清、修改、补充等文件在同一内容的表述上不一致时，以最后发出的文件为准。</w:t>
      </w:r>
    </w:p>
    <w:p w14:paraId="394F4A2B">
      <w:pPr>
        <w:pStyle w:val="107"/>
        <w:outlineLvl w:val="3"/>
        <w:rPr>
          <w:rFonts w:ascii="黑体" w:hAnsi="黑体"/>
          <w:color w:val="auto"/>
          <w:highlight w:val="none"/>
        </w:rPr>
      </w:pPr>
      <w:bookmarkStart w:id="510" w:name="_Toc4927"/>
      <w:bookmarkStart w:id="511" w:name="_Toc456173210"/>
      <w:bookmarkStart w:id="512" w:name="_Toc26809"/>
      <w:bookmarkStart w:id="513" w:name="_Toc11098"/>
      <w:bookmarkStart w:id="514" w:name="_Toc32693"/>
      <w:bookmarkStart w:id="515" w:name="_Toc519085288"/>
      <w:bookmarkStart w:id="516" w:name="_Toc10571"/>
      <w:r>
        <w:rPr>
          <w:rFonts w:ascii="黑体" w:hAnsi="黑体"/>
          <w:color w:val="auto"/>
          <w:highlight w:val="none"/>
        </w:rPr>
        <w:t>2.4 招标文件的异议</w:t>
      </w:r>
      <w:bookmarkEnd w:id="510"/>
      <w:bookmarkEnd w:id="511"/>
      <w:bookmarkEnd w:id="512"/>
      <w:bookmarkEnd w:id="513"/>
      <w:bookmarkEnd w:id="514"/>
      <w:bookmarkEnd w:id="515"/>
      <w:bookmarkEnd w:id="516"/>
    </w:p>
    <w:p w14:paraId="7E8796DF">
      <w:pPr>
        <w:spacing w:line="360" w:lineRule="auto"/>
        <w:ind w:firstLine="420" w:firstLineChars="200"/>
        <w:rPr>
          <w:rFonts w:hint="eastAsia"/>
          <w:color w:val="auto"/>
          <w:highlight w:val="none"/>
        </w:rPr>
      </w:pPr>
      <w:r>
        <w:rPr>
          <w:rFonts w:hint="eastAsia"/>
          <w:color w:val="auto"/>
          <w:highlight w:val="none"/>
        </w:rPr>
        <w:t>2.4.1投标人或者其他利害关系人对招标文件（包括对招标文件澄清和修改的内容）有异议的，应当在投标人须知前附表4.1.1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w:t>
      </w:r>
    </w:p>
    <w:p w14:paraId="71A38DC0">
      <w:pPr>
        <w:spacing w:line="360" w:lineRule="auto"/>
        <w:ind w:firstLine="420" w:firstLineChars="200"/>
        <w:rPr>
          <w:rFonts w:hint="eastAsia"/>
          <w:color w:val="auto"/>
          <w:highlight w:val="none"/>
        </w:rPr>
      </w:pPr>
      <w:r>
        <w:rPr>
          <w:rFonts w:hint="eastAsia"/>
          <w:color w:val="auto"/>
          <w:highlight w:val="none"/>
        </w:rPr>
        <w:t>本处所称异议是指投标人或者其他利害关系人认为招标文件的内容违反法律、法规、规章的强制性规定，违反公开、公平、公正和诚实信用原则，影响投标人投标而向招标人提出的质疑。</w:t>
      </w:r>
    </w:p>
    <w:p w14:paraId="5DF0F568">
      <w:pPr>
        <w:spacing w:line="360" w:lineRule="auto"/>
        <w:ind w:firstLine="420" w:firstLineChars="200"/>
        <w:rPr>
          <w:rFonts w:hint="eastAsia"/>
          <w:color w:val="auto"/>
          <w:highlight w:val="none"/>
        </w:rPr>
      </w:pPr>
      <w:r>
        <w:rPr>
          <w:rFonts w:hint="eastAsia"/>
          <w:color w:val="auto"/>
          <w:highlight w:val="none"/>
        </w:rPr>
        <w:t>2.4.2招标人对异议的答复构成对招标文件澄清或者修改的，招标人将按照本章第2.2款、第2.3款规定办理。</w:t>
      </w:r>
    </w:p>
    <w:p w14:paraId="78971E0D">
      <w:pPr>
        <w:pStyle w:val="5"/>
        <w:spacing w:before="156"/>
        <w:rPr>
          <w:color w:val="auto"/>
          <w:sz w:val="28"/>
          <w:szCs w:val="28"/>
          <w:highlight w:val="none"/>
        </w:rPr>
      </w:pPr>
      <w:bookmarkStart w:id="517" w:name="_Toc17502"/>
      <w:bookmarkStart w:id="518" w:name="_Toc7074"/>
      <w:bookmarkStart w:id="519" w:name="_Toc19689_WPSOffice_Level2"/>
      <w:bookmarkStart w:id="520" w:name="_Toc19301"/>
      <w:bookmarkStart w:id="521" w:name="_Toc9901"/>
      <w:bookmarkStart w:id="522" w:name="_Toc519085289"/>
      <w:bookmarkStart w:id="523" w:name="_Toc24504"/>
      <w:r>
        <w:rPr>
          <w:color w:val="auto"/>
          <w:sz w:val="28"/>
          <w:szCs w:val="28"/>
          <w:highlight w:val="none"/>
        </w:rPr>
        <w:t>3. 投标文件</w:t>
      </w:r>
      <w:bookmarkEnd w:id="505"/>
      <w:bookmarkEnd w:id="506"/>
      <w:bookmarkEnd w:id="507"/>
      <w:bookmarkEnd w:id="508"/>
      <w:bookmarkEnd w:id="509"/>
      <w:bookmarkEnd w:id="517"/>
      <w:bookmarkEnd w:id="518"/>
      <w:bookmarkEnd w:id="519"/>
      <w:bookmarkEnd w:id="520"/>
      <w:bookmarkEnd w:id="521"/>
      <w:bookmarkEnd w:id="522"/>
      <w:bookmarkEnd w:id="523"/>
    </w:p>
    <w:p w14:paraId="06E1CC97">
      <w:pPr>
        <w:pStyle w:val="107"/>
        <w:outlineLvl w:val="3"/>
        <w:rPr>
          <w:rFonts w:ascii="黑体" w:hAnsi="黑体"/>
          <w:color w:val="auto"/>
          <w:highlight w:val="none"/>
        </w:rPr>
      </w:pPr>
      <w:bookmarkStart w:id="524" w:name="_Toc247527572"/>
      <w:bookmarkStart w:id="525" w:name="_Toc14675"/>
      <w:bookmarkStart w:id="526" w:name="_Toc8857"/>
      <w:bookmarkStart w:id="527" w:name="_Toc152045547"/>
      <w:bookmarkStart w:id="528" w:name="_Toc144974515"/>
      <w:bookmarkStart w:id="529" w:name="_Toc12972"/>
      <w:bookmarkStart w:id="530" w:name="_Toc247513971"/>
      <w:bookmarkStart w:id="531" w:name="_Toc519085290"/>
      <w:bookmarkStart w:id="532" w:name="_Toc31013"/>
      <w:bookmarkStart w:id="533" w:name="_Toc23841"/>
      <w:bookmarkStart w:id="534" w:name="_Toc152042323"/>
      <w:r>
        <w:rPr>
          <w:rFonts w:ascii="黑体" w:hAnsi="黑体"/>
          <w:color w:val="auto"/>
          <w:highlight w:val="none"/>
        </w:rPr>
        <w:t>3.1 投标文件的组成</w:t>
      </w:r>
      <w:bookmarkEnd w:id="524"/>
      <w:bookmarkEnd w:id="525"/>
      <w:bookmarkEnd w:id="526"/>
      <w:bookmarkEnd w:id="527"/>
      <w:bookmarkEnd w:id="528"/>
      <w:bookmarkEnd w:id="529"/>
      <w:bookmarkEnd w:id="530"/>
      <w:bookmarkEnd w:id="531"/>
      <w:bookmarkEnd w:id="532"/>
      <w:bookmarkEnd w:id="533"/>
      <w:bookmarkEnd w:id="534"/>
    </w:p>
    <w:p w14:paraId="534C01A3">
      <w:pPr>
        <w:spacing w:line="400" w:lineRule="exact"/>
        <w:ind w:firstLine="420" w:firstLineChars="200"/>
        <w:rPr>
          <w:color w:val="auto"/>
          <w:highlight w:val="none"/>
        </w:rPr>
      </w:pPr>
      <w:r>
        <w:rPr>
          <w:color w:val="auto"/>
          <w:highlight w:val="none"/>
        </w:rPr>
        <w:t>3.1.1 投标文件应包括下列内容：</w:t>
      </w:r>
    </w:p>
    <w:p w14:paraId="26A02788">
      <w:pPr>
        <w:spacing w:line="400" w:lineRule="exact"/>
        <w:ind w:firstLine="420" w:firstLineChars="200"/>
        <w:rPr>
          <w:color w:val="auto"/>
          <w:highlight w:val="none"/>
        </w:rPr>
      </w:pPr>
      <w:r>
        <w:rPr>
          <w:color w:val="auto"/>
          <w:highlight w:val="none"/>
        </w:rPr>
        <w:t>（1）投标函及投标函附录；</w:t>
      </w:r>
    </w:p>
    <w:p w14:paraId="07EEC5EA">
      <w:pPr>
        <w:spacing w:line="400" w:lineRule="exact"/>
        <w:ind w:firstLine="420" w:firstLineChars="200"/>
        <w:rPr>
          <w:rFonts w:hint="eastAsia"/>
          <w:color w:val="auto"/>
          <w:highlight w:val="none"/>
        </w:rPr>
      </w:pPr>
      <w:r>
        <w:rPr>
          <w:color w:val="auto"/>
          <w:highlight w:val="none"/>
        </w:rPr>
        <w:t>（2）法定代表人身份证明</w:t>
      </w:r>
    </w:p>
    <w:p w14:paraId="22922960">
      <w:pPr>
        <w:spacing w:line="400" w:lineRule="exact"/>
        <w:ind w:firstLine="420" w:firstLineChars="200"/>
        <w:rPr>
          <w:rFonts w:hint="eastAsia"/>
          <w:color w:val="auto"/>
          <w:highlight w:val="none"/>
        </w:rPr>
      </w:pPr>
      <w:r>
        <w:rPr>
          <w:rFonts w:hint="eastAsia"/>
          <w:color w:val="auto"/>
          <w:highlight w:val="none"/>
        </w:rPr>
        <w:t>（3）法定代表人授权委托书（如有）；</w:t>
      </w:r>
    </w:p>
    <w:p w14:paraId="63F1BB98">
      <w:pPr>
        <w:spacing w:line="40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）联合体协议书；</w:t>
      </w:r>
    </w:p>
    <w:p w14:paraId="52AF3040">
      <w:pPr>
        <w:spacing w:line="40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）投标保证金；</w:t>
      </w:r>
    </w:p>
    <w:p w14:paraId="469F2B2A">
      <w:pPr>
        <w:spacing w:line="400" w:lineRule="exact"/>
        <w:ind w:firstLine="420" w:firstLineChars="200"/>
        <w:rPr>
          <w:color w:val="auto"/>
          <w:highlight w:val="none"/>
        </w:rPr>
      </w:pPr>
      <w:r>
        <w:rPr>
          <w:color w:val="auto"/>
          <w:highlight w:val="none"/>
        </w:rPr>
        <w:t>（</w:t>
      </w:r>
      <w:r>
        <w:rPr>
          <w:rFonts w:hint="eastAsia"/>
          <w:color w:val="auto"/>
          <w:highlight w:val="none"/>
        </w:rPr>
        <w:t>6</w:t>
      </w:r>
      <w:r>
        <w:rPr>
          <w:color w:val="auto"/>
          <w:highlight w:val="none"/>
        </w:rPr>
        <w:t>）价格清单；</w:t>
      </w:r>
    </w:p>
    <w:p w14:paraId="3787CBF5">
      <w:pPr>
        <w:spacing w:line="40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）承包人建议书；</w:t>
      </w:r>
    </w:p>
    <w:p w14:paraId="4F2A99CC">
      <w:pPr>
        <w:spacing w:line="400" w:lineRule="exact"/>
        <w:ind w:firstLine="420" w:firstLineChars="200"/>
        <w:rPr>
          <w:rFonts w:hint="eastAsia"/>
          <w:color w:val="auto"/>
          <w:highlight w:val="none"/>
        </w:rPr>
      </w:pPr>
      <w:r>
        <w:rPr>
          <w:color w:val="auto"/>
          <w:highlight w:val="none"/>
        </w:rPr>
        <w:t>（</w:t>
      </w:r>
      <w:r>
        <w:rPr>
          <w:rFonts w:hint="eastAsia"/>
          <w:color w:val="auto"/>
          <w:highlight w:val="none"/>
        </w:rPr>
        <w:t>8</w:t>
      </w:r>
      <w:r>
        <w:rPr>
          <w:color w:val="auto"/>
          <w:highlight w:val="none"/>
        </w:rPr>
        <w:t>）</w:t>
      </w:r>
      <w:r>
        <w:rPr>
          <w:rFonts w:hint="eastAsia"/>
          <w:color w:val="auto"/>
          <w:highlight w:val="none"/>
        </w:rPr>
        <w:t>承包人</w:t>
      </w:r>
      <w:r>
        <w:rPr>
          <w:color w:val="auto"/>
          <w:highlight w:val="none"/>
        </w:rPr>
        <w:t>实施</w:t>
      </w:r>
      <w:r>
        <w:rPr>
          <w:rFonts w:hint="eastAsia"/>
          <w:color w:val="auto"/>
          <w:highlight w:val="none"/>
          <w:lang w:val="en-US" w:eastAsia="zh-CN"/>
        </w:rPr>
        <w:t>方案</w:t>
      </w:r>
      <w:r>
        <w:rPr>
          <w:color w:val="auto"/>
          <w:highlight w:val="none"/>
        </w:rPr>
        <w:t>；</w:t>
      </w:r>
    </w:p>
    <w:p w14:paraId="6880539B">
      <w:pPr>
        <w:spacing w:line="400" w:lineRule="exact"/>
        <w:ind w:firstLine="420" w:firstLineChars="200"/>
        <w:rPr>
          <w:color w:val="auto"/>
          <w:highlight w:val="none"/>
        </w:rPr>
      </w:pPr>
      <w:r>
        <w:rPr>
          <w:rFonts w:hint="eastAsia"/>
          <w:color w:val="auto"/>
          <w:highlight w:val="none"/>
        </w:rPr>
        <w:t>（9）项目管理机构</w:t>
      </w:r>
    </w:p>
    <w:p w14:paraId="26F7C7BB">
      <w:pPr>
        <w:spacing w:line="400" w:lineRule="exact"/>
        <w:ind w:firstLine="420" w:firstLineChars="200"/>
        <w:rPr>
          <w:color w:val="auto"/>
          <w:highlight w:val="none"/>
        </w:rPr>
      </w:pPr>
      <w:r>
        <w:rPr>
          <w:color w:val="auto"/>
          <w:highlight w:val="none"/>
        </w:rPr>
        <w:t>（</w:t>
      </w:r>
      <w:r>
        <w:rPr>
          <w:rFonts w:hint="eastAsia"/>
          <w:color w:val="auto"/>
          <w:highlight w:val="none"/>
        </w:rPr>
        <w:t>10</w:t>
      </w:r>
      <w:r>
        <w:rPr>
          <w:color w:val="auto"/>
          <w:highlight w:val="none"/>
        </w:rPr>
        <w:t xml:space="preserve">）拟分包项目情况表（如有）； </w:t>
      </w:r>
    </w:p>
    <w:p w14:paraId="1BF21BF2">
      <w:pPr>
        <w:spacing w:line="400" w:lineRule="exact"/>
        <w:ind w:firstLine="420" w:firstLineChars="200"/>
        <w:rPr>
          <w:color w:val="auto"/>
          <w:highlight w:val="none"/>
        </w:rPr>
      </w:pPr>
      <w:r>
        <w:rPr>
          <w:color w:val="auto"/>
          <w:highlight w:val="none"/>
        </w:rPr>
        <w:t>（</w:t>
      </w:r>
      <w:r>
        <w:rPr>
          <w:rFonts w:hint="eastAsia"/>
          <w:color w:val="auto"/>
          <w:highlight w:val="none"/>
        </w:rPr>
        <w:t>11</w:t>
      </w:r>
      <w:r>
        <w:rPr>
          <w:color w:val="auto"/>
          <w:highlight w:val="none"/>
        </w:rPr>
        <w:t>）资格审查资料；</w:t>
      </w:r>
    </w:p>
    <w:p w14:paraId="3A859B2D">
      <w:pPr>
        <w:spacing w:line="400" w:lineRule="exact"/>
        <w:ind w:firstLine="420" w:firstLineChars="200"/>
        <w:rPr>
          <w:color w:val="auto"/>
          <w:highlight w:val="none"/>
        </w:rPr>
      </w:pPr>
      <w:r>
        <w:rPr>
          <w:color w:val="auto"/>
          <w:highlight w:val="none"/>
        </w:rPr>
        <w:t>（1</w:t>
      </w:r>
      <w:r>
        <w:rPr>
          <w:rFonts w:hint="eastAsia"/>
          <w:color w:val="auto"/>
          <w:highlight w:val="none"/>
        </w:rPr>
        <w:t>2</w:t>
      </w:r>
      <w:r>
        <w:rPr>
          <w:color w:val="auto"/>
          <w:highlight w:val="none"/>
        </w:rPr>
        <w:t>）</w:t>
      </w:r>
      <w:r>
        <w:rPr>
          <w:rFonts w:hint="eastAsia"/>
          <w:color w:val="auto"/>
          <w:highlight w:val="none"/>
        </w:rPr>
        <w:t>投标人须知前附表规定的</w:t>
      </w:r>
      <w:r>
        <w:rPr>
          <w:color w:val="auto"/>
          <w:highlight w:val="none"/>
        </w:rPr>
        <w:t>其他资料。</w:t>
      </w:r>
    </w:p>
    <w:p w14:paraId="024FD437">
      <w:pPr>
        <w:spacing w:line="400" w:lineRule="exact"/>
        <w:ind w:firstLine="420" w:firstLineChars="200"/>
        <w:rPr>
          <w:color w:val="auto"/>
          <w:highlight w:val="none"/>
        </w:rPr>
      </w:pPr>
      <w:r>
        <w:rPr>
          <w:color w:val="auto"/>
          <w:highlight w:val="none"/>
        </w:rPr>
        <w:t>3.1.2 投标人须知前附表规定不接受联合体投标的，或投标人没有组成联合体的，投标文件不包括本章第3.1.1（</w:t>
      </w:r>
      <w:r>
        <w:rPr>
          <w:rFonts w:hint="eastAsia"/>
          <w:color w:val="auto"/>
          <w:highlight w:val="none"/>
        </w:rPr>
        <w:t>4</w:t>
      </w:r>
      <w:r>
        <w:rPr>
          <w:color w:val="auto"/>
          <w:highlight w:val="none"/>
        </w:rPr>
        <w:t xml:space="preserve">）目所指的联合体协议书。 </w:t>
      </w:r>
    </w:p>
    <w:p w14:paraId="270A54A7">
      <w:pPr>
        <w:pStyle w:val="107"/>
        <w:outlineLvl w:val="3"/>
        <w:rPr>
          <w:rFonts w:ascii="黑体" w:hAnsi="黑体"/>
          <w:color w:val="auto"/>
          <w:highlight w:val="none"/>
        </w:rPr>
      </w:pPr>
      <w:bookmarkStart w:id="535" w:name="_Toc12814"/>
      <w:bookmarkStart w:id="536" w:name="_Toc30582"/>
      <w:bookmarkStart w:id="537" w:name="_Toc519085291"/>
      <w:bookmarkStart w:id="538" w:name="_Toc152045548"/>
      <w:bookmarkStart w:id="539" w:name="_Toc247513972"/>
      <w:bookmarkStart w:id="540" w:name="_Toc247527573"/>
      <w:bookmarkStart w:id="541" w:name="_Toc12454"/>
      <w:bookmarkStart w:id="542" w:name="_Toc28609"/>
      <w:bookmarkStart w:id="543" w:name="_Toc28847"/>
      <w:bookmarkStart w:id="544" w:name="_Toc144974516"/>
      <w:bookmarkStart w:id="545" w:name="_Toc152042324"/>
      <w:r>
        <w:rPr>
          <w:rFonts w:ascii="黑体" w:hAnsi="黑体"/>
          <w:color w:val="auto"/>
          <w:highlight w:val="none"/>
        </w:rPr>
        <w:t>3.2 投标报价</w:t>
      </w:r>
      <w:bookmarkEnd w:id="535"/>
      <w:bookmarkEnd w:id="536"/>
      <w:bookmarkEnd w:id="537"/>
      <w:bookmarkEnd w:id="538"/>
      <w:bookmarkEnd w:id="539"/>
      <w:bookmarkEnd w:id="540"/>
      <w:bookmarkEnd w:id="541"/>
      <w:bookmarkEnd w:id="542"/>
      <w:bookmarkEnd w:id="543"/>
      <w:bookmarkEnd w:id="544"/>
      <w:bookmarkEnd w:id="545"/>
      <w:r>
        <w:rPr>
          <w:rFonts w:ascii="黑体" w:hAnsi="黑体"/>
          <w:color w:val="auto"/>
          <w:highlight w:val="none"/>
        </w:rPr>
        <w:t xml:space="preserve"> </w:t>
      </w:r>
    </w:p>
    <w:p w14:paraId="5415A322">
      <w:pPr>
        <w:spacing w:line="400" w:lineRule="exact"/>
        <w:ind w:firstLine="420" w:firstLineChars="200"/>
        <w:rPr>
          <w:color w:val="auto"/>
          <w:highlight w:val="none"/>
        </w:rPr>
      </w:pPr>
      <w:r>
        <w:rPr>
          <w:color w:val="auto"/>
          <w:highlight w:val="none"/>
        </w:rPr>
        <w:t>3.2.1 投标人应按第七章“投标文件格式”的要求填写价格清单。</w:t>
      </w:r>
    </w:p>
    <w:p w14:paraId="5AE06913">
      <w:pPr>
        <w:spacing w:line="400" w:lineRule="exact"/>
        <w:ind w:firstLine="420" w:firstLineChars="200"/>
        <w:rPr>
          <w:color w:val="auto"/>
          <w:highlight w:val="none"/>
        </w:rPr>
      </w:pPr>
      <w:r>
        <w:rPr>
          <w:color w:val="auto"/>
          <w:highlight w:val="none"/>
        </w:rPr>
        <w:t>3.2.2 投标人应充分了解施工场地的位置、周边环境、道路、装卸、保管、安装限制以及影响投标报价的其他要素。投标人根据投标设计，结合市场情况进行投标报价。</w:t>
      </w:r>
    </w:p>
    <w:p w14:paraId="7329DD4B">
      <w:pPr>
        <w:spacing w:line="400" w:lineRule="exact"/>
        <w:ind w:firstLine="420" w:firstLineChars="200"/>
        <w:rPr>
          <w:color w:val="auto"/>
          <w:highlight w:val="none"/>
        </w:rPr>
      </w:pPr>
      <w:r>
        <w:rPr>
          <w:color w:val="auto"/>
          <w:highlight w:val="none"/>
        </w:rPr>
        <w:t>3.2.3 投标人在投标截止时间前修改投标函中的投标报价总额，应同时修改投标文件“价格清单”中的相应报价，投标报价总额为各分项金额之和。此修改须符合本章第4.3款的有关要求。</w:t>
      </w:r>
    </w:p>
    <w:p w14:paraId="2BD96116">
      <w:pPr>
        <w:spacing w:line="400" w:lineRule="exact"/>
        <w:ind w:firstLine="420" w:firstLineChars="200"/>
        <w:rPr>
          <w:color w:val="auto"/>
          <w:highlight w:val="none"/>
        </w:rPr>
      </w:pPr>
      <w:r>
        <w:rPr>
          <w:color w:val="auto"/>
          <w:highlight w:val="none"/>
        </w:rPr>
        <w:t>3.2.4 招标人设有最高投标限价的，投标人的投标报价不得超过最高投标限价，最高投标限价或其计算方法在投标人须知前附表中载明。</w:t>
      </w:r>
    </w:p>
    <w:p w14:paraId="59CF3BD9">
      <w:pPr>
        <w:spacing w:line="400" w:lineRule="exact"/>
        <w:ind w:firstLine="420" w:firstLineChars="200"/>
        <w:rPr>
          <w:color w:val="auto"/>
          <w:highlight w:val="none"/>
        </w:rPr>
      </w:pPr>
      <w:r>
        <w:rPr>
          <w:color w:val="auto"/>
          <w:highlight w:val="none"/>
        </w:rPr>
        <w:t>3.2.5 投标报价的其他要求见投标人须知前附表。</w:t>
      </w:r>
    </w:p>
    <w:p w14:paraId="23EF6AA6">
      <w:pPr>
        <w:pStyle w:val="107"/>
        <w:outlineLvl w:val="3"/>
        <w:rPr>
          <w:rFonts w:ascii="黑体" w:hAnsi="黑体"/>
          <w:color w:val="auto"/>
          <w:highlight w:val="none"/>
        </w:rPr>
      </w:pPr>
      <w:bookmarkStart w:id="546" w:name="_Toc7000"/>
      <w:bookmarkStart w:id="547" w:name="_Toc1721"/>
      <w:bookmarkStart w:id="548" w:name="_Toc519085292"/>
      <w:bookmarkStart w:id="549" w:name="_Toc247527574"/>
      <w:bookmarkStart w:id="550" w:name="_Toc152045549"/>
      <w:bookmarkStart w:id="551" w:name="_Toc247513973"/>
      <w:bookmarkStart w:id="552" w:name="_Toc15016"/>
      <w:bookmarkStart w:id="553" w:name="_Toc24239"/>
      <w:bookmarkStart w:id="554" w:name="_Toc4308"/>
      <w:bookmarkStart w:id="555" w:name="_Toc144974517"/>
      <w:bookmarkStart w:id="556" w:name="_Toc152042325"/>
      <w:r>
        <w:rPr>
          <w:rFonts w:ascii="黑体" w:hAnsi="黑体"/>
          <w:color w:val="auto"/>
          <w:highlight w:val="none"/>
        </w:rPr>
        <w:t>3.3 投标有效期</w:t>
      </w:r>
      <w:bookmarkEnd w:id="546"/>
      <w:bookmarkEnd w:id="547"/>
      <w:bookmarkEnd w:id="548"/>
      <w:bookmarkEnd w:id="549"/>
      <w:bookmarkEnd w:id="550"/>
      <w:bookmarkEnd w:id="551"/>
      <w:bookmarkEnd w:id="552"/>
      <w:bookmarkEnd w:id="553"/>
      <w:bookmarkEnd w:id="554"/>
      <w:bookmarkEnd w:id="555"/>
      <w:bookmarkEnd w:id="556"/>
    </w:p>
    <w:p w14:paraId="53FDC3B7">
      <w:pPr>
        <w:spacing w:line="400" w:lineRule="exact"/>
        <w:ind w:firstLine="420" w:firstLineChars="200"/>
        <w:rPr>
          <w:color w:val="auto"/>
          <w:highlight w:val="none"/>
        </w:rPr>
      </w:pPr>
      <w:r>
        <w:rPr>
          <w:color w:val="auto"/>
          <w:highlight w:val="none"/>
        </w:rPr>
        <w:t>3.3.1 除投标人须知前附表另有规定外，投标有效期为120天。</w:t>
      </w:r>
    </w:p>
    <w:p w14:paraId="5A0F694D">
      <w:pPr>
        <w:spacing w:line="400" w:lineRule="exact"/>
        <w:ind w:firstLine="420" w:firstLineChars="200"/>
        <w:rPr>
          <w:color w:val="auto"/>
          <w:highlight w:val="none"/>
        </w:rPr>
      </w:pPr>
      <w:r>
        <w:rPr>
          <w:color w:val="auto"/>
          <w:highlight w:val="none"/>
        </w:rPr>
        <w:t>3.3.2在投标人须知前附表规定的投标有效期内，投标人不得要求撤销或修改其投标文件。</w:t>
      </w:r>
    </w:p>
    <w:p w14:paraId="77F012DB">
      <w:pPr>
        <w:spacing w:line="400" w:lineRule="exact"/>
        <w:ind w:firstLine="420" w:firstLineChars="200"/>
        <w:rPr>
          <w:color w:val="auto"/>
          <w:highlight w:val="none"/>
        </w:rPr>
      </w:pPr>
      <w:r>
        <w:rPr>
          <w:color w:val="auto"/>
          <w:highlight w:val="none"/>
        </w:rPr>
        <w:t xml:space="preserve">3.3.3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0C6C21A4">
      <w:pPr>
        <w:pStyle w:val="107"/>
        <w:outlineLvl w:val="3"/>
        <w:rPr>
          <w:rFonts w:ascii="黑体" w:hAnsi="黑体"/>
          <w:color w:val="auto"/>
          <w:highlight w:val="none"/>
        </w:rPr>
      </w:pPr>
      <w:bookmarkStart w:id="557" w:name="_Toc247527575"/>
      <w:bookmarkStart w:id="558" w:name="_Toc247513974"/>
      <w:bookmarkStart w:id="559" w:name="_Toc144974518"/>
      <w:bookmarkStart w:id="560" w:name="_Toc14397"/>
      <w:bookmarkStart w:id="561" w:name="_Toc152042326"/>
      <w:bookmarkStart w:id="562" w:name="_Toc25256"/>
      <w:bookmarkStart w:id="563" w:name="_Toc26911"/>
      <w:bookmarkStart w:id="564" w:name="_Toc25994"/>
      <w:bookmarkStart w:id="565" w:name="_Toc5693"/>
      <w:bookmarkStart w:id="566" w:name="_Toc519085293"/>
      <w:bookmarkStart w:id="567" w:name="_Toc152045550"/>
      <w:r>
        <w:rPr>
          <w:rFonts w:ascii="黑体" w:hAnsi="黑体"/>
          <w:color w:val="auto"/>
          <w:highlight w:val="none"/>
        </w:rPr>
        <w:t>3.4 投标保证金</w:t>
      </w:r>
      <w:bookmarkEnd w:id="557"/>
      <w:bookmarkEnd w:id="558"/>
      <w:bookmarkEnd w:id="559"/>
      <w:bookmarkEnd w:id="560"/>
      <w:bookmarkEnd w:id="561"/>
      <w:bookmarkEnd w:id="562"/>
      <w:bookmarkEnd w:id="563"/>
      <w:bookmarkEnd w:id="564"/>
      <w:bookmarkEnd w:id="565"/>
      <w:bookmarkEnd w:id="566"/>
      <w:bookmarkEnd w:id="567"/>
    </w:p>
    <w:p w14:paraId="6ACA6518">
      <w:pPr>
        <w:ind w:firstLine="420" w:firstLineChars="200"/>
        <w:rPr>
          <w:rFonts w:hint="eastAsia"/>
          <w:color w:val="auto"/>
          <w:highlight w:val="none"/>
        </w:rPr>
      </w:pPr>
      <w:r>
        <w:rPr>
          <w:rFonts w:hint="eastAsia"/>
          <w:color w:val="auto"/>
          <w:highlight w:val="none"/>
        </w:rPr>
        <w:t>3.4.1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52F1D2E0">
      <w:pPr>
        <w:ind w:firstLine="420" w:firstLineChars="200"/>
        <w:rPr>
          <w:color w:val="auto"/>
          <w:highlight w:val="none"/>
        </w:rPr>
      </w:pPr>
      <w:r>
        <w:rPr>
          <w:rFonts w:hint="eastAsia"/>
          <w:color w:val="auto"/>
          <w:highlight w:val="none"/>
        </w:rPr>
        <w:t>政府采购工程（包括工程建设项目的勘察、设计、监理、施工以及与工程建设有关的重要材料设备等）进行招标投标活动的，招标人应免收投标保证金。</w:t>
      </w:r>
    </w:p>
    <w:p w14:paraId="3789AD0E">
      <w:pPr>
        <w:ind w:firstLine="420" w:firstLineChars="200"/>
        <w:rPr>
          <w:color w:val="auto"/>
          <w:highlight w:val="none"/>
        </w:rPr>
      </w:pPr>
      <w:r>
        <w:rPr>
          <w:rFonts w:hint="eastAsia"/>
          <w:color w:val="auto"/>
          <w:highlight w:val="none"/>
        </w:rPr>
        <w:t>3.4.2 投标人不按本章第3.4.1项要求提交投标保证金的，其投标将被否决。</w:t>
      </w:r>
    </w:p>
    <w:p w14:paraId="3CB52987">
      <w:pPr>
        <w:ind w:firstLine="420" w:firstLineChars="200"/>
        <w:rPr>
          <w:color w:val="auto"/>
          <w:highlight w:val="none"/>
        </w:rPr>
      </w:pPr>
      <w:r>
        <w:rPr>
          <w:rFonts w:hint="eastAsia"/>
          <w:color w:val="auto"/>
          <w:highlight w:val="none"/>
        </w:rPr>
        <w:t>3.4.3投标保证金按投标人须知前附表规定进行退还，退还投标人保证金时，同时退还银行同期存款利息。招标人需要没收投标人保证金的，需在“市电子交易平台”（http</w:t>
      </w:r>
      <w:r>
        <w:rPr>
          <w:color w:val="auto"/>
          <w:highlight w:val="none"/>
        </w:rPr>
        <w:t>s</w:t>
      </w:r>
      <w:r>
        <w:rPr>
          <w:rFonts w:hint="eastAsia"/>
          <w:color w:val="auto"/>
          <w:highlight w:val="none"/>
        </w:rPr>
        <w:t>://www.whzbtbxt.cn）提交《不退还保证金申请表》，否则投标保证金将由“市电子交易平台”自动退还给投标人。</w:t>
      </w:r>
    </w:p>
    <w:p w14:paraId="31278C5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3.4.4采用银行保函、保证保险方式的，一旦投标有效，投标人无论中标与否，支付给银行用于购买投标保证金的费用不予退还。</w:t>
      </w:r>
    </w:p>
    <w:p w14:paraId="2590773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开标前投标人撤回投标文件的，由投标人在“市电子交易平台”发起退还申请，系统自动退还保费（不计利息）；非投标人原因造成投标异常情形（流标、暂停招标、终止招标等）发生的，由“市电子交易平台”向电子保函服务平台推送相关信息，投标人向银行、保险公司申请退还保费（不计利息）。</w:t>
      </w:r>
    </w:p>
    <w:p w14:paraId="3AECB2D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在投标过程中违反法律法规和招标文件约定需要没收保证金的，经查实后，银行、保险公司将赔付投标人实际所要缴纳的保证金给招标人；银行、保险公司再根据与投标人的约定，向投标人追偿实际所要提交的投标保证金。</w:t>
      </w:r>
    </w:p>
    <w:p w14:paraId="6422F0D0">
      <w:pPr>
        <w:ind w:firstLine="420" w:firstLineChars="200"/>
        <w:rPr>
          <w:color w:val="auto"/>
          <w:highlight w:val="none"/>
        </w:rPr>
      </w:pPr>
      <w:r>
        <w:rPr>
          <w:rFonts w:hint="eastAsia"/>
          <w:color w:val="auto"/>
          <w:highlight w:val="none"/>
        </w:rPr>
        <w:t xml:space="preserve">3.4.5 有下列情形之一的，投标保证金将不予退还： </w:t>
      </w:r>
    </w:p>
    <w:p w14:paraId="18DE8B80">
      <w:pPr>
        <w:ind w:firstLine="420" w:firstLineChars="200"/>
        <w:rPr>
          <w:color w:val="auto"/>
          <w:highlight w:val="none"/>
        </w:rPr>
      </w:pPr>
      <w:r>
        <w:rPr>
          <w:rFonts w:hint="eastAsia"/>
          <w:color w:val="auto"/>
          <w:highlight w:val="none"/>
        </w:rPr>
        <w:t>（1）投标人在投标截止时间后撤销投标文件的；</w:t>
      </w:r>
    </w:p>
    <w:p w14:paraId="5DFC64FE">
      <w:pPr>
        <w:spacing w:line="400" w:lineRule="exact"/>
        <w:ind w:firstLine="420" w:firstLineChars="200"/>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617FADC5">
      <w:pPr>
        <w:pStyle w:val="107"/>
        <w:outlineLvl w:val="3"/>
        <w:rPr>
          <w:rFonts w:ascii="黑体" w:hAnsi="黑体"/>
          <w:color w:val="auto"/>
          <w:highlight w:val="none"/>
        </w:rPr>
      </w:pPr>
      <w:bookmarkStart w:id="568" w:name="_Toc25336"/>
      <w:bookmarkStart w:id="569" w:name="_Toc10401"/>
      <w:bookmarkStart w:id="570" w:name="_Toc152042327"/>
      <w:bookmarkStart w:id="571" w:name="_Toc247527576"/>
      <w:bookmarkStart w:id="572" w:name="_Toc21388"/>
      <w:bookmarkStart w:id="573" w:name="_Toc144974519"/>
      <w:bookmarkStart w:id="574" w:name="_Toc152045551"/>
      <w:bookmarkStart w:id="575" w:name="_Toc519085294"/>
      <w:bookmarkStart w:id="576" w:name="_Toc11175"/>
      <w:bookmarkStart w:id="577" w:name="_Toc23862"/>
      <w:bookmarkStart w:id="578" w:name="_Toc247513975"/>
      <w:r>
        <w:rPr>
          <w:rFonts w:ascii="黑体" w:hAnsi="黑体"/>
          <w:color w:val="auto"/>
          <w:highlight w:val="none"/>
        </w:rPr>
        <w:t>3.5 资格审查资料（适用于已进行资格预审的）</w:t>
      </w:r>
      <w:bookmarkEnd w:id="568"/>
      <w:bookmarkEnd w:id="569"/>
      <w:bookmarkEnd w:id="570"/>
      <w:bookmarkEnd w:id="571"/>
      <w:bookmarkEnd w:id="572"/>
      <w:bookmarkEnd w:id="573"/>
      <w:bookmarkEnd w:id="574"/>
      <w:bookmarkEnd w:id="575"/>
      <w:bookmarkEnd w:id="576"/>
      <w:bookmarkEnd w:id="577"/>
      <w:bookmarkEnd w:id="578"/>
    </w:p>
    <w:p w14:paraId="4E86F1C2">
      <w:pPr>
        <w:spacing w:line="400" w:lineRule="exact"/>
        <w:ind w:firstLine="420" w:firstLineChars="200"/>
        <w:rPr>
          <w:color w:val="auto"/>
          <w:highlight w:val="none"/>
        </w:rPr>
      </w:pPr>
      <w:bookmarkStart w:id="579" w:name="_Toc247527577"/>
      <w:bookmarkStart w:id="580" w:name="_Toc152042328"/>
      <w:bookmarkStart w:id="581" w:name="_Toc21954"/>
      <w:bookmarkStart w:id="582" w:name="_Toc152045552"/>
      <w:bookmarkStart w:id="583" w:name="_Toc144974520"/>
      <w:bookmarkStart w:id="584" w:name="_Toc21620"/>
      <w:bookmarkStart w:id="585" w:name="_Toc519085295"/>
      <w:bookmarkStart w:id="586" w:name="_Toc8577"/>
      <w:bookmarkStart w:id="587" w:name="_Toc247513976"/>
      <w:r>
        <w:rPr>
          <w:color w:val="auto"/>
          <w:highlight w:val="none"/>
        </w:rPr>
        <w:t>3.5.1</w:t>
      </w:r>
      <w:r>
        <w:rPr>
          <w:rFonts w:hint="eastAsia"/>
          <w:color w:val="auto"/>
          <w:highlight w:val="none"/>
        </w:rPr>
        <w:t>投标人应按招标文件第七章“投标文件格式”中规定的表格内容填写资格证明材料，并按各资格证明材料表的具体要求提供相关证件及证明材料。</w:t>
      </w:r>
    </w:p>
    <w:p w14:paraId="50FA183C">
      <w:pPr>
        <w:spacing w:line="400" w:lineRule="exact"/>
        <w:ind w:firstLine="420" w:firstLineChars="200"/>
        <w:rPr>
          <w:color w:val="auto"/>
          <w:highlight w:val="none"/>
        </w:rPr>
      </w:pPr>
      <w:r>
        <w:rPr>
          <w:rFonts w:hint="eastAsia"/>
          <w:color w:val="auto"/>
          <w:highlight w:val="none"/>
        </w:rPr>
        <w:t>除非投标人资格条件有更新或补充资料，评标委员会在评标阶段不再对投标人的资格条件进行审查，但投标人在资格证明资料中填写的内容将作为评标的重要依据。</w:t>
      </w:r>
    </w:p>
    <w:p w14:paraId="7A52F516">
      <w:pPr>
        <w:spacing w:line="400" w:lineRule="exact"/>
        <w:ind w:firstLine="420" w:firstLineChars="200"/>
        <w:rPr>
          <w:color w:val="auto"/>
          <w:highlight w:val="none"/>
        </w:rPr>
      </w:pPr>
      <w:r>
        <w:rPr>
          <w:rFonts w:hint="eastAsia"/>
          <w:color w:val="auto"/>
          <w:highlight w:val="none"/>
        </w:rPr>
        <w:t>本招标文件中“类似业绩项目”的定义见投标人须知前附表。</w:t>
      </w:r>
    </w:p>
    <w:p w14:paraId="29887A19">
      <w:pPr>
        <w:spacing w:line="400" w:lineRule="exact"/>
        <w:ind w:firstLine="420" w:firstLineChars="200"/>
        <w:rPr>
          <w:color w:val="auto"/>
          <w:highlight w:val="none"/>
        </w:rPr>
      </w:pPr>
      <w:r>
        <w:rPr>
          <w:color w:val="auto"/>
          <w:highlight w:val="none"/>
        </w:rPr>
        <w:t>3.5.2</w:t>
      </w:r>
      <w:r>
        <w:rPr>
          <w:rFonts w:hint="eastAsia"/>
          <w:color w:val="auto"/>
          <w:highlight w:val="none"/>
        </w:rPr>
        <w:t>投标人在编制投标文件时，其资格条件、组织机构、财务能力、信誉等资格条件与资格预审时提交的资格预审申请文件相比发生变化的，应按新情况更新或补充其在资格预审申请时提供的资料，以证实其各项资格条件仍能继续满足资格预审文件的要求，具备承担本</w:t>
      </w:r>
      <w:r>
        <w:rPr>
          <w:rFonts w:hint="eastAsia"/>
          <w:color w:val="auto"/>
          <w:szCs w:val="21"/>
          <w:highlight w:val="none"/>
        </w:rPr>
        <w:t>标段（包）</w:t>
      </w:r>
      <w:r>
        <w:rPr>
          <w:rFonts w:hint="eastAsia"/>
          <w:color w:val="auto"/>
          <w:highlight w:val="none"/>
        </w:rPr>
        <w:t>的资格条件、能力和信誉。更新资料应包括但不限于以下内容：</w:t>
      </w:r>
    </w:p>
    <w:p w14:paraId="1437898D">
      <w:pPr>
        <w:spacing w:line="40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）投标人名称、营业执照、资格（质）证书、安全生产许可证（如有）和法定代表人的变更情况及相关行政审批部门出具的证明材料；</w:t>
      </w:r>
    </w:p>
    <w:p w14:paraId="0D2A069E">
      <w:pPr>
        <w:spacing w:line="40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）拟投入本工程的项目管理机构主要人员变化情况；</w:t>
      </w:r>
    </w:p>
    <w:p w14:paraId="55CBB95D">
      <w:pPr>
        <w:spacing w:line="400" w:lineRule="exact"/>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）联合体分工比例变化情况；</w:t>
      </w:r>
    </w:p>
    <w:p w14:paraId="11E277E4">
      <w:pPr>
        <w:spacing w:line="400" w:lineRule="exact"/>
        <w:ind w:firstLine="42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）财务状况、经营状况发生变化情况；</w:t>
      </w:r>
    </w:p>
    <w:p w14:paraId="77616412">
      <w:pPr>
        <w:spacing w:line="40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）完成的类似项目、企业信誉发生变化等情况。</w:t>
      </w:r>
    </w:p>
    <w:p w14:paraId="2AB7725B">
      <w:pPr>
        <w:spacing w:line="400" w:lineRule="exact"/>
        <w:ind w:firstLine="420" w:firstLineChars="200"/>
        <w:rPr>
          <w:color w:val="auto"/>
          <w:highlight w:val="none"/>
        </w:rPr>
      </w:pPr>
      <w:r>
        <w:rPr>
          <w:color w:val="auto"/>
          <w:highlight w:val="none"/>
        </w:rPr>
        <w:t xml:space="preserve">3.5.3 </w:t>
      </w:r>
      <w:r>
        <w:rPr>
          <w:rFonts w:hint="eastAsia"/>
          <w:color w:val="auto"/>
          <w:highlight w:val="none"/>
        </w:rPr>
        <w:t>按本章第</w:t>
      </w:r>
      <w:r>
        <w:rPr>
          <w:color w:val="auto"/>
          <w:highlight w:val="none"/>
        </w:rPr>
        <w:t>3.5.2</w:t>
      </w:r>
      <w:r>
        <w:rPr>
          <w:rFonts w:hint="eastAsia"/>
          <w:color w:val="auto"/>
          <w:highlight w:val="none"/>
        </w:rPr>
        <w:t>项规定，投标人资格条件无论是否有变化，均应在投标函中声明。</w:t>
      </w:r>
    </w:p>
    <w:p w14:paraId="5B3AD6D6">
      <w:pPr>
        <w:spacing w:line="400" w:lineRule="exact"/>
        <w:ind w:firstLine="420" w:firstLineChars="200"/>
        <w:rPr>
          <w:color w:val="auto"/>
          <w:highlight w:val="none"/>
        </w:rPr>
      </w:pPr>
      <w:r>
        <w:rPr>
          <w:color w:val="auto"/>
          <w:highlight w:val="none"/>
        </w:rPr>
        <w:t>3.5.4</w:t>
      </w:r>
      <w:r>
        <w:rPr>
          <w:rFonts w:hint="eastAsia"/>
          <w:color w:val="auto"/>
          <w:highlight w:val="none"/>
        </w:rPr>
        <w:t>评标委员会在评标阶段对提交更新和补充资料的投标人的资格条件进行复审，不能满足资格预审文件的要求或影响本次招标的公正性的，其投标将被否决。</w:t>
      </w:r>
    </w:p>
    <w:p w14:paraId="4437D3E3">
      <w:pPr>
        <w:spacing w:line="400" w:lineRule="exact"/>
        <w:ind w:firstLine="482"/>
        <w:rPr>
          <w:color w:val="auto"/>
          <w:highlight w:val="none"/>
        </w:rPr>
      </w:pPr>
      <w:r>
        <w:rPr>
          <w:color w:val="auto"/>
          <w:highlight w:val="none"/>
        </w:rPr>
        <w:t>3.5.</w:t>
      </w:r>
      <w:r>
        <w:rPr>
          <w:rFonts w:hint="eastAsia"/>
          <w:color w:val="auto"/>
          <w:highlight w:val="none"/>
        </w:rPr>
        <w:t>5</w:t>
      </w:r>
      <w:r>
        <w:rPr>
          <w:color w:val="auto"/>
          <w:highlight w:val="none"/>
        </w:rPr>
        <w:t xml:space="preserve"> </w:t>
      </w:r>
      <w:r>
        <w:rPr>
          <w:rFonts w:hint="eastAsia"/>
          <w:color w:val="auto"/>
          <w:highlight w:val="none"/>
        </w:rPr>
        <w:t>投标人须知前附表第</w:t>
      </w:r>
      <w:r>
        <w:rPr>
          <w:color w:val="auto"/>
          <w:highlight w:val="none"/>
        </w:rPr>
        <w:t>1.4.2</w:t>
      </w:r>
      <w:r>
        <w:rPr>
          <w:rFonts w:hint="eastAsia"/>
          <w:color w:val="auto"/>
          <w:highlight w:val="none"/>
        </w:rPr>
        <w:t>项规定接受联合体投标的，本章第</w:t>
      </w:r>
      <w:r>
        <w:rPr>
          <w:color w:val="auto"/>
          <w:highlight w:val="none"/>
        </w:rPr>
        <w:t>3.5.1</w:t>
      </w:r>
      <w:r>
        <w:rPr>
          <w:rFonts w:hint="eastAsia"/>
          <w:color w:val="auto"/>
          <w:highlight w:val="none"/>
        </w:rPr>
        <w:t>及3.5.2项规定的表格和资料应包括联合体各方相关情况。</w:t>
      </w:r>
    </w:p>
    <w:p w14:paraId="5EDA2EF5">
      <w:pPr>
        <w:pStyle w:val="107"/>
        <w:outlineLvl w:val="3"/>
        <w:rPr>
          <w:rFonts w:ascii="黑体" w:hAnsi="黑体"/>
          <w:color w:val="auto"/>
          <w:highlight w:val="none"/>
        </w:rPr>
      </w:pPr>
      <w:bookmarkStart w:id="588" w:name="_Toc26015"/>
      <w:bookmarkStart w:id="589" w:name="_Toc31603"/>
      <w:r>
        <w:rPr>
          <w:rFonts w:ascii="黑体" w:hAnsi="黑体"/>
          <w:color w:val="auto"/>
          <w:highlight w:val="none"/>
        </w:rPr>
        <w:t>3.5 资格审查资料（适用于资格</w:t>
      </w:r>
      <w:r>
        <w:rPr>
          <w:rFonts w:hint="eastAsia" w:ascii="黑体" w:hAnsi="黑体"/>
          <w:color w:val="auto"/>
          <w:highlight w:val="none"/>
        </w:rPr>
        <w:t>后</w:t>
      </w:r>
      <w:r>
        <w:rPr>
          <w:rFonts w:ascii="黑体" w:hAnsi="黑体"/>
          <w:color w:val="auto"/>
          <w:highlight w:val="none"/>
        </w:rPr>
        <w:t>审的）</w:t>
      </w:r>
      <w:bookmarkEnd w:id="579"/>
      <w:bookmarkEnd w:id="580"/>
      <w:bookmarkEnd w:id="581"/>
      <w:bookmarkEnd w:id="582"/>
      <w:bookmarkEnd w:id="583"/>
      <w:bookmarkEnd w:id="584"/>
      <w:bookmarkEnd w:id="585"/>
      <w:bookmarkEnd w:id="586"/>
      <w:bookmarkEnd w:id="587"/>
      <w:bookmarkEnd w:id="588"/>
      <w:bookmarkEnd w:id="589"/>
    </w:p>
    <w:p w14:paraId="4AC6235D">
      <w:pPr>
        <w:spacing w:line="400" w:lineRule="exact"/>
        <w:ind w:firstLine="482"/>
        <w:rPr>
          <w:color w:val="auto"/>
          <w:highlight w:val="none"/>
        </w:rPr>
      </w:pPr>
      <w:bookmarkStart w:id="590" w:name="_Toc247527578"/>
      <w:bookmarkStart w:id="591" w:name="_Toc144974521"/>
      <w:bookmarkStart w:id="592" w:name="_Toc26776"/>
      <w:bookmarkStart w:id="593" w:name="_Toc2710"/>
      <w:bookmarkStart w:id="594" w:name="_Toc152042329"/>
      <w:bookmarkStart w:id="595" w:name="_Toc247513977"/>
      <w:bookmarkStart w:id="596" w:name="_Toc15732"/>
      <w:bookmarkStart w:id="597" w:name="_Toc519085296"/>
      <w:bookmarkStart w:id="598" w:name="_Toc152045553"/>
      <w:r>
        <w:rPr>
          <w:color w:val="auto"/>
          <w:highlight w:val="none"/>
        </w:rPr>
        <w:t xml:space="preserve">3.5.1 </w:t>
      </w:r>
      <w:r>
        <w:rPr>
          <w:rFonts w:hint="eastAsia"/>
          <w:color w:val="auto"/>
          <w:highlight w:val="none"/>
        </w:rPr>
        <w:t>投标人应按招标文件第七章“投标文件格式”中规定的内容填写，并按具体要求提供相关证件及证明材料。</w:t>
      </w:r>
    </w:p>
    <w:p w14:paraId="120667F8">
      <w:pPr>
        <w:spacing w:line="400" w:lineRule="exact"/>
        <w:ind w:firstLine="420" w:firstLineChars="200"/>
        <w:rPr>
          <w:color w:val="auto"/>
          <w:highlight w:val="none"/>
        </w:rPr>
      </w:pPr>
      <w:r>
        <w:rPr>
          <w:rFonts w:hint="eastAsia"/>
          <w:color w:val="auto"/>
          <w:highlight w:val="none"/>
        </w:rPr>
        <w:t>本招标文件中“类似业绩项目”的定义见投标人须知前附表。</w:t>
      </w:r>
    </w:p>
    <w:p w14:paraId="68021A6A">
      <w:pPr>
        <w:spacing w:line="400" w:lineRule="exact"/>
        <w:ind w:firstLine="482"/>
        <w:rPr>
          <w:color w:val="auto"/>
          <w:highlight w:val="none"/>
        </w:rPr>
      </w:pPr>
      <w:r>
        <w:rPr>
          <w:color w:val="auto"/>
          <w:highlight w:val="none"/>
        </w:rPr>
        <w:t xml:space="preserve">3.5.2 </w:t>
      </w:r>
      <w:r>
        <w:rPr>
          <w:rFonts w:hint="eastAsia"/>
          <w:color w:val="auto"/>
          <w:highlight w:val="none"/>
        </w:rPr>
        <w:t>投标人须知前附表第</w:t>
      </w:r>
      <w:r>
        <w:rPr>
          <w:color w:val="auto"/>
          <w:highlight w:val="none"/>
        </w:rPr>
        <w:t>1.4.2</w:t>
      </w:r>
      <w:r>
        <w:rPr>
          <w:rFonts w:hint="eastAsia"/>
          <w:color w:val="auto"/>
          <w:highlight w:val="none"/>
        </w:rPr>
        <w:t>项规定接受联合体投标的，本章第</w:t>
      </w:r>
      <w:r>
        <w:rPr>
          <w:color w:val="auto"/>
          <w:highlight w:val="none"/>
        </w:rPr>
        <w:t>3.5.1</w:t>
      </w:r>
      <w:r>
        <w:rPr>
          <w:rFonts w:hint="eastAsia"/>
          <w:color w:val="auto"/>
          <w:highlight w:val="none"/>
        </w:rPr>
        <w:t>项规定的表格和资料应包括联合体各方相关情况。</w:t>
      </w:r>
    </w:p>
    <w:p w14:paraId="3C5CB5AF">
      <w:pPr>
        <w:pStyle w:val="107"/>
        <w:outlineLvl w:val="3"/>
        <w:rPr>
          <w:rFonts w:ascii="黑体" w:hAnsi="黑体"/>
          <w:color w:val="auto"/>
          <w:highlight w:val="none"/>
        </w:rPr>
      </w:pPr>
      <w:bookmarkStart w:id="599" w:name="_Toc19778"/>
      <w:bookmarkStart w:id="600" w:name="_Toc3123"/>
      <w:r>
        <w:rPr>
          <w:rFonts w:ascii="黑体" w:hAnsi="黑体"/>
          <w:color w:val="auto"/>
          <w:highlight w:val="none"/>
        </w:rPr>
        <w:t>3.6 备选投标方案</w:t>
      </w:r>
      <w:bookmarkEnd w:id="590"/>
      <w:bookmarkEnd w:id="591"/>
      <w:bookmarkEnd w:id="592"/>
      <w:bookmarkEnd w:id="593"/>
      <w:bookmarkEnd w:id="594"/>
      <w:bookmarkEnd w:id="595"/>
      <w:bookmarkEnd w:id="596"/>
      <w:bookmarkEnd w:id="597"/>
      <w:bookmarkEnd w:id="598"/>
      <w:bookmarkEnd w:id="599"/>
      <w:bookmarkEnd w:id="600"/>
    </w:p>
    <w:p w14:paraId="556267FB">
      <w:pPr>
        <w:spacing w:line="400" w:lineRule="exact"/>
        <w:ind w:firstLine="420" w:firstLineChars="200"/>
        <w:rPr>
          <w:color w:val="auto"/>
          <w:highlight w:val="none"/>
        </w:rPr>
      </w:pPr>
      <w:r>
        <w:rPr>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227F5251">
      <w:pPr>
        <w:pStyle w:val="107"/>
        <w:outlineLvl w:val="3"/>
        <w:rPr>
          <w:rFonts w:ascii="黑体" w:hAnsi="黑体"/>
          <w:color w:val="auto"/>
          <w:highlight w:val="none"/>
        </w:rPr>
      </w:pPr>
      <w:bookmarkStart w:id="601" w:name="_Toc18175"/>
      <w:bookmarkStart w:id="602" w:name="_Toc519085297"/>
      <w:bookmarkStart w:id="603" w:name="_Toc152045554"/>
      <w:bookmarkStart w:id="604" w:name="_Toc247527579"/>
      <w:bookmarkStart w:id="605" w:name="_Toc11235"/>
      <w:bookmarkStart w:id="606" w:name="_Toc21973"/>
      <w:bookmarkStart w:id="607" w:name="_Toc152042330"/>
      <w:bookmarkStart w:id="608" w:name="_Toc247513978"/>
      <w:bookmarkStart w:id="609" w:name="_Toc144974522"/>
      <w:bookmarkStart w:id="610" w:name="_Toc7868"/>
      <w:bookmarkStart w:id="611" w:name="_Toc19455"/>
      <w:r>
        <w:rPr>
          <w:rFonts w:ascii="黑体" w:hAnsi="黑体"/>
          <w:color w:val="auto"/>
          <w:highlight w:val="none"/>
        </w:rPr>
        <w:t>3.7 投标文件的编制</w:t>
      </w:r>
      <w:bookmarkEnd w:id="601"/>
      <w:bookmarkEnd w:id="602"/>
      <w:bookmarkEnd w:id="603"/>
      <w:bookmarkEnd w:id="604"/>
      <w:bookmarkEnd w:id="605"/>
      <w:bookmarkEnd w:id="606"/>
      <w:bookmarkEnd w:id="607"/>
      <w:bookmarkEnd w:id="608"/>
      <w:bookmarkEnd w:id="609"/>
      <w:bookmarkEnd w:id="610"/>
      <w:bookmarkEnd w:id="611"/>
    </w:p>
    <w:p w14:paraId="448E514A">
      <w:pPr>
        <w:spacing w:line="400" w:lineRule="exact"/>
        <w:ind w:firstLine="420" w:firstLineChars="200"/>
        <w:rPr>
          <w:rFonts w:hint="eastAsia"/>
          <w:color w:val="auto"/>
          <w:highlight w:val="none"/>
        </w:rPr>
      </w:pPr>
      <w:r>
        <w:rPr>
          <w:rFonts w:hint="eastAsia"/>
          <w:color w:val="auto"/>
          <w:highlight w:val="none"/>
        </w:rPr>
        <w:t>3.7.1投标文件应按第七章“投标文件格式”进行编写。其中，投标函附录在满足招标文件实质性要求的基础上，可以提出比招标文件要求更有利于招标人的承诺。</w:t>
      </w:r>
    </w:p>
    <w:p w14:paraId="33419D2E">
      <w:pPr>
        <w:spacing w:line="400" w:lineRule="exact"/>
        <w:ind w:firstLine="420" w:firstLineChars="200"/>
        <w:rPr>
          <w:rFonts w:hint="eastAsia"/>
          <w:color w:val="auto"/>
          <w:highlight w:val="none"/>
        </w:rPr>
      </w:pPr>
      <w:r>
        <w:rPr>
          <w:rFonts w:hint="eastAsia"/>
          <w:color w:val="auto"/>
          <w:highlight w:val="none"/>
        </w:rPr>
        <w:t>3.7.2 投标文件应当对招标文件有关招标范围、投标有效期、工期、质量标准、发包人要求等实质性内容作出响应。</w:t>
      </w:r>
    </w:p>
    <w:p w14:paraId="167CBD9D">
      <w:pPr>
        <w:spacing w:line="400" w:lineRule="exact"/>
        <w:ind w:firstLine="420" w:firstLineChars="200"/>
        <w:rPr>
          <w:rFonts w:hint="eastAsia"/>
          <w:color w:val="auto"/>
          <w:highlight w:val="none"/>
        </w:rPr>
      </w:pPr>
      <w:r>
        <w:rPr>
          <w:rFonts w:hint="eastAsia"/>
          <w:color w:val="auto"/>
          <w:highlight w:val="none"/>
        </w:rPr>
        <w:t xml:space="preserve">3.7.3 </w:t>
      </w:r>
      <w:r>
        <w:rPr>
          <w:color w:val="auto"/>
          <w:highlight w:val="none"/>
        </w:rPr>
        <w:t>电子投标文件制作</w:t>
      </w:r>
    </w:p>
    <w:p w14:paraId="3F77A64E">
      <w:pPr>
        <w:spacing w:line="360" w:lineRule="auto"/>
        <w:ind w:firstLine="420" w:firstLineChars="200"/>
        <w:rPr>
          <w:rFonts w:hint="eastAsia"/>
          <w:color w:val="auto"/>
          <w:highlight w:val="none"/>
        </w:rPr>
      </w:pPr>
      <w:r>
        <w:rPr>
          <w:rFonts w:hint="eastAsia"/>
          <w:color w:val="auto"/>
          <w:highlight w:val="none"/>
        </w:rPr>
        <w:t>（1）电子投标文件由投标人使用“市电子交易平台”提供的“投标文件制作工具”制作生成。</w:t>
      </w:r>
    </w:p>
    <w:p w14:paraId="6132A489">
      <w:pPr>
        <w:spacing w:line="360" w:lineRule="auto"/>
        <w:ind w:firstLine="420" w:firstLineChars="200"/>
        <w:rPr>
          <w:rFonts w:hint="eastAsia"/>
          <w:color w:val="auto"/>
          <w:highlight w:val="none"/>
        </w:rPr>
      </w:pPr>
      <w:r>
        <w:rPr>
          <w:rFonts w:hint="eastAsia"/>
          <w:color w:val="auto"/>
          <w:highlight w:val="none"/>
        </w:rPr>
        <w:t>（2） “市电子交易平台”中的“交易主体数据库”是投标</w:t>
      </w:r>
      <w:r>
        <w:rPr>
          <w:color w:val="auto"/>
          <w:highlight w:val="none"/>
        </w:rPr>
        <w:t>人在编制电子</w:t>
      </w:r>
      <w:r>
        <w:rPr>
          <w:rFonts w:hint="eastAsia"/>
          <w:color w:val="auto"/>
          <w:highlight w:val="none"/>
        </w:rPr>
        <w:t>投标文件</w:t>
      </w:r>
      <w:r>
        <w:rPr>
          <w:color w:val="auto"/>
          <w:highlight w:val="none"/>
        </w:rPr>
        <w:t>时</w:t>
      </w:r>
      <w:r>
        <w:rPr>
          <w:rFonts w:hint="eastAsia"/>
          <w:color w:val="auto"/>
          <w:highlight w:val="none"/>
        </w:rPr>
        <w:t>的数据来源，投标人应</w:t>
      </w:r>
      <w:r>
        <w:rPr>
          <w:color w:val="auto"/>
          <w:highlight w:val="none"/>
        </w:rPr>
        <w:t>按照标签提示导入相关内容。</w:t>
      </w:r>
    </w:p>
    <w:p w14:paraId="1FFB21A0">
      <w:pPr>
        <w:spacing w:line="360" w:lineRule="auto"/>
        <w:ind w:firstLine="420" w:firstLineChars="200"/>
        <w:rPr>
          <w:rFonts w:hint="eastAsia"/>
          <w:color w:val="auto"/>
          <w:highlight w:val="none"/>
        </w:rPr>
      </w:pPr>
      <w:r>
        <w:rPr>
          <w:rFonts w:hint="eastAsia"/>
          <w:color w:val="auto"/>
          <w:highlight w:val="none"/>
        </w:rPr>
        <w:t>（3）</w:t>
      </w:r>
      <w:r>
        <w:rPr>
          <w:color w:val="auto"/>
          <w:highlight w:val="none"/>
        </w:rPr>
        <w:t>电子</w:t>
      </w:r>
      <w:r>
        <w:rPr>
          <w:rFonts w:hint="eastAsia"/>
          <w:color w:val="auto"/>
          <w:highlight w:val="none"/>
        </w:rPr>
        <w:t>投标文件</w:t>
      </w:r>
      <w:r>
        <w:rPr>
          <w:color w:val="auto"/>
          <w:highlight w:val="none"/>
        </w:rPr>
        <w:t>中的证明资料的“复印件”均为“原件的扫描件”，</w:t>
      </w:r>
      <w:r>
        <w:rPr>
          <w:rFonts w:hint="eastAsia"/>
          <w:color w:val="auto"/>
          <w:highlight w:val="none"/>
        </w:rPr>
        <w:t>应从 “市电子交易平台” 中的“交易主体数据库”中选择，“交易主体数据库”未涉及到的内容，应以附件形式直接导入，</w:t>
      </w:r>
      <w:r>
        <w:rPr>
          <w:color w:val="auto"/>
          <w:highlight w:val="none"/>
        </w:rPr>
        <w:t>未标示“复印件”的证明资料均应直接制作生成。</w:t>
      </w:r>
    </w:p>
    <w:p w14:paraId="419C105B">
      <w:pPr>
        <w:spacing w:line="360" w:lineRule="auto"/>
        <w:ind w:firstLine="420" w:firstLineChars="200"/>
        <w:rPr>
          <w:rFonts w:hint="eastAsia"/>
          <w:color w:val="auto"/>
          <w:highlight w:val="none"/>
        </w:rPr>
      </w:pPr>
      <w:r>
        <w:rPr>
          <w:rFonts w:hint="eastAsia"/>
          <w:color w:val="auto"/>
          <w:highlight w:val="none"/>
        </w:rPr>
        <w:t>（4）第七章投标文件格式文件要求</w:t>
      </w:r>
      <w:r>
        <w:rPr>
          <w:color w:val="auto"/>
          <w:highlight w:val="none"/>
        </w:rPr>
        <w:t>盖</w:t>
      </w:r>
      <w:r>
        <w:rPr>
          <w:rFonts w:hint="eastAsia"/>
          <w:color w:val="auto"/>
          <w:highlight w:val="none"/>
        </w:rPr>
        <w:t>单位</w:t>
      </w:r>
      <w:r>
        <w:rPr>
          <w:color w:val="auto"/>
          <w:highlight w:val="none"/>
        </w:rPr>
        <w:t>章</w:t>
      </w:r>
      <w:r>
        <w:rPr>
          <w:rFonts w:hint="eastAsia"/>
          <w:color w:val="auto"/>
          <w:highlight w:val="none"/>
        </w:rPr>
        <w:t>和（或）</w:t>
      </w:r>
      <w:r>
        <w:rPr>
          <w:color w:val="auto"/>
          <w:highlight w:val="none"/>
        </w:rPr>
        <w:t>签字</w:t>
      </w:r>
      <w:r>
        <w:rPr>
          <w:rFonts w:hint="eastAsia"/>
          <w:color w:val="auto"/>
          <w:highlight w:val="none"/>
        </w:rPr>
        <w:t>的地方，投标</w:t>
      </w:r>
      <w:r>
        <w:rPr>
          <w:color w:val="auto"/>
          <w:highlight w:val="none"/>
        </w:rPr>
        <w:t>人均应</w:t>
      </w:r>
      <w:r>
        <w:rPr>
          <w:rFonts w:hint="eastAsia"/>
          <w:color w:val="auto"/>
          <w:highlight w:val="none"/>
        </w:rPr>
        <w:t>使用</w:t>
      </w:r>
      <w:r>
        <w:rPr>
          <w:color w:val="auto"/>
          <w:highlight w:val="none"/>
        </w:rPr>
        <w:t>CA 数字证书加盖</w:t>
      </w:r>
      <w:r>
        <w:rPr>
          <w:rFonts w:hint="eastAsia"/>
          <w:color w:val="auto"/>
          <w:highlight w:val="none"/>
        </w:rPr>
        <w:t>投标人</w:t>
      </w:r>
      <w:r>
        <w:rPr>
          <w:color w:val="auto"/>
          <w:highlight w:val="none"/>
        </w:rPr>
        <w:t>的单位电子印章</w:t>
      </w:r>
      <w:r>
        <w:rPr>
          <w:rFonts w:hint="eastAsia"/>
          <w:color w:val="auto"/>
          <w:highlight w:val="none"/>
        </w:rPr>
        <w:t>和</w:t>
      </w:r>
      <w:r>
        <w:rPr>
          <w:color w:val="auto"/>
          <w:highlight w:val="none"/>
        </w:rPr>
        <w:t>法定代表人的个人</w:t>
      </w:r>
      <w:r>
        <w:rPr>
          <w:rFonts w:hint="eastAsia"/>
          <w:color w:val="auto"/>
          <w:highlight w:val="none"/>
        </w:rPr>
        <w:t>电子印章或电子签名章。联合体投标的，投标文件由联合体牵头人按上述规定在</w:t>
      </w:r>
      <w:r>
        <w:rPr>
          <w:color w:val="auto"/>
          <w:highlight w:val="none"/>
        </w:rPr>
        <w:t>要求</w:t>
      </w:r>
      <w:r>
        <w:rPr>
          <w:rFonts w:hint="eastAsia"/>
          <w:color w:val="auto"/>
          <w:highlight w:val="none"/>
        </w:rPr>
        <w:t>“盖单位章”的地方加盖联合体牵头人单位电子印章；在要求“签字”的地方加盖联合体牵头人法定代表人的个人电子印章或电子签名章。招标文件有特别说明的除外。</w:t>
      </w:r>
    </w:p>
    <w:p w14:paraId="1181C08D">
      <w:pPr>
        <w:spacing w:line="400" w:lineRule="exact"/>
        <w:ind w:firstLine="420" w:firstLineChars="200"/>
        <w:rPr>
          <w:rFonts w:hint="eastAsia"/>
          <w:color w:val="auto"/>
          <w:highlight w:val="none"/>
        </w:rPr>
      </w:pPr>
      <w:r>
        <w:rPr>
          <w:rFonts w:hint="eastAsia"/>
          <w:color w:val="auto"/>
          <w:highlight w:val="none"/>
        </w:rPr>
        <w:t>（5）电子投标文件制作完成后，将生成一份加密的电子投标文件（后缀名为.TBS）和一份不加密的电子投标文件（后缀名为. PDF）。</w:t>
      </w:r>
    </w:p>
    <w:p w14:paraId="05839CEC">
      <w:pPr>
        <w:spacing w:line="400" w:lineRule="exact"/>
        <w:ind w:firstLine="420" w:firstLineChars="200"/>
        <w:rPr>
          <w:rFonts w:hint="eastAsia"/>
          <w:color w:val="auto"/>
          <w:highlight w:val="none"/>
        </w:rPr>
      </w:pPr>
      <w:r>
        <w:rPr>
          <w:rFonts w:hint="eastAsia"/>
          <w:color w:val="auto"/>
          <w:highlight w:val="none"/>
        </w:rPr>
        <w:t>（6）投标文件为加密电子投标文件一份。</w:t>
      </w:r>
    </w:p>
    <w:p w14:paraId="60CC2504">
      <w:pPr>
        <w:spacing w:line="400" w:lineRule="exact"/>
        <w:ind w:firstLine="420" w:firstLineChars="200"/>
        <w:rPr>
          <w:rFonts w:hint="eastAsia"/>
          <w:color w:val="auto"/>
          <w:highlight w:val="none"/>
        </w:rPr>
      </w:pPr>
      <w:r>
        <w:rPr>
          <w:rFonts w:hint="eastAsia"/>
          <w:color w:val="auto"/>
          <w:highlight w:val="none"/>
        </w:rPr>
        <w:t>（7）以联合体形式投标的，其投标文件须由联合体牵头人按上述(2)、(3)、（4）目的规定制作。</w:t>
      </w:r>
    </w:p>
    <w:p w14:paraId="2F021E59">
      <w:pPr>
        <w:spacing w:line="400" w:lineRule="exact"/>
        <w:ind w:firstLine="420" w:firstLineChars="200"/>
        <w:rPr>
          <w:rFonts w:hint="eastAsia"/>
          <w:color w:val="auto"/>
          <w:highlight w:val="none"/>
        </w:rPr>
      </w:pPr>
      <w:r>
        <w:rPr>
          <w:rFonts w:hint="eastAsia"/>
          <w:color w:val="auto"/>
          <w:highlight w:val="none"/>
        </w:rPr>
        <w:t>（8）</w:t>
      </w:r>
      <w:r>
        <w:rPr>
          <w:color w:val="auto"/>
          <w:highlight w:val="none"/>
        </w:rPr>
        <w:t>电子投标文件制作</w:t>
      </w:r>
      <w:r>
        <w:rPr>
          <w:rFonts w:hint="eastAsia"/>
          <w:color w:val="auto"/>
          <w:highlight w:val="none"/>
        </w:rPr>
        <w:t>的具体方法详见“投标文件制作软件”中的帮助文档。</w:t>
      </w:r>
    </w:p>
    <w:p w14:paraId="56590201">
      <w:pPr>
        <w:spacing w:line="400" w:lineRule="exact"/>
        <w:ind w:firstLine="482"/>
        <w:rPr>
          <w:rFonts w:ascii="Times New Roman" w:hAnsi="Times New Roman"/>
          <w:highlight w:val="none"/>
        </w:rPr>
      </w:pPr>
      <w:r>
        <w:rPr>
          <w:rFonts w:ascii="Times New Roman" w:hAnsi="Times New Roman"/>
          <w:highlight w:val="none"/>
        </w:rPr>
        <w:t>3.</w:t>
      </w:r>
      <w:r>
        <w:rPr>
          <w:rFonts w:hint="eastAsia"/>
          <w:highlight w:val="none"/>
          <w:lang w:val="en-US" w:eastAsia="zh-CN"/>
        </w:rPr>
        <w:t>7</w:t>
      </w:r>
      <w:r>
        <w:rPr>
          <w:rFonts w:ascii="Times New Roman" w:hAnsi="Times New Roman"/>
          <w:highlight w:val="none"/>
        </w:rPr>
        <w:t>.</w:t>
      </w:r>
      <w:r>
        <w:rPr>
          <w:rFonts w:hint="eastAsia"/>
          <w:highlight w:val="none"/>
          <w:lang w:val="en-US" w:eastAsia="zh-CN"/>
        </w:rPr>
        <w:t>4</w:t>
      </w:r>
      <w:r>
        <w:rPr>
          <w:rFonts w:ascii="Times New Roman" w:hAnsi="Times New Roman"/>
          <w:highlight w:val="none"/>
        </w:rPr>
        <w:t>技术文件制作要求</w:t>
      </w:r>
    </w:p>
    <w:p w14:paraId="21B6B455">
      <w:pPr>
        <w:spacing w:line="400" w:lineRule="exact"/>
        <w:ind w:firstLine="482"/>
        <w:rPr>
          <w:rFonts w:ascii="Times New Roman" w:hAnsi="Times New Roman"/>
          <w:highlight w:val="none"/>
        </w:rPr>
      </w:pPr>
      <w:r>
        <w:rPr>
          <w:rFonts w:hint="eastAsia"/>
          <w:szCs w:val="21"/>
          <w:highlight w:val="none"/>
        </w:rPr>
        <w:t>投标人须知前附表规定</w:t>
      </w:r>
      <w:r>
        <w:rPr>
          <w:rFonts w:hint="eastAsia" w:ascii="Calibri" w:hAnsi="Calibri" w:cs="Times New Roman"/>
          <w:color w:val="auto"/>
          <w:szCs w:val="21"/>
          <w:highlight w:val="none"/>
          <w:lang w:eastAsia="zh-CN"/>
        </w:rPr>
        <w:t>“</w:t>
      </w:r>
      <w:r>
        <w:rPr>
          <w:rFonts w:ascii="Calibri" w:hAnsi="Calibri" w:eastAsia="宋体" w:cs="Times New Roman"/>
          <w:color w:val="auto"/>
          <w:szCs w:val="21"/>
          <w:highlight w:val="none"/>
        </w:rPr>
        <w:t>承包人实施方案</w:t>
      </w:r>
      <w:r>
        <w:rPr>
          <w:rFonts w:hint="eastAsia"/>
          <w:szCs w:val="21"/>
          <w:highlight w:val="none"/>
        </w:rPr>
        <w:t>”采用无标识“技术暗标”，</w:t>
      </w:r>
      <w:r>
        <w:rPr>
          <w:rFonts w:ascii="Times New Roman" w:hAnsi="Times New Roman"/>
          <w:highlight w:val="none"/>
        </w:rPr>
        <w:t>其电子文件制作遵循下列规则：</w:t>
      </w:r>
    </w:p>
    <w:p w14:paraId="3A1288F3">
      <w:pPr>
        <w:spacing w:line="400" w:lineRule="exact"/>
        <w:ind w:firstLine="482"/>
        <w:rPr>
          <w:rFonts w:ascii="Times New Roman" w:hAnsi="Times New Roman"/>
          <w:highlight w:val="none"/>
        </w:rPr>
      </w:pPr>
      <w:r>
        <w:rPr>
          <w:rFonts w:ascii="Times New Roman" w:hAnsi="Times New Roman"/>
          <w:highlight w:val="none"/>
        </w:rPr>
        <w:t>采用 A4 规格的白色纸张，文字采用简体中文，字体为宋体，字号为四号，</w:t>
      </w:r>
      <w:r>
        <w:rPr>
          <w:rFonts w:hint="eastAsia" w:ascii="宋体" w:hAnsi="宋体"/>
          <w:szCs w:val="21"/>
          <w:highlight w:val="none"/>
        </w:rPr>
        <w:t>文字采用</w:t>
      </w:r>
      <w:r>
        <w:rPr>
          <w:rFonts w:hint="eastAsia"/>
          <w:szCs w:val="21"/>
          <w:highlight w:val="none"/>
        </w:rPr>
        <w:t>黑色</w:t>
      </w:r>
      <w:r>
        <w:rPr>
          <w:rFonts w:ascii="Times New Roman" w:hAnsi="Times New Roman"/>
          <w:highlight w:val="none"/>
        </w:rPr>
        <w:t>，目录、章、节、点、标题及正文内容文字均不得加粗、倾斜、下划线或采用其他字体；各种表格内的字号大小不限；页面不得注明页码，不得作其他任何标识，不得有页眉、页脚；标书内不得出现投标人单位名称、人员姓名或曾经承建过的工程名称。</w:t>
      </w:r>
    </w:p>
    <w:p w14:paraId="14791088">
      <w:pPr>
        <w:spacing w:line="420" w:lineRule="exact"/>
        <w:ind w:firstLine="420" w:firstLineChars="200"/>
        <w:rPr>
          <w:rFonts w:hint="eastAsia"/>
          <w:szCs w:val="21"/>
          <w:highlight w:val="none"/>
        </w:rPr>
      </w:pPr>
      <w:r>
        <w:rPr>
          <w:rFonts w:hint="eastAsia"/>
          <w:szCs w:val="21"/>
          <w:highlight w:val="none"/>
        </w:rPr>
        <w:t>图表要求：</w:t>
      </w:r>
      <w:r>
        <w:rPr>
          <w:rFonts w:hint="eastAsia" w:ascii="宋体" w:hAnsi="宋体"/>
          <w:szCs w:val="21"/>
          <w:highlight w:val="none"/>
        </w:rPr>
        <w:t>图表应尽可能采用</w:t>
      </w:r>
      <w:r>
        <w:rPr>
          <w:rFonts w:hint="eastAsia"/>
          <w:szCs w:val="21"/>
          <w:highlight w:val="none"/>
        </w:rPr>
        <w:t>A4规格白色底色，</w:t>
      </w:r>
      <w:r>
        <w:rPr>
          <w:rFonts w:hint="eastAsia" w:ascii="宋体" w:hAnsi="宋体"/>
          <w:szCs w:val="21"/>
          <w:highlight w:val="none"/>
        </w:rPr>
        <w:t>对于比较大的图表可使用</w:t>
      </w:r>
      <w:r>
        <w:rPr>
          <w:rFonts w:hint="eastAsia"/>
          <w:szCs w:val="21"/>
          <w:highlight w:val="none"/>
          <w:lang w:val="en-US" w:eastAsia="zh-CN"/>
        </w:rPr>
        <w:t>A3</w:t>
      </w:r>
      <w:r>
        <w:rPr>
          <w:rFonts w:hint="eastAsia"/>
          <w:szCs w:val="21"/>
          <w:highlight w:val="none"/>
        </w:rPr>
        <w:t>规格白色底色。</w:t>
      </w:r>
      <w:r>
        <w:rPr>
          <w:rFonts w:hint="eastAsia" w:ascii="宋体" w:hAnsi="宋体"/>
          <w:szCs w:val="21"/>
          <w:highlight w:val="none"/>
        </w:rPr>
        <w:t>图表中的文字采用</w:t>
      </w:r>
      <w:r>
        <w:rPr>
          <w:rFonts w:hint="eastAsia"/>
          <w:szCs w:val="21"/>
          <w:highlight w:val="none"/>
        </w:rPr>
        <w:t>黑色</w:t>
      </w:r>
      <w:r>
        <w:rPr>
          <w:rFonts w:hint="eastAsia" w:ascii="宋体" w:hAnsi="宋体"/>
          <w:szCs w:val="21"/>
          <w:highlight w:val="none"/>
        </w:rPr>
        <w:t>，</w:t>
      </w:r>
      <w:r>
        <w:rPr>
          <w:rFonts w:ascii="Times New Roman" w:hAnsi="Times New Roman"/>
          <w:highlight w:val="none"/>
        </w:rPr>
        <w:t>字体为宋体</w:t>
      </w:r>
      <w:r>
        <w:rPr>
          <w:rFonts w:hint="eastAsia" w:ascii="宋体" w:hAnsi="宋体"/>
          <w:szCs w:val="21"/>
          <w:highlight w:val="none"/>
        </w:rPr>
        <w:t>、字号不限；</w:t>
      </w:r>
    </w:p>
    <w:p w14:paraId="77CCE4F1">
      <w:pPr>
        <w:pStyle w:val="5"/>
        <w:spacing w:before="156"/>
        <w:rPr>
          <w:color w:val="auto"/>
          <w:sz w:val="28"/>
          <w:szCs w:val="28"/>
          <w:highlight w:val="none"/>
        </w:rPr>
      </w:pPr>
      <w:bookmarkStart w:id="612" w:name="_Toc17208"/>
      <w:bookmarkStart w:id="613" w:name="_Toc21240_WPSOffice_Level2"/>
      <w:bookmarkStart w:id="614" w:name="_Toc2443"/>
      <w:bookmarkStart w:id="615" w:name="_Toc29194"/>
      <w:bookmarkStart w:id="616" w:name="_Toc247513979"/>
      <w:bookmarkStart w:id="617" w:name="_Toc519085298"/>
      <w:bookmarkStart w:id="618" w:name="_Toc152042331"/>
      <w:bookmarkStart w:id="619" w:name="_Toc144974523"/>
      <w:bookmarkStart w:id="620" w:name="_Toc20803"/>
      <w:bookmarkStart w:id="621" w:name="_Toc247527580"/>
      <w:bookmarkStart w:id="622" w:name="_Toc152045555"/>
      <w:bookmarkStart w:id="623" w:name="_Toc22252"/>
      <w:r>
        <w:rPr>
          <w:rFonts w:hint="eastAsia"/>
          <w:color w:val="auto"/>
          <w:sz w:val="28"/>
          <w:szCs w:val="28"/>
          <w:highlight w:val="none"/>
        </w:rPr>
        <w:t>4</w:t>
      </w:r>
      <w:r>
        <w:rPr>
          <w:color w:val="auto"/>
          <w:sz w:val="28"/>
          <w:szCs w:val="28"/>
          <w:highlight w:val="none"/>
        </w:rPr>
        <w:t>. 投标</w:t>
      </w:r>
      <w:bookmarkEnd w:id="612"/>
      <w:bookmarkEnd w:id="613"/>
      <w:bookmarkEnd w:id="614"/>
    </w:p>
    <w:bookmarkEnd w:id="615"/>
    <w:bookmarkEnd w:id="616"/>
    <w:bookmarkEnd w:id="617"/>
    <w:bookmarkEnd w:id="618"/>
    <w:bookmarkEnd w:id="619"/>
    <w:bookmarkEnd w:id="620"/>
    <w:bookmarkEnd w:id="621"/>
    <w:bookmarkEnd w:id="622"/>
    <w:bookmarkEnd w:id="623"/>
    <w:p w14:paraId="1831EA4F">
      <w:pPr>
        <w:pStyle w:val="107"/>
        <w:outlineLvl w:val="3"/>
        <w:rPr>
          <w:rFonts w:hint="eastAsia" w:ascii="黑体" w:hAnsi="黑体"/>
          <w:color w:val="auto"/>
          <w:highlight w:val="none"/>
        </w:rPr>
      </w:pPr>
      <w:bookmarkStart w:id="624" w:name="_Toc555"/>
      <w:bookmarkStart w:id="625" w:name="_Toc11665"/>
      <w:bookmarkStart w:id="626" w:name="_Toc152042332"/>
      <w:bookmarkStart w:id="627" w:name="_Toc515570322"/>
      <w:bookmarkStart w:id="628" w:name="_Toc152045556"/>
      <w:bookmarkStart w:id="629" w:name="_Toc519085299"/>
      <w:bookmarkStart w:id="630" w:name="_Toc179632574"/>
      <w:bookmarkStart w:id="631" w:name="_Toc6376"/>
      <w:bookmarkStart w:id="632" w:name="_Toc144974524"/>
      <w:bookmarkStart w:id="633" w:name="_Toc13684"/>
      <w:bookmarkStart w:id="634" w:name="_Toc9503"/>
      <w:r>
        <w:rPr>
          <w:rFonts w:hint="eastAsia" w:ascii="黑体" w:hAnsi="黑体"/>
          <w:color w:val="auto"/>
          <w:highlight w:val="none"/>
        </w:rPr>
        <w:t>4.1 投标文件的密封和标识</w:t>
      </w:r>
      <w:bookmarkEnd w:id="624"/>
      <w:bookmarkEnd w:id="625"/>
    </w:p>
    <w:p w14:paraId="33B44074">
      <w:pPr>
        <w:spacing w:line="400" w:lineRule="exact"/>
        <w:ind w:firstLine="420" w:firstLineChars="200"/>
        <w:rPr>
          <w:color w:val="auto"/>
          <w:highlight w:val="none"/>
        </w:rPr>
      </w:pPr>
      <w:r>
        <w:rPr>
          <w:color w:val="auto"/>
          <w:highlight w:val="none"/>
        </w:rPr>
        <w:t>4.1.1 电子投标文件的加密</w:t>
      </w:r>
    </w:p>
    <w:p w14:paraId="6CED5B9F">
      <w:pPr>
        <w:spacing w:line="400" w:lineRule="exact"/>
        <w:ind w:firstLine="420" w:firstLineChars="200"/>
        <w:rPr>
          <w:color w:val="auto"/>
          <w:highlight w:val="none"/>
        </w:rPr>
      </w:pPr>
      <w:r>
        <w:rPr>
          <w:color w:val="auto"/>
          <w:highlight w:val="none"/>
        </w:rPr>
        <w:t>加密的电子投标文件应按照本章第3.7.3项要求制作并加密，未按要求加密的电子投标文件，招标人（“</w:t>
      </w:r>
      <w:r>
        <w:rPr>
          <w:rFonts w:hint="eastAsia"/>
          <w:color w:val="auto"/>
          <w:highlight w:val="none"/>
        </w:rPr>
        <w:t>市电子交易平台</w:t>
      </w:r>
      <w:r>
        <w:rPr>
          <w:color w:val="auto"/>
          <w:highlight w:val="none"/>
        </w:rPr>
        <w:t>”）将拒收并提示。</w:t>
      </w:r>
    </w:p>
    <w:bookmarkEnd w:id="626"/>
    <w:bookmarkEnd w:id="627"/>
    <w:bookmarkEnd w:id="628"/>
    <w:bookmarkEnd w:id="629"/>
    <w:bookmarkEnd w:id="630"/>
    <w:bookmarkEnd w:id="631"/>
    <w:bookmarkEnd w:id="632"/>
    <w:bookmarkEnd w:id="633"/>
    <w:bookmarkEnd w:id="634"/>
    <w:p w14:paraId="75BE21D3">
      <w:pPr>
        <w:pStyle w:val="107"/>
        <w:outlineLvl w:val="3"/>
        <w:rPr>
          <w:rFonts w:hint="eastAsia" w:ascii="黑体" w:hAnsi="黑体"/>
          <w:color w:val="auto"/>
          <w:highlight w:val="none"/>
        </w:rPr>
      </w:pPr>
      <w:bookmarkStart w:id="635" w:name="_Toc12342"/>
      <w:bookmarkStart w:id="636" w:name="_Toc15887"/>
      <w:bookmarkStart w:id="637" w:name="_Toc19888"/>
      <w:bookmarkStart w:id="638" w:name="_Toc515570323"/>
      <w:bookmarkStart w:id="639" w:name="_Toc519085300"/>
      <w:bookmarkStart w:id="640" w:name="_Toc179632575"/>
      <w:bookmarkStart w:id="641" w:name="_Toc22362"/>
      <w:bookmarkStart w:id="642" w:name="_Toc26019"/>
      <w:r>
        <w:rPr>
          <w:rFonts w:hint="eastAsia" w:ascii="黑体" w:hAnsi="黑体"/>
          <w:color w:val="auto"/>
          <w:highlight w:val="none"/>
        </w:rPr>
        <w:t>4.2 投标文件的递交</w:t>
      </w:r>
      <w:bookmarkEnd w:id="635"/>
      <w:bookmarkEnd w:id="636"/>
      <w:bookmarkEnd w:id="637"/>
      <w:bookmarkEnd w:id="638"/>
      <w:bookmarkEnd w:id="639"/>
      <w:bookmarkEnd w:id="640"/>
      <w:bookmarkEnd w:id="641"/>
      <w:bookmarkEnd w:id="642"/>
    </w:p>
    <w:p w14:paraId="63A089E1">
      <w:pPr>
        <w:spacing w:line="360" w:lineRule="auto"/>
        <w:ind w:firstLine="420" w:firstLineChars="200"/>
        <w:rPr>
          <w:rFonts w:hint="eastAsia"/>
          <w:color w:val="auto"/>
          <w:highlight w:val="none"/>
        </w:rPr>
      </w:pPr>
      <w:r>
        <w:rPr>
          <w:rFonts w:hint="eastAsia"/>
          <w:color w:val="auto"/>
          <w:highlight w:val="none"/>
        </w:rPr>
        <w:t>4.2.1投标人递交投标文件截止时间（投标截止时间）、现场递交投标文件地点：见投标人须知前附表。</w:t>
      </w:r>
    </w:p>
    <w:p w14:paraId="294576F7">
      <w:pPr>
        <w:spacing w:line="400" w:lineRule="exact"/>
        <w:ind w:firstLine="420" w:firstLineChars="200"/>
        <w:rPr>
          <w:rFonts w:hint="eastAsia"/>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2 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投标人应充分考虑上传文件时的不可预见因素，投标文件未在投标截止时间前完成上传的，视为逾期送达，招标人（“电子交易平台”）将拒收。</w:t>
      </w:r>
    </w:p>
    <w:p w14:paraId="311B35B5">
      <w:pPr>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2.3根据本章第4.2.2项的规定，除本章第5.4项规定的情形外，未采用“网上递交”方式递交投标文件的，视为放弃投标。</w:t>
      </w:r>
    </w:p>
    <w:p w14:paraId="11BFCE58">
      <w:pPr>
        <w:pStyle w:val="107"/>
        <w:outlineLvl w:val="3"/>
        <w:rPr>
          <w:rFonts w:hint="eastAsia" w:ascii="黑体" w:hAnsi="黑体"/>
          <w:color w:val="auto"/>
          <w:highlight w:val="none"/>
        </w:rPr>
      </w:pPr>
      <w:bookmarkStart w:id="643" w:name="_Toc26207"/>
      <w:bookmarkStart w:id="644" w:name="_Toc18628"/>
      <w:bookmarkStart w:id="645" w:name="_Toc6958"/>
      <w:bookmarkStart w:id="646" w:name="_Toc515570324"/>
      <w:bookmarkStart w:id="647" w:name="_Toc519085301"/>
      <w:bookmarkStart w:id="648" w:name="_Toc179632576"/>
      <w:bookmarkStart w:id="649" w:name="_Toc17181"/>
      <w:bookmarkStart w:id="650" w:name="_Toc24130"/>
      <w:r>
        <w:rPr>
          <w:rFonts w:hint="eastAsia" w:ascii="黑体" w:hAnsi="黑体"/>
          <w:color w:val="auto"/>
          <w:highlight w:val="none"/>
        </w:rPr>
        <w:t>4.3 投标文件的修改与撤回</w:t>
      </w:r>
      <w:bookmarkEnd w:id="643"/>
      <w:bookmarkEnd w:id="644"/>
      <w:bookmarkEnd w:id="645"/>
      <w:bookmarkEnd w:id="646"/>
      <w:bookmarkEnd w:id="647"/>
      <w:bookmarkEnd w:id="648"/>
      <w:bookmarkEnd w:id="649"/>
      <w:bookmarkEnd w:id="650"/>
    </w:p>
    <w:p w14:paraId="04709148">
      <w:pPr>
        <w:spacing w:line="360" w:lineRule="auto"/>
        <w:ind w:firstLine="420" w:firstLineChars="200"/>
        <w:rPr>
          <w:rFonts w:hint="eastAsia"/>
          <w:color w:val="auto"/>
          <w:highlight w:val="none"/>
        </w:rPr>
      </w:pPr>
      <w:r>
        <w:rPr>
          <w:color w:val="auto"/>
          <w:highlight w:val="none"/>
        </w:rPr>
        <w:t>4.3.1</w:t>
      </w:r>
      <w:r>
        <w:rPr>
          <w:rFonts w:hint="eastAsia"/>
          <w:color w:val="auto"/>
          <w:highlight w:val="none"/>
        </w:rPr>
        <w:t xml:space="preserve"> 在本章第4.2.1项规定的投标截止时间前，投标人可以在 “市电子交易平台”撤回和修改投标文件。</w:t>
      </w:r>
    </w:p>
    <w:p w14:paraId="05E41885">
      <w:pPr>
        <w:spacing w:line="360" w:lineRule="auto"/>
        <w:ind w:firstLine="420" w:firstLineChars="200"/>
        <w:rPr>
          <w:rFonts w:hint="eastAsia"/>
          <w:color w:val="auto"/>
          <w:highlight w:val="none"/>
        </w:rPr>
      </w:pPr>
      <w:r>
        <w:rPr>
          <w:rFonts w:hint="eastAsia"/>
          <w:color w:val="auto"/>
          <w:highlight w:val="none"/>
        </w:rPr>
        <w:t>4.3.2投标人对加密的投标文件进行撤回的，在 “市电子交易平台”直接进行撤回操作。</w:t>
      </w:r>
    </w:p>
    <w:p w14:paraId="5E14AC63">
      <w:pPr>
        <w:spacing w:line="360" w:lineRule="auto"/>
        <w:ind w:firstLine="420" w:firstLineChars="200"/>
        <w:rPr>
          <w:rFonts w:hint="eastAsia"/>
          <w:color w:val="auto"/>
          <w:highlight w:val="none"/>
        </w:rPr>
      </w:pPr>
      <w:r>
        <w:rPr>
          <w:rFonts w:hint="eastAsia"/>
          <w:color w:val="auto"/>
          <w:highlight w:val="none"/>
        </w:rPr>
        <w:t>4.3.3投标人修改投标文件的，应当先按本章第4.3.2项的规定撤回投标文件，再使用“投标文件制作工具”制作成完整的投标文件，并按照本章第3条、第4条规定进行编制和递交。</w:t>
      </w:r>
    </w:p>
    <w:p w14:paraId="3F3D2166">
      <w:pPr>
        <w:spacing w:line="360" w:lineRule="auto"/>
        <w:ind w:firstLine="420" w:firstLineChars="200"/>
        <w:rPr>
          <w:rFonts w:hint="eastAsia"/>
          <w:color w:val="auto"/>
          <w:highlight w:val="none"/>
        </w:rPr>
      </w:pPr>
      <w:r>
        <w:rPr>
          <w:rFonts w:hint="eastAsia"/>
          <w:color w:val="auto"/>
          <w:highlight w:val="none"/>
        </w:rPr>
        <w:t>4.3.4 投标人撤回投标文件并已提交投标保证金的，按照本章3.4条规定退还投标保证金。</w:t>
      </w:r>
    </w:p>
    <w:p w14:paraId="428A9F66">
      <w:pPr>
        <w:pStyle w:val="5"/>
        <w:spacing w:before="156"/>
        <w:rPr>
          <w:color w:val="auto"/>
          <w:sz w:val="28"/>
          <w:szCs w:val="28"/>
          <w:highlight w:val="none"/>
        </w:rPr>
      </w:pPr>
      <w:bookmarkStart w:id="651" w:name="_Toc144974527"/>
      <w:bookmarkStart w:id="652" w:name="_Toc14991"/>
      <w:bookmarkStart w:id="653" w:name="_Toc8535_WPSOffice_Level2"/>
      <w:bookmarkStart w:id="654" w:name="_Toc18153"/>
      <w:bookmarkStart w:id="655" w:name="_Toc152045559"/>
      <w:bookmarkStart w:id="656" w:name="_Toc19026"/>
      <w:bookmarkStart w:id="657" w:name="_Toc247513983"/>
      <w:bookmarkStart w:id="658" w:name="_Toc122"/>
      <w:bookmarkStart w:id="659" w:name="_Toc152042335"/>
      <w:bookmarkStart w:id="660" w:name="_Toc519085302"/>
      <w:bookmarkStart w:id="661" w:name="_Toc29142"/>
      <w:bookmarkStart w:id="662" w:name="_Toc247527584"/>
      <w:r>
        <w:rPr>
          <w:color w:val="auto"/>
          <w:sz w:val="28"/>
          <w:szCs w:val="28"/>
          <w:highlight w:val="none"/>
        </w:rPr>
        <w:t>5. 开标</w:t>
      </w:r>
      <w:bookmarkEnd w:id="651"/>
      <w:bookmarkEnd w:id="652"/>
      <w:bookmarkEnd w:id="653"/>
      <w:bookmarkEnd w:id="654"/>
      <w:bookmarkEnd w:id="655"/>
      <w:bookmarkEnd w:id="656"/>
      <w:bookmarkEnd w:id="657"/>
      <w:bookmarkEnd w:id="658"/>
      <w:bookmarkEnd w:id="659"/>
      <w:bookmarkEnd w:id="660"/>
      <w:bookmarkEnd w:id="661"/>
      <w:bookmarkEnd w:id="662"/>
    </w:p>
    <w:p w14:paraId="20379957">
      <w:pPr>
        <w:pStyle w:val="107"/>
        <w:outlineLvl w:val="3"/>
        <w:rPr>
          <w:rFonts w:hint="eastAsia" w:ascii="黑体" w:hAnsi="黑体"/>
          <w:color w:val="auto"/>
          <w:highlight w:val="none"/>
        </w:rPr>
      </w:pPr>
      <w:bookmarkStart w:id="663" w:name="_Toc16108"/>
      <w:bookmarkStart w:id="664" w:name="_Toc152045560"/>
      <w:bookmarkStart w:id="665" w:name="_Toc519085303"/>
      <w:bookmarkStart w:id="666" w:name="_Toc28187"/>
      <w:bookmarkStart w:id="667" w:name="_Toc152042336"/>
      <w:bookmarkStart w:id="668" w:name="_Toc179632578"/>
      <w:bookmarkStart w:id="669" w:name="_Toc144974528"/>
      <w:bookmarkStart w:id="670" w:name="_Toc8098"/>
      <w:bookmarkStart w:id="671" w:name="_Toc515570326"/>
      <w:bookmarkStart w:id="672" w:name="_Toc5739"/>
      <w:bookmarkStart w:id="673" w:name="_Toc4235"/>
      <w:r>
        <w:rPr>
          <w:rFonts w:hint="eastAsia" w:ascii="黑体" w:hAnsi="黑体"/>
          <w:color w:val="auto"/>
          <w:highlight w:val="none"/>
        </w:rPr>
        <w:t>5.1</w:t>
      </w:r>
      <w:bookmarkEnd w:id="663"/>
      <w:bookmarkEnd w:id="664"/>
      <w:bookmarkEnd w:id="665"/>
      <w:bookmarkEnd w:id="666"/>
      <w:bookmarkEnd w:id="667"/>
      <w:bookmarkEnd w:id="668"/>
      <w:bookmarkEnd w:id="669"/>
      <w:bookmarkEnd w:id="670"/>
      <w:bookmarkEnd w:id="671"/>
      <w:r>
        <w:rPr>
          <w:rFonts w:hint="eastAsia" w:ascii="黑体" w:hAnsi="黑体"/>
          <w:color w:val="auto"/>
          <w:highlight w:val="none"/>
          <w:lang w:val="en-US" w:eastAsia="zh-CN"/>
        </w:rPr>
        <w:t xml:space="preserve"> </w:t>
      </w:r>
      <w:r>
        <w:rPr>
          <w:rFonts w:hint="eastAsia" w:ascii="黑体" w:hAnsi="黑体"/>
          <w:color w:val="auto"/>
          <w:highlight w:val="none"/>
        </w:rPr>
        <w:t>□远程开标时间和地点</w:t>
      </w:r>
      <w:bookmarkEnd w:id="672"/>
      <w:bookmarkEnd w:id="673"/>
    </w:p>
    <w:p w14:paraId="033F629B">
      <w:pPr>
        <w:spacing w:line="360" w:lineRule="auto"/>
        <w:ind w:firstLine="420" w:firstLineChars="200"/>
        <w:rPr>
          <w:rFonts w:hint="eastAsia"/>
          <w:color w:val="auto"/>
          <w:highlight w:val="none"/>
        </w:rPr>
      </w:pPr>
      <w:r>
        <w:rPr>
          <w:color w:val="auto"/>
          <w:highlight w:val="none"/>
        </w:rPr>
        <w:t>5.1.1</w:t>
      </w:r>
      <w:r>
        <w:rPr>
          <w:rFonts w:hint="eastAsia"/>
          <w:color w:val="auto"/>
          <w:highlight w:val="none"/>
        </w:rPr>
        <w:t>招标人应按投标人须知前附表规定的投标截止时间（开标时间）在“市电子交易平台”上公开进行开标，所有投标人均应当准时在线参加开标。</w:t>
      </w:r>
    </w:p>
    <w:p w14:paraId="1C9C0ABE">
      <w:pPr>
        <w:spacing w:line="400" w:lineRule="exact"/>
        <w:ind w:firstLine="420" w:firstLineChars="200"/>
        <w:rPr>
          <w:color w:val="auto"/>
          <w:highlight w:val="none"/>
        </w:rPr>
      </w:pPr>
      <w:r>
        <w:rPr>
          <w:rFonts w:hint="eastAsia"/>
          <w:color w:val="auto"/>
          <w:highlight w:val="none"/>
        </w:rPr>
        <w:t>5.1.2招标人通过互联网在投标人须知前附表规定的地点组织开标，并在投标截止时间30分钟前，使用CA数字证书登录“市电子交易平台”，进入“网上开标大厅”选择相应标段进行签到，做好开标的准备工作。</w:t>
      </w:r>
    </w:p>
    <w:p w14:paraId="4FAAFF20">
      <w:pPr>
        <w:spacing w:line="360" w:lineRule="auto"/>
        <w:ind w:firstLine="420" w:firstLineChars="200"/>
        <w:rPr>
          <w:rFonts w:hint="eastAsia"/>
          <w:color w:val="auto"/>
          <w:highlight w:val="none"/>
        </w:rPr>
      </w:pPr>
      <w:r>
        <w:rPr>
          <w:color w:val="auto"/>
          <w:highlight w:val="none"/>
        </w:rPr>
        <w:t>5.1.</w:t>
      </w:r>
      <w:r>
        <w:rPr>
          <w:rFonts w:hint="eastAsia"/>
          <w:color w:val="auto"/>
          <w:highlight w:val="none"/>
        </w:rPr>
        <w:t>3投标人可在能够保证设施设备可靠、互联网畅通的任意地点，通过互联网在线参加开标。在投标截止时间前，使用加密投标文件的CA数字证书登录“市电子交易平台”，进入“网上开标大厅”选择所投标段（包）进行签到，并实时在线关注招标人的操作情况。</w:t>
      </w:r>
    </w:p>
    <w:p w14:paraId="34FD1B29">
      <w:pPr>
        <w:pStyle w:val="107"/>
        <w:outlineLvl w:val="3"/>
        <w:rPr>
          <w:rFonts w:hint="eastAsia" w:ascii="黑体" w:hAnsi="黑体"/>
          <w:color w:val="auto"/>
          <w:highlight w:val="none"/>
        </w:rPr>
      </w:pPr>
      <w:bookmarkStart w:id="674" w:name="_Toc15667"/>
      <w:bookmarkStart w:id="675" w:name="_Toc19153"/>
      <w:r>
        <w:rPr>
          <w:rFonts w:hint="eastAsia" w:ascii="黑体" w:hAnsi="黑体"/>
          <w:color w:val="auto"/>
          <w:highlight w:val="none"/>
        </w:rPr>
        <w:t>5.1</w:t>
      </w:r>
      <w:r>
        <w:rPr>
          <w:rFonts w:hint="eastAsia" w:ascii="黑体" w:hAnsi="黑体"/>
          <w:color w:val="auto"/>
          <w:highlight w:val="none"/>
          <w:lang w:val="en-US" w:eastAsia="zh-CN"/>
        </w:rPr>
        <w:t xml:space="preserve"> </w:t>
      </w:r>
      <w:r>
        <w:rPr>
          <w:rFonts w:hint="eastAsia" w:ascii="黑体" w:hAnsi="黑体"/>
          <w:color w:val="auto"/>
          <w:highlight w:val="none"/>
        </w:rPr>
        <w:t>□现场开标时间和地点</w:t>
      </w:r>
      <w:bookmarkEnd w:id="674"/>
      <w:bookmarkEnd w:id="675"/>
    </w:p>
    <w:p w14:paraId="4F464914">
      <w:pPr>
        <w:spacing w:line="360" w:lineRule="auto"/>
        <w:rPr>
          <w:rFonts w:hint="eastAsia"/>
          <w:color w:val="auto"/>
          <w:highlight w:val="none"/>
        </w:rPr>
      </w:pPr>
      <w:r>
        <w:rPr>
          <w:rFonts w:hint="eastAsia"/>
          <w:color w:val="auto"/>
          <w:highlight w:val="none"/>
        </w:rPr>
        <w:t>5.1.1招标人将于投标人须知前附表规定的时间和地点公开开标，并邀请所有投标人代表准时参加。</w:t>
      </w:r>
    </w:p>
    <w:p w14:paraId="22DE0E56">
      <w:pPr>
        <w:spacing w:line="360" w:lineRule="auto"/>
        <w:rPr>
          <w:rFonts w:hint="eastAsia"/>
          <w:color w:val="auto"/>
          <w:highlight w:val="none"/>
        </w:rPr>
      </w:pPr>
      <w:r>
        <w:rPr>
          <w:rFonts w:hint="eastAsia"/>
          <w:color w:val="auto"/>
          <w:highlight w:val="none"/>
        </w:rPr>
        <w:t>5.1.2出席开标会投标人代表身份要求见投标须知前附表。投标人代表应按时参加开标会，在开标签到时向招标人提交二代身份证和法人授权委托书（非法定代表人时）查验，以证明其出席，招标人核实确认并如实记入开标记录。</w:t>
      </w:r>
    </w:p>
    <w:p w14:paraId="0CAC76FB">
      <w:pPr>
        <w:spacing w:line="360" w:lineRule="auto"/>
        <w:rPr>
          <w:color w:val="auto"/>
          <w:highlight w:val="none"/>
        </w:rPr>
      </w:pPr>
      <w:r>
        <w:rPr>
          <w:rFonts w:hint="eastAsia"/>
          <w:color w:val="auto"/>
          <w:highlight w:val="none"/>
        </w:rPr>
        <w:t>5.1.3 投标人代表应携带加密投标文件的CA数字证书，到开标现场完成投标文件解密工作。</w:t>
      </w:r>
    </w:p>
    <w:p w14:paraId="156AA9D4">
      <w:pPr>
        <w:pStyle w:val="107"/>
        <w:outlineLvl w:val="3"/>
        <w:rPr>
          <w:rFonts w:hint="eastAsia" w:ascii="黑体" w:hAnsi="黑体"/>
          <w:color w:val="auto"/>
          <w:highlight w:val="none"/>
        </w:rPr>
      </w:pPr>
      <w:bookmarkStart w:id="676" w:name="_Toc8375"/>
      <w:bookmarkStart w:id="677" w:name="_Toc2989"/>
      <w:r>
        <w:rPr>
          <w:rFonts w:hint="eastAsia" w:ascii="黑体" w:hAnsi="黑体"/>
          <w:color w:val="auto"/>
          <w:highlight w:val="none"/>
        </w:rPr>
        <w:t>5.2</w:t>
      </w:r>
      <w:r>
        <w:rPr>
          <w:rFonts w:hint="eastAsia" w:ascii="黑体" w:hAnsi="黑体"/>
          <w:color w:val="auto"/>
          <w:highlight w:val="none"/>
          <w:lang w:val="en-US" w:eastAsia="zh-CN"/>
        </w:rPr>
        <w:t xml:space="preserve"> </w:t>
      </w:r>
      <w:r>
        <w:rPr>
          <w:rFonts w:hint="eastAsia" w:ascii="黑体" w:hAnsi="黑体"/>
          <w:color w:val="auto"/>
          <w:highlight w:val="none"/>
        </w:rPr>
        <w:t>□远程开标程序</w:t>
      </w:r>
      <w:bookmarkEnd w:id="676"/>
      <w:bookmarkEnd w:id="677"/>
    </w:p>
    <w:p w14:paraId="0F73FFBD">
      <w:pPr>
        <w:spacing w:line="360" w:lineRule="auto"/>
        <w:ind w:firstLine="420" w:firstLineChars="200"/>
        <w:rPr>
          <w:rFonts w:hint="eastAsia"/>
          <w:color w:val="auto"/>
          <w:highlight w:val="none"/>
        </w:rPr>
      </w:pPr>
      <w:r>
        <w:rPr>
          <w:rFonts w:hint="eastAsia"/>
          <w:color w:val="auto"/>
          <w:highlight w:val="none"/>
        </w:rPr>
        <w:t>5.2.1开标由招标人或招标代理机构主持。主持人按下列程序在“市电子交易平台”“网上开标大厅”进行电子开标：</w:t>
      </w:r>
    </w:p>
    <w:p w14:paraId="714FC0E8">
      <w:pPr>
        <w:spacing w:line="360" w:lineRule="auto"/>
        <w:ind w:firstLine="420" w:firstLineChars="200"/>
        <w:rPr>
          <w:rFonts w:hint="eastAsia"/>
          <w:color w:val="auto"/>
          <w:highlight w:val="none"/>
        </w:rPr>
      </w:pPr>
      <w:r>
        <w:rPr>
          <w:rFonts w:hint="eastAsia"/>
          <w:color w:val="auto"/>
          <w:highlight w:val="none"/>
        </w:rPr>
        <w:t>（1）宣布开标纪律；</w:t>
      </w:r>
    </w:p>
    <w:p w14:paraId="74A9FC6B">
      <w:pPr>
        <w:spacing w:line="360" w:lineRule="auto"/>
        <w:ind w:firstLine="420" w:firstLineChars="200"/>
        <w:rPr>
          <w:rFonts w:hint="eastAsia"/>
          <w:color w:val="auto"/>
          <w:highlight w:val="none"/>
        </w:rPr>
      </w:pPr>
      <w:r>
        <w:rPr>
          <w:rFonts w:hint="eastAsia"/>
          <w:color w:val="auto"/>
          <w:highlight w:val="none"/>
        </w:rPr>
        <w:t xml:space="preserve">（2）公布主持人、招标人代表、监标人等有关人员姓名； </w:t>
      </w:r>
    </w:p>
    <w:p w14:paraId="4ECFD40A">
      <w:pPr>
        <w:spacing w:line="360" w:lineRule="auto"/>
        <w:ind w:firstLine="420" w:firstLineChars="200"/>
        <w:rPr>
          <w:rFonts w:hint="eastAsia"/>
          <w:color w:val="auto"/>
          <w:highlight w:val="none"/>
        </w:rPr>
      </w:pPr>
      <w:r>
        <w:rPr>
          <w:rFonts w:hint="eastAsia"/>
          <w:color w:val="auto"/>
          <w:highlight w:val="none"/>
        </w:rPr>
        <w:t>（3）公布在投标截止时间前投标文件的递交情况；</w:t>
      </w:r>
    </w:p>
    <w:p w14:paraId="69AA3EF9">
      <w:pPr>
        <w:spacing w:line="360" w:lineRule="auto"/>
        <w:ind w:firstLine="420" w:firstLineChars="200"/>
        <w:rPr>
          <w:rFonts w:hint="eastAsia"/>
          <w:color w:val="auto"/>
          <w:highlight w:val="none"/>
        </w:rPr>
      </w:pPr>
      <w:r>
        <w:rPr>
          <w:rFonts w:hint="eastAsia"/>
          <w:color w:val="auto"/>
          <w:highlight w:val="none"/>
        </w:rPr>
        <w:t>（4）公布投标保证金递交情况；</w:t>
      </w:r>
    </w:p>
    <w:p w14:paraId="2F4FF215">
      <w:pPr>
        <w:spacing w:line="360" w:lineRule="auto"/>
        <w:ind w:firstLine="420" w:firstLineChars="200"/>
        <w:rPr>
          <w:rFonts w:hint="eastAsia"/>
          <w:color w:val="auto"/>
          <w:highlight w:val="none"/>
        </w:rPr>
      </w:pPr>
      <w:r>
        <w:rPr>
          <w:rFonts w:hint="eastAsia"/>
          <w:color w:val="auto"/>
          <w:highlight w:val="none"/>
        </w:rPr>
        <w:t>（5）投标人根据提示在投标人须知前附表规定的时间内解密投标文件；</w:t>
      </w:r>
    </w:p>
    <w:p w14:paraId="00D37C47">
      <w:pPr>
        <w:spacing w:line="360" w:lineRule="auto"/>
        <w:ind w:firstLine="420" w:firstLineChars="200"/>
        <w:rPr>
          <w:rFonts w:hint="eastAsia"/>
          <w:color w:val="auto"/>
          <w:highlight w:val="none"/>
        </w:rPr>
      </w:pPr>
      <w:r>
        <w:rPr>
          <w:rFonts w:hint="eastAsia"/>
          <w:color w:val="auto"/>
          <w:highlight w:val="none"/>
        </w:rPr>
        <w:t>（6）读取已解密的投标文件的内容；</w:t>
      </w:r>
    </w:p>
    <w:p w14:paraId="46F99BE5">
      <w:pPr>
        <w:spacing w:line="360" w:lineRule="auto"/>
        <w:ind w:firstLine="420" w:firstLineChars="200"/>
        <w:rPr>
          <w:rFonts w:hint="eastAsia"/>
          <w:color w:val="auto"/>
          <w:highlight w:val="none"/>
        </w:rPr>
      </w:pPr>
      <w:r>
        <w:rPr>
          <w:rFonts w:hint="eastAsia"/>
          <w:color w:val="auto"/>
          <w:highlight w:val="none"/>
        </w:rPr>
        <w:t>（7）公布投标人名称、标段（包）名称、投标保证金的递交情况、投标报价及其他内容，并生成开标记录；</w:t>
      </w:r>
    </w:p>
    <w:p w14:paraId="22BCBA06">
      <w:pPr>
        <w:spacing w:line="360" w:lineRule="auto"/>
        <w:ind w:firstLine="420" w:firstLineChars="200"/>
        <w:rPr>
          <w:rFonts w:hint="eastAsia"/>
          <w:color w:val="auto"/>
          <w:highlight w:val="none"/>
        </w:rPr>
      </w:pPr>
      <w:r>
        <w:rPr>
          <w:rFonts w:hint="eastAsia"/>
          <w:color w:val="auto"/>
          <w:highlight w:val="none"/>
        </w:rPr>
        <w:t>（8）开标结束。</w:t>
      </w:r>
    </w:p>
    <w:p w14:paraId="2889BCF7">
      <w:pPr>
        <w:spacing w:line="360" w:lineRule="auto"/>
        <w:ind w:firstLine="420" w:firstLineChars="200"/>
        <w:rPr>
          <w:rFonts w:hint="eastAsia"/>
          <w:color w:val="auto"/>
          <w:highlight w:val="none"/>
        </w:rPr>
      </w:pPr>
      <w:r>
        <w:rPr>
          <w:rFonts w:hint="eastAsia"/>
          <w:color w:val="auto"/>
          <w:highlight w:val="none"/>
        </w:rPr>
        <w:t>5.2.2 在本章第5.2.1（5）目规定的时间内，非因“市电子交易平台”原因造成投标文件未解密的，视为投标人撤回投标文件。已解密的投标文件少于三个的，招标失败；已解密的投标文件不少于三个，开标继续进行。因投标人自身原因导致无法完成投标的，由投标人自行承担后果。</w:t>
      </w:r>
    </w:p>
    <w:p w14:paraId="2933FEC8">
      <w:pPr>
        <w:pStyle w:val="107"/>
        <w:outlineLvl w:val="3"/>
        <w:rPr>
          <w:rFonts w:hint="eastAsia" w:ascii="黑体" w:hAnsi="黑体"/>
          <w:color w:val="auto"/>
          <w:highlight w:val="none"/>
        </w:rPr>
      </w:pPr>
      <w:bookmarkStart w:id="678" w:name="_Toc6786"/>
      <w:bookmarkStart w:id="679" w:name="_Toc28230"/>
      <w:r>
        <w:rPr>
          <w:rFonts w:hint="eastAsia" w:ascii="黑体" w:hAnsi="黑体"/>
          <w:color w:val="auto"/>
          <w:highlight w:val="none"/>
        </w:rPr>
        <w:t>5.2</w:t>
      </w:r>
      <w:r>
        <w:rPr>
          <w:rFonts w:hint="eastAsia" w:ascii="黑体" w:hAnsi="黑体"/>
          <w:color w:val="auto"/>
          <w:highlight w:val="none"/>
          <w:lang w:val="en-US" w:eastAsia="zh-CN"/>
        </w:rPr>
        <w:t xml:space="preserve"> </w:t>
      </w:r>
      <w:r>
        <w:rPr>
          <w:rFonts w:hint="eastAsia" w:ascii="黑体" w:hAnsi="黑体"/>
          <w:color w:val="auto"/>
          <w:highlight w:val="none"/>
        </w:rPr>
        <w:t>□现场开标程序</w:t>
      </w:r>
      <w:bookmarkEnd w:id="678"/>
      <w:bookmarkEnd w:id="679"/>
    </w:p>
    <w:p w14:paraId="0C9D4452">
      <w:pPr>
        <w:spacing w:line="360" w:lineRule="auto"/>
        <w:ind w:firstLine="420" w:firstLineChars="200"/>
        <w:rPr>
          <w:rFonts w:hint="eastAsia"/>
          <w:color w:val="auto"/>
          <w:highlight w:val="none"/>
        </w:rPr>
      </w:pPr>
      <w:r>
        <w:rPr>
          <w:rFonts w:hint="eastAsia"/>
          <w:color w:val="auto"/>
          <w:highlight w:val="none"/>
        </w:rPr>
        <w:t>5.2.1开标由招标人或招标代理机构主持。</w:t>
      </w:r>
    </w:p>
    <w:p w14:paraId="4CD93082">
      <w:pPr>
        <w:spacing w:line="360" w:lineRule="auto"/>
        <w:ind w:firstLine="420" w:firstLineChars="200"/>
        <w:rPr>
          <w:rFonts w:hint="eastAsia"/>
          <w:color w:val="auto"/>
          <w:highlight w:val="none"/>
        </w:rPr>
      </w:pPr>
      <w:r>
        <w:rPr>
          <w:rFonts w:hint="eastAsia"/>
          <w:color w:val="auto"/>
          <w:highlight w:val="none"/>
        </w:rPr>
        <w:t>5.2.2宣布开标纪律。</w:t>
      </w:r>
    </w:p>
    <w:p w14:paraId="4D79CF97">
      <w:pPr>
        <w:spacing w:line="360" w:lineRule="auto"/>
        <w:ind w:firstLine="420" w:firstLineChars="200"/>
        <w:rPr>
          <w:rFonts w:hint="eastAsia"/>
          <w:color w:val="auto"/>
          <w:highlight w:val="none"/>
        </w:rPr>
      </w:pPr>
      <w:r>
        <w:rPr>
          <w:rFonts w:hint="eastAsia"/>
          <w:color w:val="auto"/>
          <w:highlight w:val="none"/>
        </w:rPr>
        <w:t>5.2.3公布主持人、招标人代表、监标人等有关人员姓名。</w:t>
      </w:r>
    </w:p>
    <w:p w14:paraId="28E6B8E6">
      <w:pPr>
        <w:spacing w:line="360" w:lineRule="auto"/>
        <w:ind w:firstLine="420" w:firstLineChars="200"/>
        <w:rPr>
          <w:rFonts w:hint="eastAsia"/>
          <w:color w:val="auto"/>
          <w:highlight w:val="none"/>
        </w:rPr>
      </w:pPr>
      <w:r>
        <w:rPr>
          <w:rFonts w:hint="eastAsia"/>
          <w:color w:val="auto"/>
          <w:highlight w:val="none"/>
        </w:rPr>
        <w:t>5.2.4由主持人公布在投标截止时间前投标文件的递交情况、核验投标人的法定代表人或其授权的委托代理人身份，投标人法定代表人或其授权的委托代理人须在签到表上签字确认。</w:t>
      </w:r>
    </w:p>
    <w:p w14:paraId="50A3C7FE">
      <w:pPr>
        <w:spacing w:line="360" w:lineRule="auto"/>
        <w:ind w:firstLine="420" w:firstLineChars="200"/>
        <w:rPr>
          <w:rFonts w:hint="eastAsia"/>
          <w:color w:val="auto"/>
          <w:highlight w:val="none"/>
        </w:rPr>
      </w:pPr>
      <w:r>
        <w:rPr>
          <w:rFonts w:hint="eastAsia"/>
          <w:color w:val="auto"/>
          <w:highlight w:val="none"/>
        </w:rPr>
        <w:t>5.2.5招标人根据提示在投标人须知前附表规定的时间内解密投标文件。</w:t>
      </w:r>
    </w:p>
    <w:p w14:paraId="57DE828F">
      <w:pPr>
        <w:spacing w:line="360" w:lineRule="auto"/>
        <w:ind w:firstLine="420" w:firstLineChars="200"/>
        <w:rPr>
          <w:rFonts w:hint="eastAsia"/>
          <w:color w:val="auto"/>
          <w:highlight w:val="none"/>
        </w:rPr>
      </w:pPr>
      <w:r>
        <w:rPr>
          <w:rFonts w:hint="eastAsia"/>
          <w:color w:val="auto"/>
          <w:highlight w:val="none"/>
        </w:rPr>
        <w:t>5.2.6主持人宣读所有已解密的投标文件的内容，包括投标人名称、标段（包）名称、投标保证金的递交情况、投标报价及其他内容，并生成开标记录表。投标人法定代表人或其授权的委托代理人、招标人代表、监标人、主持人等有关人员在开标记录上签字确认。</w:t>
      </w:r>
    </w:p>
    <w:p w14:paraId="1CF92496">
      <w:pPr>
        <w:spacing w:line="360" w:lineRule="auto"/>
        <w:ind w:firstLine="420" w:firstLineChars="200"/>
        <w:rPr>
          <w:rFonts w:hint="eastAsia"/>
          <w:color w:val="auto"/>
          <w:highlight w:val="none"/>
        </w:rPr>
      </w:pPr>
      <w:r>
        <w:rPr>
          <w:rFonts w:hint="eastAsia"/>
          <w:color w:val="auto"/>
          <w:highlight w:val="none"/>
        </w:rPr>
        <w:t>5.2.7招标人在提交投标文件的截止时间前收到的未出现本章“否决投标的情形”第1条的所有投标文件，开标时都将当场予以解密、宣读。</w:t>
      </w:r>
    </w:p>
    <w:p w14:paraId="77CD4ECB">
      <w:pPr>
        <w:spacing w:line="360" w:lineRule="auto"/>
        <w:ind w:firstLine="420" w:firstLineChars="200"/>
        <w:rPr>
          <w:rFonts w:hint="eastAsia"/>
          <w:color w:val="auto"/>
          <w:highlight w:val="none"/>
        </w:rPr>
      </w:pPr>
      <w:r>
        <w:rPr>
          <w:rFonts w:hint="eastAsia"/>
          <w:color w:val="auto"/>
          <w:highlight w:val="none"/>
        </w:rPr>
        <w:t>5.2.8开标结束。</w:t>
      </w:r>
    </w:p>
    <w:p w14:paraId="7E13D678">
      <w:pPr>
        <w:spacing w:line="360" w:lineRule="auto"/>
        <w:ind w:firstLine="420" w:firstLineChars="200"/>
        <w:rPr>
          <w:color w:val="auto"/>
          <w:highlight w:val="none"/>
        </w:rPr>
      </w:pPr>
      <w:r>
        <w:rPr>
          <w:rFonts w:hint="eastAsia"/>
          <w:color w:val="auto"/>
          <w:highlight w:val="none"/>
        </w:rPr>
        <w:t>5.2.9在本章第5.2.5项规定的时间内，非因“市电子交易平台”原因造成投标文件未解密的，视为投标人撤回投标文件。已解密的投标文件少于三个的，招标失败；已解密的投标文件不少于三个，开标继续进行。因投标人自身原因导致无法完成投标的，由投标人自行承担后果</w:t>
      </w:r>
      <w:r>
        <w:rPr>
          <w:rFonts w:hint="eastAsia" w:ascii="黑体" w:hAnsi="黑体" w:eastAsia="黑体" w:cs="宋体"/>
          <w:bCs/>
          <w:color w:val="auto"/>
          <w:sz w:val="24"/>
          <w:szCs w:val="20"/>
          <w:highlight w:val="none"/>
        </w:rPr>
        <w:t>。</w:t>
      </w:r>
    </w:p>
    <w:p w14:paraId="78754F4A">
      <w:pPr>
        <w:pStyle w:val="107"/>
        <w:outlineLvl w:val="3"/>
        <w:rPr>
          <w:rFonts w:hint="eastAsia" w:ascii="黑体" w:hAnsi="黑体"/>
          <w:color w:val="auto"/>
          <w:highlight w:val="none"/>
        </w:rPr>
      </w:pPr>
      <w:bookmarkStart w:id="680" w:name="_Toc19418"/>
      <w:bookmarkStart w:id="681" w:name="_Toc22650"/>
      <w:bookmarkStart w:id="682" w:name="_Toc10389"/>
      <w:bookmarkStart w:id="683" w:name="_Toc24117"/>
      <w:bookmarkStart w:id="684" w:name="_Toc300834983"/>
      <w:bookmarkStart w:id="685" w:name="_Toc519085305"/>
      <w:bookmarkStart w:id="686" w:name="_Toc515570328"/>
      <w:bookmarkStart w:id="687" w:name="_Toc9222"/>
      <w:r>
        <w:rPr>
          <w:rFonts w:hint="eastAsia" w:ascii="黑体" w:hAnsi="黑体"/>
          <w:color w:val="auto"/>
          <w:highlight w:val="none"/>
        </w:rPr>
        <w:t>5.3 开标异议</w:t>
      </w:r>
      <w:bookmarkEnd w:id="680"/>
      <w:bookmarkEnd w:id="681"/>
      <w:bookmarkEnd w:id="682"/>
      <w:bookmarkEnd w:id="683"/>
      <w:bookmarkEnd w:id="684"/>
      <w:bookmarkEnd w:id="685"/>
      <w:bookmarkEnd w:id="686"/>
      <w:bookmarkEnd w:id="687"/>
    </w:p>
    <w:p w14:paraId="210C463E">
      <w:pPr>
        <w:ind w:firstLine="420" w:firstLineChars="200"/>
        <w:rPr>
          <w:rFonts w:hint="eastAsia"/>
          <w:color w:val="auto"/>
          <w:highlight w:val="none"/>
        </w:rPr>
      </w:pPr>
      <w:bookmarkStart w:id="688" w:name="_Toc19334"/>
      <w:bookmarkStart w:id="689" w:name="_Toc519085306"/>
      <w:bookmarkStart w:id="690" w:name="_Toc515570329"/>
      <w:bookmarkStart w:id="691" w:name="_Toc6319"/>
      <w:bookmarkStart w:id="692" w:name="_Toc16588"/>
      <w:bookmarkStart w:id="693" w:name="_Toc402465011"/>
      <w:bookmarkStart w:id="694" w:name="_Toc400530224"/>
      <w:r>
        <w:rPr>
          <w:rFonts w:hint="eastAsia"/>
          <w:color w:val="auto"/>
          <w:highlight w:val="none"/>
        </w:rPr>
        <w:t>5.3.1投标人对开标有异议的，应当在开标过程中提出；招标人需及时对异议作出答复，并记入开标记录。远程开标的异议与答复应通过 “网上开标大厅”在“异议与答复”菜单以书面形式进行。</w:t>
      </w:r>
    </w:p>
    <w:p w14:paraId="7D95AE89">
      <w:pPr>
        <w:ind w:firstLine="420" w:firstLineChars="200"/>
        <w:rPr>
          <w:rFonts w:hint="eastAsia"/>
          <w:bCs/>
          <w:color w:val="auto"/>
          <w:highlight w:val="none"/>
        </w:rPr>
      </w:pPr>
      <w:r>
        <w:rPr>
          <w:rFonts w:hint="eastAsia"/>
          <w:bCs/>
          <w:color w:val="auto"/>
          <w:highlight w:val="none"/>
        </w:rPr>
        <w:t>本处所称异议是指投标人在开标过程中对投标文件提交、投标截止时间、开标程序、唱标内容、开标记录以及投标人和招标人或者投标人相互之间存在利益冲突的情形等提出的质疑。</w:t>
      </w:r>
    </w:p>
    <w:p w14:paraId="0FB9BC68">
      <w:pPr>
        <w:ind w:firstLine="420" w:firstLineChars="200"/>
        <w:rPr>
          <w:rFonts w:hint="eastAsia"/>
          <w:bCs/>
          <w:color w:val="auto"/>
          <w:highlight w:val="none"/>
        </w:rPr>
      </w:pPr>
      <w:r>
        <w:rPr>
          <w:rFonts w:hint="eastAsia"/>
          <w:bCs/>
          <w:color w:val="auto"/>
          <w:highlight w:val="none"/>
        </w:rPr>
        <w:t>5.3.2 投标人异议成立的，招标人将及时采取纠正措施，或者提交评标委员会评审确认；投标人异议不成立的，招标人将当场给予解释说明。</w:t>
      </w:r>
    </w:p>
    <w:p w14:paraId="16DCC0A4">
      <w:pPr>
        <w:pStyle w:val="107"/>
        <w:outlineLvl w:val="3"/>
        <w:rPr>
          <w:rFonts w:ascii="黑体" w:hAnsi="黑体"/>
          <w:color w:val="auto"/>
          <w:highlight w:val="none"/>
        </w:rPr>
      </w:pPr>
      <w:bookmarkStart w:id="695" w:name="_Toc793"/>
      <w:bookmarkStart w:id="696" w:name="_Toc448"/>
      <w:r>
        <w:rPr>
          <w:rFonts w:ascii="黑体" w:hAnsi="黑体"/>
          <w:color w:val="auto"/>
          <w:highlight w:val="none"/>
        </w:rPr>
        <w:t>5.</w:t>
      </w:r>
      <w:r>
        <w:rPr>
          <w:rFonts w:hint="eastAsia" w:ascii="黑体" w:hAnsi="黑体"/>
          <w:color w:val="auto"/>
          <w:highlight w:val="none"/>
        </w:rPr>
        <w:t xml:space="preserve">4 </w:t>
      </w:r>
      <w:r>
        <w:rPr>
          <w:rFonts w:ascii="黑体" w:hAnsi="黑体"/>
          <w:color w:val="auto"/>
          <w:highlight w:val="none"/>
        </w:rPr>
        <w:t>特殊情况的处置</w:t>
      </w:r>
      <w:bookmarkEnd w:id="688"/>
      <w:bookmarkEnd w:id="689"/>
      <w:bookmarkEnd w:id="690"/>
      <w:bookmarkEnd w:id="691"/>
      <w:bookmarkEnd w:id="692"/>
      <w:bookmarkEnd w:id="695"/>
      <w:bookmarkEnd w:id="696"/>
    </w:p>
    <w:p w14:paraId="55456EEA">
      <w:pPr>
        <w:spacing w:line="360" w:lineRule="auto"/>
        <w:ind w:firstLine="420" w:firstLineChars="200"/>
        <w:rPr>
          <w:color w:val="auto"/>
          <w:highlight w:val="none"/>
        </w:rPr>
      </w:pPr>
      <w:r>
        <w:rPr>
          <w:color w:val="auto"/>
          <w:highlight w:val="none"/>
        </w:rPr>
        <w:t>5.4.1</w:t>
      </w:r>
      <w:r>
        <w:rPr>
          <w:rFonts w:hint="eastAsia"/>
          <w:color w:val="auto"/>
          <w:highlight w:val="none"/>
        </w:rPr>
        <w:t>因“市电子交易平台”系统故障导致无法投标的，交易中心及时通知招标人，招标人视情况决定是否顺延投标截止时间。因投标人自身原因导致无法完成投标的，由投标人自行承担后果。</w:t>
      </w:r>
    </w:p>
    <w:p w14:paraId="1F4C9605">
      <w:pPr>
        <w:spacing w:line="360" w:lineRule="auto"/>
        <w:ind w:firstLine="420" w:firstLineChars="200"/>
        <w:rPr>
          <w:color w:val="auto"/>
          <w:highlight w:val="none"/>
        </w:rPr>
      </w:pPr>
      <w:r>
        <w:rPr>
          <w:color w:val="auto"/>
          <w:highlight w:val="none"/>
        </w:rPr>
        <w:t xml:space="preserve">5.4.2 </w:t>
      </w:r>
      <w:r>
        <w:rPr>
          <w:rFonts w:hint="eastAsia"/>
          <w:color w:val="auto"/>
          <w:highlight w:val="none"/>
        </w:rPr>
        <w:t>因“市电子交易平台”系统故障导致无法正常开标的，招标人将暂停开标，对原有资料及信息作出妥善处理，待系统恢复正常后继续开标。</w:t>
      </w:r>
    </w:p>
    <w:p w14:paraId="01EB6355">
      <w:pPr>
        <w:spacing w:line="360" w:lineRule="auto"/>
        <w:ind w:firstLine="420" w:firstLineChars="200"/>
        <w:rPr>
          <w:color w:val="auto"/>
          <w:highlight w:val="none"/>
        </w:rPr>
      </w:pPr>
      <w:r>
        <w:rPr>
          <w:color w:val="auto"/>
          <w:highlight w:val="none"/>
        </w:rPr>
        <w:t>5.4.3</w:t>
      </w:r>
      <w:r>
        <w:rPr>
          <w:rFonts w:hint="eastAsia"/>
          <w:color w:val="auto"/>
          <w:highlight w:val="none"/>
        </w:rPr>
        <w:t>上述条款中“系统故障”是指下列情形：</w:t>
      </w:r>
    </w:p>
    <w:p w14:paraId="7E01DFB6">
      <w:pPr>
        <w:spacing w:line="360" w:lineRule="auto"/>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）系统服务器发生故障，无法访问或无法使用系统；</w:t>
      </w:r>
    </w:p>
    <w:p w14:paraId="40692651">
      <w:pPr>
        <w:spacing w:line="360" w:lineRule="auto"/>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）系统的软件或数据库出现错误，不能进行正常操作；</w:t>
      </w:r>
    </w:p>
    <w:p w14:paraId="4651F63C">
      <w:pPr>
        <w:spacing w:line="360" w:lineRule="auto"/>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）系统发现有安全漏洞，有潜在的泄密危险；</w:t>
      </w:r>
    </w:p>
    <w:p w14:paraId="17F07D9F">
      <w:pPr>
        <w:spacing w:line="360" w:lineRule="auto"/>
        <w:ind w:firstLine="42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）出现断电、断网事故；</w:t>
      </w:r>
    </w:p>
    <w:p w14:paraId="286CFFEB">
      <w:pPr>
        <w:spacing w:line="360" w:lineRule="auto"/>
        <w:ind w:firstLine="420" w:firstLineChars="200"/>
        <w:rPr>
          <w:rFonts w:hint="eastAsia"/>
          <w:color w:val="auto"/>
          <w:highlight w:val="none"/>
        </w:rPr>
      </w:pPr>
      <w:r>
        <w:rPr>
          <w:rFonts w:hint="eastAsia"/>
          <w:color w:val="auto"/>
          <w:highlight w:val="none"/>
        </w:rPr>
        <w:t>（</w:t>
      </w:r>
      <w:r>
        <w:rPr>
          <w:color w:val="auto"/>
          <w:highlight w:val="none"/>
        </w:rPr>
        <w:t>5</w:t>
      </w:r>
      <w:r>
        <w:rPr>
          <w:rFonts w:hint="eastAsia"/>
          <w:color w:val="auto"/>
          <w:highlight w:val="none"/>
        </w:rPr>
        <w:t>）其他无法保证招投标过程正常进行的情形。</w:t>
      </w:r>
    </w:p>
    <w:bookmarkEnd w:id="693"/>
    <w:bookmarkEnd w:id="694"/>
    <w:p w14:paraId="23E0F3C8">
      <w:pPr>
        <w:pStyle w:val="5"/>
        <w:spacing w:before="156"/>
        <w:rPr>
          <w:color w:val="auto"/>
          <w:sz w:val="28"/>
          <w:szCs w:val="28"/>
          <w:highlight w:val="none"/>
        </w:rPr>
      </w:pPr>
      <w:bookmarkStart w:id="697" w:name="_Toc1417"/>
      <w:bookmarkStart w:id="698" w:name="_Toc519085307"/>
      <w:bookmarkStart w:id="699" w:name="_Toc12664"/>
      <w:bookmarkStart w:id="700" w:name="_Toc152045562"/>
      <w:bookmarkStart w:id="701" w:name="_Toc247513986"/>
      <w:bookmarkStart w:id="702" w:name="_Toc18467"/>
      <w:bookmarkStart w:id="703" w:name="_Toc144974530"/>
      <w:bookmarkStart w:id="704" w:name="_Toc152042338"/>
      <w:bookmarkStart w:id="705" w:name="_Toc7553_WPSOffice_Level2"/>
      <w:bookmarkStart w:id="706" w:name="_Toc10710"/>
      <w:bookmarkStart w:id="707" w:name="_Toc247527587"/>
      <w:bookmarkStart w:id="708" w:name="_Toc31742"/>
      <w:r>
        <w:rPr>
          <w:color w:val="auto"/>
          <w:sz w:val="28"/>
          <w:szCs w:val="28"/>
          <w:highlight w:val="none"/>
        </w:rPr>
        <w:t>6. 评标</w:t>
      </w:r>
      <w:bookmarkEnd w:id="697"/>
      <w:bookmarkEnd w:id="698"/>
      <w:bookmarkEnd w:id="699"/>
      <w:bookmarkEnd w:id="700"/>
      <w:bookmarkEnd w:id="701"/>
      <w:bookmarkEnd w:id="702"/>
      <w:bookmarkEnd w:id="703"/>
      <w:bookmarkEnd w:id="704"/>
      <w:bookmarkEnd w:id="705"/>
      <w:bookmarkEnd w:id="706"/>
      <w:bookmarkEnd w:id="707"/>
      <w:bookmarkEnd w:id="708"/>
    </w:p>
    <w:p w14:paraId="1665B92C">
      <w:pPr>
        <w:pStyle w:val="107"/>
        <w:outlineLvl w:val="3"/>
        <w:rPr>
          <w:rFonts w:ascii="黑体" w:hAnsi="黑体"/>
          <w:color w:val="auto"/>
          <w:highlight w:val="none"/>
        </w:rPr>
      </w:pPr>
      <w:bookmarkStart w:id="709" w:name="_Toc152042339"/>
      <w:bookmarkStart w:id="710" w:name="_Toc247527588"/>
      <w:bookmarkStart w:id="711" w:name="_Toc1346"/>
      <w:bookmarkStart w:id="712" w:name="_Toc144974531"/>
      <w:bookmarkStart w:id="713" w:name="_Toc5535"/>
      <w:bookmarkStart w:id="714" w:name="_Toc152045563"/>
      <w:bookmarkStart w:id="715" w:name="_Toc17055"/>
      <w:bookmarkStart w:id="716" w:name="_Toc9533"/>
      <w:bookmarkStart w:id="717" w:name="_Toc247513987"/>
      <w:bookmarkStart w:id="718" w:name="_Toc519085308"/>
      <w:bookmarkStart w:id="719" w:name="_Toc27926"/>
      <w:r>
        <w:rPr>
          <w:rFonts w:ascii="黑体" w:hAnsi="黑体"/>
          <w:color w:val="auto"/>
          <w:highlight w:val="none"/>
        </w:rPr>
        <w:t>6.1 评标委员会</w:t>
      </w:r>
      <w:bookmarkEnd w:id="709"/>
      <w:bookmarkEnd w:id="710"/>
      <w:bookmarkEnd w:id="711"/>
      <w:bookmarkEnd w:id="712"/>
      <w:bookmarkEnd w:id="713"/>
      <w:bookmarkEnd w:id="714"/>
      <w:bookmarkEnd w:id="715"/>
      <w:bookmarkEnd w:id="716"/>
      <w:bookmarkEnd w:id="717"/>
      <w:bookmarkEnd w:id="718"/>
      <w:bookmarkEnd w:id="719"/>
    </w:p>
    <w:p w14:paraId="3FF61DF4">
      <w:pPr>
        <w:spacing w:line="400" w:lineRule="exact"/>
        <w:ind w:firstLine="420" w:firstLineChars="200"/>
        <w:rPr>
          <w:color w:val="auto"/>
          <w:highlight w:val="none"/>
        </w:rPr>
      </w:pPr>
      <w:r>
        <w:rPr>
          <w:color w:val="auto"/>
          <w:highlight w:val="none"/>
        </w:rPr>
        <w:t>6.1.1 评标由招标人依法组建的评标委员会负责。评标委员会由招标人代表以及有关技术、经济等方面的专家组成。评标委员会成员人数以及技术、经济等方面专家的确定方式见投标人须知前附表。</w:t>
      </w:r>
    </w:p>
    <w:p w14:paraId="06090D01">
      <w:pPr>
        <w:spacing w:line="400" w:lineRule="exact"/>
        <w:ind w:firstLine="420" w:firstLineChars="200"/>
        <w:rPr>
          <w:color w:val="auto"/>
          <w:highlight w:val="none"/>
        </w:rPr>
      </w:pPr>
      <w:r>
        <w:rPr>
          <w:color w:val="auto"/>
          <w:highlight w:val="none"/>
        </w:rPr>
        <w:t>6.1.2 评标委员会成员有下列情形之一的，应当回避：</w:t>
      </w:r>
    </w:p>
    <w:p w14:paraId="63558140">
      <w:pPr>
        <w:spacing w:line="400" w:lineRule="exact"/>
        <w:ind w:firstLine="420" w:firstLineChars="200"/>
        <w:rPr>
          <w:color w:val="auto"/>
          <w:highlight w:val="none"/>
        </w:rPr>
      </w:pPr>
      <w:r>
        <w:rPr>
          <w:color w:val="auto"/>
          <w:highlight w:val="none"/>
        </w:rPr>
        <w:t>（1）投标人或投标人主要负责人的近亲属；</w:t>
      </w:r>
    </w:p>
    <w:p w14:paraId="2A95C2BA">
      <w:pPr>
        <w:spacing w:line="400" w:lineRule="exact"/>
        <w:ind w:firstLine="420" w:firstLineChars="200"/>
        <w:rPr>
          <w:color w:val="auto"/>
          <w:highlight w:val="none"/>
        </w:rPr>
      </w:pPr>
      <w:r>
        <w:rPr>
          <w:color w:val="auto"/>
          <w:highlight w:val="none"/>
        </w:rPr>
        <w:t>（2）项目主管部门或者行政监督部门的人员；</w:t>
      </w:r>
    </w:p>
    <w:p w14:paraId="56CFE582">
      <w:pPr>
        <w:spacing w:line="400" w:lineRule="exact"/>
        <w:ind w:firstLine="420" w:firstLineChars="200"/>
        <w:rPr>
          <w:color w:val="auto"/>
          <w:highlight w:val="none"/>
        </w:rPr>
      </w:pPr>
      <w:r>
        <w:rPr>
          <w:color w:val="auto"/>
          <w:highlight w:val="none"/>
        </w:rPr>
        <w:t>（3）与投标人有经济利益关系，可能影响对投标公正评审的；</w:t>
      </w:r>
    </w:p>
    <w:p w14:paraId="5EF50DC4">
      <w:pPr>
        <w:spacing w:line="400" w:lineRule="exact"/>
        <w:ind w:firstLine="420" w:firstLineChars="200"/>
        <w:rPr>
          <w:color w:val="auto"/>
          <w:highlight w:val="none"/>
        </w:rPr>
      </w:pPr>
      <w:r>
        <w:rPr>
          <w:color w:val="auto"/>
          <w:highlight w:val="none"/>
        </w:rPr>
        <w:t>（4）曾因在招标、评标以及其他与招标投标有关活动中从事违法行为而受过行政处罚或刑事处罚的</w:t>
      </w:r>
      <w:r>
        <w:rPr>
          <w:rFonts w:hint="eastAsia"/>
          <w:color w:val="auto"/>
          <w:highlight w:val="none"/>
        </w:rPr>
        <w:t>。</w:t>
      </w:r>
    </w:p>
    <w:p w14:paraId="5709F209">
      <w:pPr>
        <w:pStyle w:val="107"/>
        <w:outlineLvl w:val="3"/>
        <w:rPr>
          <w:rFonts w:ascii="黑体" w:hAnsi="黑体"/>
          <w:color w:val="auto"/>
          <w:highlight w:val="none"/>
        </w:rPr>
      </w:pPr>
      <w:bookmarkStart w:id="720" w:name="_Toc26419"/>
      <w:bookmarkStart w:id="721" w:name="_Toc26704"/>
      <w:bookmarkStart w:id="722" w:name="_Toc144974532"/>
      <w:bookmarkStart w:id="723" w:name="_Toc247513988"/>
      <w:bookmarkStart w:id="724" w:name="_Toc519085309"/>
      <w:bookmarkStart w:id="725" w:name="_Toc31175"/>
      <w:bookmarkStart w:id="726" w:name="_Toc152042340"/>
      <w:bookmarkStart w:id="727" w:name="_Toc7926"/>
      <w:bookmarkStart w:id="728" w:name="_Toc152045564"/>
      <w:bookmarkStart w:id="729" w:name="_Toc247527589"/>
      <w:bookmarkStart w:id="730" w:name="_Toc26281"/>
      <w:r>
        <w:rPr>
          <w:rFonts w:ascii="黑体" w:hAnsi="黑体"/>
          <w:color w:val="auto"/>
          <w:highlight w:val="none"/>
        </w:rPr>
        <w:t>6.2 评标原则</w:t>
      </w:r>
      <w:bookmarkEnd w:id="720"/>
      <w:bookmarkEnd w:id="721"/>
      <w:bookmarkEnd w:id="722"/>
      <w:bookmarkEnd w:id="723"/>
      <w:bookmarkEnd w:id="724"/>
      <w:bookmarkEnd w:id="725"/>
      <w:bookmarkEnd w:id="726"/>
      <w:bookmarkEnd w:id="727"/>
      <w:bookmarkEnd w:id="728"/>
      <w:bookmarkEnd w:id="729"/>
      <w:bookmarkEnd w:id="730"/>
    </w:p>
    <w:p w14:paraId="0F293749">
      <w:pPr>
        <w:spacing w:line="400" w:lineRule="exact"/>
        <w:ind w:firstLine="420" w:firstLineChars="200"/>
        <w:rPr>
          <w:color w:val="auto"/>
          <w:highlight w:val="none"/>
        </w:rPr>
      </w:pPr>
      <w:r>
        <w:rPr>
          <w:color w:val="auto"/>
          <w:highlight w:val="none"/>
        </w:rPr>
        <w:t>评标活动遵循公平、公正、科学和择优的原则。</w:t>
      </w:r>
    </w:p>
    <w:p w14:paraId="3CEA6A0C">
      <w:pPr>
        <w:pStyle w:val="107"/>
        <w:outlineLvl w:val="3"/>
        <w:rPr>
          <w:rFonts w:ascii="黑体" w:hAnsi="黑体"/>
          <w:color w:val="auto"/>
          <w:highlight w:val="none"/>
        </w:rPr>
      </w:pPr>
      <w:bookmarkStart w:id="731" w:name="_Toc519085310"/>
      <w:bookmarkStart w:id="732" w:name="_Toc29270"/>
      <w:bookmarkStart w:id="733" w:name="_Toc22114"/>
      <w:bookmarkStart w:id="734" w:name="_Toc27652"/>
      <w:bookmarkStart w:id="735" w:name="_Toc247513989"/>
      <w:bookmarkStart w:id="736" w:name="_Toc12384"/>
      <w:bookmarkStart w:id="737" w:name="_Toc144974533"/>
      <w:bookmarkStart w:id="738" w:name="_Toc26313"/>
      <w:bookmarkStart w:id="739" w:name="_Toc152045565"/>
      <w:bookmarkStart w:id="740" w:name="_Toc152042341"/>
      <w:bookmarkStart w:id="741" w:name="_Toc247527590"/>
      <w:r>
        <w:rPr>
          <w:rFonts w:ascii="黑体" w:hAnsi="黑体"/>
          <w:color w:val="auto"/>
          <w:highlight w:val="none"/>
        </w:rPr>
        <w:t>6.3 评标</w:t>
      </w:r>
      <w:bookmarkEnd w:id="731"/>
      <w:bookmarkEnd w:id="732"/>
      <w:bookmarkEnd w:id="733"/>
      <w:bookmarkEnd w:id="734"/>
      <w:bookmarkEnd w:id="735"/>
      <w:bookmarkEnd w:id="736"/>
      <w:bookmarkEnd w:id="737"/>
      <w:bookmarkEnd w:id="738"/>
      <w:bookmarkEnd w:id="739"/>
      <w:bookmarkEnd w:id="740"/>
      <w:bookmarkEnd w:id="741"/>
    </w:p>
    <w:p w14:paraId="0A99E454">
      <w:pPr>
        <w:spacing w:line="400" w:lineRule="exact"/>
        <w:ind w:firstLine="420" w:firstLineChars="200"/>
        <w:rPr>
          <w:color w:val="auto"/>
          <w:highlight w:val="none"/>
        </w:rPr>
      </w:pPr>
      <w:bookmarkStart w:id="742" w:name="_Toc152045566"/>
      <w:bookmarkStart w:id="743" w:name="_Toc247527591"/>
      <w:bookmarkStart w:id="744" w:name="_Toc247513990"/>
      <w:bookmarkStart w:id="745" w:name="_Toc144974534"/>
      <w:bookmarkStart w:id="746" w:name="_Toc152042342"/>
      <w:r>
        <w:rPr>
          <w:rFonts w:hint="eastAsia"/>
          <w:color w:val="auto"/>
          <w:highlight w:val="none"/>
        </w:rPr>
        <w:t>6.3.1</w:t>
      </w:r>
      <w:r>
        <w:rPr>
          <w:color w:val="auto"/>
          <w:highlight w:val="none"/>
        </w:rPr>
        <w:t>评标委员会按照第</w:t>
      </w:r>
      <w:r>
        <w:rPr>
          <w:rFonts w:hint="eastAsia"/>
          <w:color w:val="auto"/>
          <w:highlight w:val="none"/>
        </w:rPr>
        <w:t>三</w:t>
      </w:r>
      <w:r>
        <w:rPr>
          <w:color w:val="auto"/>
          <w:highlight w:val="none"/>
        </w:rPr>
        <w:t>章“评标办法”规定的方法、评审因素、标准和程序对投标文件进行评审。第</w:t>
      </w:r>
      <w:r>
        <w:rPr>
          <w:rFonts w:hint="eastAsia"/>
          <w:color w:val="auto"/>
          <w:highlight w:val="none"/>
        </w:rPr>
        <w:t>三</w:t>
      </w:r>
      <w:r>
        <w:rPr>
          <w:color w:val="auto"/>
          <w:highlight w:val="none"/>
        </w:rPr>
        <w:t>章“评标办法”没有规定的方法、评审因素和标准，不作为评标依据。</w:t>
      </w:r>
    </w:p>
    <w:p w14:paraId="2D7C57A7">
      <w:pPr>
        <w:pStyle w:val="2"/>
        <w:ind w:firstLine="42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6.3.2 </w:t>
      </w:r>
      <w:r>
        <w:rPr>
          <w:color w:val="000000" w:themeColor="text1"/>
          <w:highlight w:val="none"/>
          <w14:textFill>
            <w14:solidFill>
              <w14:schemeClr w14:val="tx1"/>
            </w14:solidFill>
          </w14:textFill>
        </w:rPr>
        <w:t>评标委员会推荐中标候选人的</w:t>
      </w:r>
      <w:r>
        <w:rPr>
          <w:rFonts w:hint="eastAsia"/>
          <w:color w:val="000000" w:themeColor="text1"/>
          <w:highlight w:val="none"/>
          <w:lang w:val="en-US" w:eastAsia="zh-CN"/>
          <w14:textFill>
            <w14:solidFill>
              <w14:schemeClr w14:val="tx1"/>
            </w14:solidFill>
          </w14:textFill>
        </w:rPr>
        <w:t>数量</w:t>
      </w:r>
      <w:r>
        <w:rPr>
          <w:rFonts w:hint="eastAsia"/>
          <w:color w:val="000000" w:themeColor="text1"/>
          <w:highlight w:val="none"/>
          <w14:textFill>
            <w14:solidFill>
              <w14:schemeClr w14:val="tx1"/>
            </w14:solidFill>
          </w14:textFill>
        </w:rPr>
        <w:t>见投标人须知前附表。</w:t>
      </w:r>
      <w:r>
        <w:rPr>
          <w:rFonts w:hint="eastAsia" w:ascii="宋体" w:hAnsi="宋体" w:cs="Times New Roman"/>
          <w:color w:val="000000" w:themeColor="text1"/>
          <w:szCs w:val="21"/>
          <w:highlight w:val="none"/>
          <w:lang w:val="en-US" w:eastAsia="zh-CN"/>
          <w14:textFill>
            <w14:solidFill>
              <w14:schemeClr w14:val="tx1"/>
            </w14:solidFill>
          </w14:textFill>
        </w:rPr>
        <w:t>“综合评估法”根据</w:t>
      </w:r>
      <w:r>
        <w:rPr>
          <w:rFonts w:hint="eastAsia"/>
          <w:color w:val="000000" w:themeColor="text1"/>
          <w:highlight w:val="none"/>
          <w14:textFill>
            <w14:solidFill>
              <w14:schemeClr w14:val="tx1"/>
            </w14:solidFill>
          </w14:textFill>
        </w:rPr>
        <w:t>最终得分由高到低的顺序推荐</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标明排列顺序</w:t>
      </w:r>
      <w:r>
        <w:rPr>
          <w:rFonts w:hint="eastAsia"/>
          <w:color w:val="000000" w:themeColor="text1"/>
          <w:highlight w:val="none"/>
          <w:lang w:val="en-US" w:eastAsia="zh-CN"/>
          <w14:textFill>
            <w14:solidFill>
              <w14:schemeClr w14:val="tx1"/>
            </w14:solidFill>
          </w14:textFill>
        </w:rPr>
        <w:t>的</w:t>
      </w:r>
      <w:r>
        <w:rPr>
          <w:rFonts w:hint="eastAsia"/>
          <w:color w:val="000000" w:themeColor="text1"/>
          <w:highlight w:val="none"/>
          <w14:textFill>
            <w14:solidFill>
              <w14:schemeClr w14:val="tx1"/>
            </w14:solidFill>
          </w14:textFill>
        </w:rPr>
        <w:t>中标候选人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并撰写评标报告</w:t>
      </w:r>
      <w:r>
        <w:rPr>
          <w:rFonts w:hint="eastAsia" w:ascii="宋体" w:hAnsi="宋体" w:cs="Times New Roman"/>
          <w:color w:val="000000" w:themeColor="text1"/>
          <w:szCs w:val="2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经评审的最低投标价法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按照经评审的投标价由低到高的顺序推荐中标候选人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并撰写评标报告。评标报告应写明评审意见，并</w:t>
      </w:r>
      <w:r>
        <w:rPr>
          <w:rFonts w:hint="eastAsia"/>
          <w:color w:val="000000" w:themeColor="text1"/>
          <w:highlight w:val="none"/>
          <w:lang w:val="en-US" w:eastAsia="zh-CN"/>
          <w14:textFill>
            <w14:solidFill>
              <w14:schemeClr w14:val="tx1"/>
            </w14:solidFill>
          </w14:textFill>
        </w:rPr>
        <w:t>对每个</w:t>
      </w:r>
      <w:r>
        <w:rPr>
          <w:rFonts w:hint="eastAsia"/>
          <w:color w:val="000000" w:themeColor="text1"/>
          <w:highlight w:val="none"/>
          <w14:textFill>
            <w14:solidFill>
              <w14:schemeClr w14:val="tx1"/>
            </w14:solidFill>
          </w14:textFill>
        </w:rPr>
        <w:t>中标候选人</w:t>
      </w:r>
      <w:r>
        <w:rPr>
          <w:rFonts w:hint="eastAsia"/>
          <w:color w:val="000000" w:themeColor="text1"/>
          <w:highlight w:val="none"/>
          <w:lang w:val="en-US" w:eastAsia="zh-CN"/>
          <w14:textFill>
            <w14:solidFill>
              <w14:schemeClr w14:val="tx1"/>
            </w14:solidFill>
          </w14:textFill>
        </w:rPr>
        <w:t>的</w:t>
      </w:r>
      <w:r>
        <w:rPr>
          <w:rFonts w:hint="eastAsia"/>
          <w:color w:val="000000" w:themeColor="text1"/>
          <w:highlight w:val="none"/>
          <w14:textFill>
            <w14:solidFill>
              <w14:schemeClr w14:val="tx1"/>
            </w14:solidFill>
          </w14:textFill>
        </w:rPr>
        <w:t>优</w:t>
      </w:r>
      <w:r>
        <w:rPr>
          <w:rFonts w:hint="eastAsia"/>
          <w:color w:val="000000" w:themeColor="text1"/>
          <w:highlight w:val="none"/>
          <w:lang w:val="en-US" w:eastAsia="zh-CN"/>
          <w14:textFill>
            <w14:solidFill>
              <w14:schemeClr w14:val="tx1"/>
            </w14:solidFill>
          </w14:textFill>
        </w:rPr>
        <w:t>势</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不足、风险等情况进行详细说明</w:t>
      </w:r>
      <w:r>
        <w:rPr>
          <w:rFonts w:hint="eastAsia"/>
          <w:color w:val="000000" w:themeColor="text1"/>
          <w:highlight w:val="none"/>
          <w14:textFill>
            <w14:solidFill>
              <w14:schemeClr w14:val="tx1"/>
            </w14:solidFill>
          </w14:textFill>
        </w:rPr>
        <w:t>。</w:t>
      </w:r>
    </w:p>
    <w:p w14:paraId="16B894D2">
      <w:pPr>
        <w:spacing w:line="360" w:lineRule="auto"/>
        <w:ind w:firstLine="420" w:firstLineChars="200"/>
        <w:rPr>
          <w:color w:val="auto"/>
          <w:highlight w:val="none"/>
        </w:rPr>
      </w:pPr>
      <w:r>
        <w:rPr>
          <w:rFonts w:hint="eastAsia"/>
          <w:color w:val="auto"/>
          <w:highlight w:val="none"/>
        </w:rPr>
        <w:t>6.3.</w:t>
      </w:r>
      <w:r>
        <w:rPr>
          <w:rFonts w:hint="eastAsia"/>
          <w:color w:val="auto"/>
          <w:highlight w:val="none"/>
          <w:lang w:val="en-US" w:eastAsia="zh-CN"/>
        </w:rPr>
        <w:t xml:space="preserve">3 </w:t>
      </w:r>
      <w:r>
        <w:rPr>
          <w:rFonts w:hint="eastAsia"/>
          <w:color w:val="auto"/>
          <w:highlight w:val="none"/>
        </w:rPr>
        <w:t>如果电子评标过程中出现本章第5.4.3项所列情况，导致无法继续评审工作的，可暂停评标，招标人应当</w:t>
      </w:r>
      <w:r>
        <w:rPr>
          <w:color w:val="auto"/>
          <w:highlight w:val="none"/>
        </w:rPr>
        <w:t>对原有资料及信息作出妥善保密处理</w:t>
      </w:r>
      <w:r>
        <w:rPr>
          <w:rFonts w:hint="eastAsia"/>
          <w:color w:val="auto"/>
          <w:highlight w:val="none"/>
        </w:rPr>
        <w:t>，电子评标系统恢复正常之后，重新组织评审。</w:t>
      </w:r>
    </w:p>
    <w:p w14:paraId="3DFC0348">
      <w:pPr>
        <w:pStyle w:val="107"/>
        <w:outlineLvl w:val="3"/>
        <w:rPr>
          <w:rFonts w:ascii="黑体" w:hAnsi="黑体"/>
          <w:color w:val="auto"/>
          <w:highlight w:val="none"/>
        </w:rPr>
      </w:pPr>
      <w:bookmarkStart w:id="747" w:name="_Toc11982"/>
      <w:bookmarkStart w:id="748" w:name="_Toc28411"/>
      <w:bookmarkStart w:id="749" w:name="_Toc31158"/>
      <w:bookmarkStart w:id="750" w:name="_Toc3902"/>
      <w:bookmarkStart w:id="751" w:name="_Toc456173232"/>
      <w:bookmarkStart w:id="752" w:name="_Toc519085311"/>
      <w:bookmarkStart w:id="753" w:name="_Toc5500"/>
      <w:r>
        <w:rPr>
          <w:rFonts w:ascii="黑体" w:hAnsi="黑体"/>
          <w:color w:val="auto"/>
          <w:highlight w:val="none"/>
        </w:rPr>
        <w:t xml:space="preserve">6.4 </w:t>
      </w:r>
      <w:r>
        <w:rPr>
          <w:rFonts w:hint="eastAsia"/>
          <w:color w:val="auto"/>
          <w:highlight w:val="none"/>
        </w:rPr>
        <w:t>中标公示</w:t>
      </w:r>
      <w:bookmarkEnd w:id="747"/>
      <w:bookmarkEnd w:id="748"/>
      <w:bookmarkEnd w:id="749"/>
      <w:bookmarkEnd w:id="750"/>
      <w:bookmarkEnd w:id="751"/>
      <w:bookmarkEnd w:id="752"/>
      <w:bookmarkEnd w:id="753"/>
    </w:p>
    <w:p w14:paraId="715B7B8B">
      <w:pPr>
        <w:pStyle w:val="15"/>
        <w:ind w:firstLine="420" w:firstLineChars="200"/>
        <w:rPr>
          <w:rFonts w:hint="eastAsia"/>
          <w:color w:val="auto"/>
          <w:highlight w:val="none"/>
        </w:rPr>
      </w:pPr>
      <w:bookmarkStart w:id="754" w:name="_Toc400530233"/>
      <w:bookmarkStart w:id="755" w:name="_Toc18641"/>
      <w:bookmarkStart w:id="756" w:name="_Toc8879"/>
      <w:bookmarkStart w:id="757" w:name="_Toc519085312"/>
      <w:bookmarkStart w:id="758" w:name="_Toc24741"/>
      <w:bookmarkStart w:id="759" w:name="_Toc456173233"/>
      <w:r>
        <w:rPr>
          <w:rFonts w:hint="eastAsia"/>
          <w:color w:val="auto"/>
          <w:highlight w:val="none"/>
        </w:rPr>
        <w:t>招标人应当自收到评标报告之日起3日内公示中标候选人，公示期不得少于3日。中标公示媒介为 “市电子交易平台”。</w:t>
      </w:r>
    </w:p>
    <w:p w14:paraId="52EB8C3C">
      <w:pPr>
        <w:pStyle w:val="15"/>
        <w:ind w:firstLine="420" w:firstLineChars="200"/>
        <w:rPr>
          <w:rFonts w:hint="eastAsia"/>
          <w:bCs/>
          <w:color w:val="auto"/>
          <w:highlight w:val="none"/>
        </w:rPr>
      </w:pPr>
      <w:r>
        <w:rPr>
          <w:rFonts w:hint="eastAsia"/>
          <w:bCs/>
          <w:color w:val="auto"/>
          <w:highlight w:val="none"/>
        </w:rPr>
        <w:t>投标人或者其它利害关系人对依法必须招标项目的评标结果有异议的，应当在中标公示期间提出（附件九），招标人应当自收到异议之日起3日内作出答复；作出答复前，应当暂停招投标活动。异议和答复（附件十）应当通过 “市电子交易平台”在“异议与答复”菜单以书面形式进行。</w:t>
      </w:r>
    </w:p>
    <w:p w14:paraId="1501465A">
      <w:pPr>
        <w:pStyle w:val="107"/>
        <w:outlineLvl w:val="3"/>
        <w:rPr>
          <w:rFonts w:ascii="黑体" w:hAnsi="黑体"/>
          <w:color w:val="auto"/>
          <w:highlight w:val="none"/>
        </w:rPr>
      </w:pPr>
      <w:bookmarkStart w:id="760" w:name="_Toc20975"/>
      <w:bookmarkStart w:id="761" w:name="_Toc20319"/>
      <w:r>
        <w:rPr>
          <w:rFonts w:ascii="黑体" w:hAnsi="黑体"/>
          <w:color w:val="auto"/>
          <w:highlight w:val="none"/>
        </w:rPr>
        <w:t>6.5 履约能力的审查（如有）</w:t>
      </w:r>
      <w:bookmarkEnd w:id="754"/>
      <w:bookmarkEnd w:id="755"/>
      <w:bookmarkEnd w:id="756"/>
      <w:bookmarkEnd w:id="757"/>
      <w:bookmarkEnd w:id="758"/>
      <w:bookmarkEnd w:id="759"/>
      <w:bookmarkEnd w:id="760"/>
      <w:bookmarkEnd w:id="761"/>
    </w:p>
    <w:p w14:paraId="33E0BAC2">
      <w:pPr>
        <w:spacing w:line="400" w:lineRule="exact"/>
        <w:ind w:firstLine="420" w:firstLineChars="200"/>
        <w:rPr>
          <w:color w:val="auto"/>
          <w:highlight w:val="none"/>
        </w:rPr>
      </w:pPr>
      <w:r>
        <w:rPr>
          <w:color w:val="auto"/>
          <w:highlight w:val="none"/>
        </w:rPr>
        <w:t>如果中标候选人的经营、财务状况发生较大变化或者存在违法行为，招标人认为可能影响其履约能力的，将在发出中标通知书前报行政监督部门后，召集原评标委员会按照招标文件规定的标准和方法审查确认。</w:t>
      </w:r>
    </w:p>
    <w:p w14:paraId="4A2B027A">
      <w:pPr>
        <w:pStyle w:val="5"/>
        <w:spacing w:before="156"/>
        <w:rPr>
          <w:color w:val="auto"/>
          <w:sz w:val="28"/>
          <w:szCs w:val="28"/>
          <w:highlight w:val="none"/>
        </w:rPr>
      </w:pPr>
      <w:bookmarkStart w:id="762" w:name="_Toc721"/>
      <w:bookmarkStart w:id="763" w:name="_Toc3430"/>
      <w:bookmarkStart w:id="764" w:name="_Toc519085313"/>
      <w:bookmarkStart w:id="765" w:name="_Toc23883"/>
      <w:bookmarkStart w:id="766" w:name="_Toc32142"/>
      <w:bookmarkStart w:id="767" w:name="_Toc6237_WPSOffice_Level2"/>
      <w:bookmarkStart w:id="768" w:name="_Toc2785"/>
      <w:r>
        <w:rPr>
          <w:color w:val="auto"/>
          <w:sz w:val="28"/>
          <w:szCs w:val="28"/>
          <w:highlight w:val="none"/>
        </w:rPr>
        <w:t>7. 合同授予</w:t>
      </w:r>
      <w:bookmarkEnd w:id="742"/>
      <w:bookmarkEnd w:id="743"/>
      <w:bookmarkEnd w:id="744"/>
      <w:bookmarkEnd w:id="745"/>
      <w:bookmarkEnd w:id="746"/>
      <w:bookmarkEnd w:id="762"/>
      <w:bookmarkEnd w:id="763"/>
      <w:bookmarkEnd w:id="764"/>
      <w:bookmarkEnd w:id="765"/>
      <w:bookmarkEnd w:id="766"/>
      <w:bookmarkEnd w:id="767"/>
      <w:bookmarkEnd w:id="768"/>
    </w:p>
    <w:p w14:paraId="2B4ED388">
      <w:pPr>
        <w:pStyle w:val="107"/>
        <w:outlineLvl w:val="3"/>
        <w:rPr>
          <w:rFonts w:hint="eastAsia" w:ascii="黑体" w:hAnsi="黑体" w:eastAsia="黑体"/>
          <w:color w:val="auto"/>
          <w:highlight w:val="none"/>
          <w:lang w:eastAsia="zh-CN"/>
        </w:rPr>
      </w:pPr>
      <w:bookmarkStart w:id="769" w:name="_Toc519085314"/>
      <w:bookmarkStart w:id="770" w:name="_Toc14458"/>
      <w:bookmarkStart w:id="771" w:name="_Toc450"/>
      <w:bookmarkStart w:id="772" w:name="_Toc247527592"/>
      <w:bookmarkStart w:id="773" w:name="_Toc28452"/>
      <w:bookmarkStart w:id="774" w:name="_Toc152042343"/>
      <w:bookmarkStart w:id="775" w:name="_Toc247513991"/>
      <w:bookmarkStart w:id="776" w:name="_Toc144974535"/>
      <w:bookmarkStart w:id="777" w:name="_Toc152045567"/>
      <w:bookmarkStart w:id="778" w:name="_Toc14215"/>
      <w:bookmarkStart w:id="779" w:name="_Toc5775"/>
      <w:bookmarkStart w:id="780" w:name="_Toc23415"/>
      <w:bookmarkStart w:id="781" w:name="_Toc456173236"/>
      <w:bookmarkStart w:id="782" w:name="_Toc519085315"/>
      <w:bookmarkStart w:id="783" w:name="_Toc22313"/>
      <w:bookmarkStart w:id="784" w:name="_Toc995"/>
      <w:bookmarkStart w:id="785" w:name="_Toc24887"/>
      <w:bookmarkStart w:id="786" w:name="_Toc179632586"/>
      <w:r>
        <w:rPr>
          <w:rFonts w:ascii="黑体" w:hAnsi="黑体"/>
          <w:color w:val="auto"/>
          <w:highlight w:val="none"/>
        </w:rPr>
        <w:t>7.1 定标</w:t>
      </w:r>
      <w:bookmarkEnd w:id="769"/>
      <w:bookmarkEnd w:id="770"/>
      <w:bookmarkEnd w:id="771"/>
      <w:bookmarkEnd w:id="772"/>
      <w:bookmarkEnd w:id="773"/>
      <w:bookmarkEnd w:id="774"/>
      <w:bookmarkEnd w:id="775"/>
      <w:bookmarkEnd w:id="776"/>
      <w:bookmarkEnd w:id="777"/>
      <w:bookmarkEnd w:id="778"/>
      <w:r>
        <w:rPr>
          <w:rFonts w:hint="eastAsia" w:ascii="黑体" w:hAnsi="黑体"/>
          <w:color w:val="auto"/>
          <w:highlight w:val="none"/>
          <w:lang w:val="en-US" w:eastAsia="zh-CN"/>
        </w:rPr>
        <w:t>规则</w:t>
      </w:r>
      <w:bookmarkEnd w:id="779"/>
    </w:p>
    <w:p w14:paraId="3E087514">
      <w:pPr>
        <w:spacing w:line="360" w:lineRule="auto"/>
        <w:ind w:firstLine="420" w:firstLineChars="200"/>
        <w:rPr>
          <w:rFonts w:hint="eastAsia"/>
          <w:color w:val="auto"/>
          <w:highlight w:val="none"/>
        </w:rPr>
      </w:pPr>
      <w:r>
        <w:rPr>
          <w:rFonts w:hint="eastAsia"/>
          <w:color w:val="auto"/>
          <w:highlight w:val="none"/>
        </w:rPr>
        <w:t>定标</w:t>
      </w:r>
      <w:r>
        <w:rPr>
          <w:rFonts w:hint="eastAsia"/>
          <w:color w:val="auto"/>
          <w:highlight w:val="none"/>
          <w:lang w:val="en-US" w:eastAsia="zh-CN"/>
        </w:rPr>
        <w:t>规则</w:t>
      </w:r>
      <w:r>
        <w:rPr>
          <w:rFonts w:hint="eastAsia"/>
          <w:color w:val="auto"/>
          <w:highlight w:val="none"/>
        </w:rPr>
        <w:t>见投标人须知前附表。招标人应当</w:t>
      </w:r>
      <w:r>
        <w:rPr>
          <w:rFonts w:hint="eastAsia"/>
          <w:color w:val="auto"/>
          <w:highlight w:val="none"/>
          <w:lang w:val="en-US" w:eastAsia="zh-CN"/>
        </w:rPr>
        <w:t>按照</w:t>
      </w:r>
      <w:r>
        <w:rPr>
          <w:rFonts w:hint="eastAsia"/>
          <w:color w:val="auto"/>
          <w:highlight w:val="none"/>
        </w:rPr>
        <w:t>招标文件中明确</w:t>
      </w:r>
      <w:r>
        <w:rPr>
          <w:rFonts w:hint="eastAsia"/>
          <w:color w:val="auto"/>
          <w:highlight w:val="none"/>
          <w:lang w:val="en-US" w:eastAsia="zh-CN"/>
        </w:rPr>
        <w:t>的</w:t>
      </w:r>
      <w:r>
        <w:rPr>
          <w:rFonts w:hint="eastAsia"/>
          <w:color w:val="auto"/>
          <w:highlight w:val="none"/>
        </w:rPr>
        <w:t>定标</w:t>
      </w:r>
      <w:r>
        <w:rPr>
          <w:rFonts w:hint="eastAsia"/>
          <w:color w:val="auto"/>
          <w:highlight w:val="none"/>
          <w:lang w:val="en-US" w:eastAsia="zh-CN"/>
        </w:rPr>
        <w:t>办</w:t>
      </w:r>
      <w:r>
        <w:rPr>
          <w:rFonts w:hint="eastAsia"/>
          <w:color w:val="auto"/>
          <w:highlight w:val="none"/>
        </w:rPr>
        <w:t>法</w:t>
      </w:r>
      <w:r>
        <w:rPr>
          <w:rFonts w:hint="eastAsia"/>
          <w:color w:val="auto"/>
          <w:highlight w:val="none"/>
          <w:lang w:val="en-US" w:eastAsia="zh-CN"/>
        </w:rPr>
        <w:t>确定中标人</w:t>
      </w:r>
      <w:r>
        <w:rPr>
          <w:rFonts w:hint="eastAsia"/>
          <w:color w:val="auto"/>
          <w:highlight w:val="none"/>
        </w:rPr>
        <w:t>，没有明确的定标办法，招标人在定标时不得使用。</w:t>
      </w:r>
      <w:r>
        <w:rPr>
          <w:rFonts w:hint="eastAsia"/>
          <w:color w:val="auto"/>
          <w:highlight w:val="none"/>
          <w:lang w:val="en-US" w:eastAsia="zh-CN"/>
        </w:rPr>
        <w:t>拟定</w:t>
      </w:r>
      <w:r>
        <w:rPr>
          <w:rFonts w:hint="eastAsia"/>
          <w:color w:val="auto"/>
          <w:highlight w:val="none"/>
        </w:rPr>
        <w:t>中标人放弃中标、因不可抗力不能履行合同、不按照招标文件要求提交履约保证金，或者被查实存在影响中标结果的违法行为等情形，不符合中标条件的，招标人可以按照评标委员会提出的中标候选人名单确定其他中标候选人为中标人，也可以重新招标。</w:t>
      </w:r>
    </w:p>
    <w:p w14:paraId="77380217">
      <w:pPr>
        <w:pStyle w:val="107"/>
        <w:outlineLvl w:val="3"/>
        <w:rPr>
          <w:rFonts w:ascii="黑体" w:hAnsi="黑体"/>
          <w:color w:val="auto"/>
          <w:highlight w:val="none"/>
        </w:rPr>
      </w:pPr>
      <w:bookmarkStart w:id="787" w:name="_Toc23489"/>
      <w:r>
        <w:rPr>
          <w:rFonts w:ascii="黑体" w:hAnsi="黑体"/>
          <w:color w:val="auto"/>
          <w:highlight w:val="none"/>
        </w:rPr>
        <w:t>7.2 中标通知</w:t>
      </w:r>
      <w:bookmarkEnd w:id="780"/>
      <w:bookmarkEnd w:id="781"/>
      <w:bookmarkEnd w:id="782"/>
      <w:bookmarkEnd w:id="783"/>
      <w:bookmarkEnd w:id="784"/>
      <w:bookmarkEnd w:id="785"/>
      <w:bookmarkEnd w:id="786"/>
      <w:bookmarkEnd w:id="787"/>
    </w:p>
    <w:p w14:paraId="31FCE11C">
      <w:pPr>
        <w:spacing w:line="400" w:lineRule="exact"/>
        <w:ind w:firstLine="420" w:firstLineChars="200"/>
        <w:rPr>
          <w:rFonts w:hint="eastAsia"/>
          <w:color w:val="auto"/>
          <w:highlight w:val="none"/>
        </w:rPr>
      </w:pPr>
      <w:r>
        <w:rPr>
          <w:rFonts w:hint="eastAsia"/>
          <w:color w:val="auto"/>
          <w:highlight w:val="none"/>
        </w:rPr>
        <w:t>中标公示期满后，在本章第3.3款规定的投标有效期内，招标人通过 “市电子交易平台”发布中标结果公告的同时向中标人发出中标通知书，并将中标结果通知未中标的投标人。</w:t>
      </w:r>
    </w:p>
    <w:p w14:paraId="7F465074">
      <w:pPr>
        <w:pStyle w:val="107"/>
        <w:outlineLvl w:val="3"/>
        <w:rPr>
          <w:rFonts w:ascii="黑体" w:hAnsi="黑体"/>
          <w:color w:val="auto"/>
          <w:highlight w:val="none"/>
        </w:rPr>
      </w:pPr>
      <w:bookmarkStart w:id="788" w:name="_Toc456173237"/>
      <w:bookmarkStart w:id="789" w:name="_Toc179632587"/>
      <w:bookmarkStart w:id="790" w:name="_Toc7364"/>
      <w:bookmarkStart w:id="791" w:name="_Toc32364"/>
      <w:bookmarkStart w:id="792" w:name="_Toc19840"/>
      <w:bookmarkStart w:id="793" w:name="_Toc11825"/>
      <w:bookmarkStart w:id="794" w:name="_Toc3970"/>
      <w:bookmarkStart w:id="795" w:name="_Toc519085316"/>
      <w:r>
        <w:rPr>
          <w:rFonts w:ascii="黑体" w:hAnsi="黑体"/>
          <w:color w:val="auto"/>
          <w:highlight w:val="none"/>
        </w:rPr>
        <w:t>7.3 履约</w:t>
      </w:r>
      <w:bookmarkEnd w:id="788"/>
      <w:bookmarkEnd w:id="789"/>
      <w:r>
        <w:rPr>
          <w:rFonts w:hint="eastAsia" w:ascii="黑体" w:hAnsi="黑体"/>
          <w:color w:val="auto"/>
          <w:highlight w:val="none"/>
        </w:rPr>
        <w:t>保证金</w:t>
      </w:r>
      <w:bookmarkEnd w:id="790"/>
      <w:bookmarkEnd w:id="791"/>
      <w:bookmarkEnd w:id="792"/>
      <w:bookmarkEnd w:id="793"/>
      <w:bookmarkEnd w:id="794"/>
      <w:bookmarkEnd w:id="795"/>
    </w:p>
    <w:p w14:paraId="3A517A35">
      <w:pPr>
        <w:spacing w:line="360" w:lineRule="auto"/>
        <w:ind w:firstLine="420" w:firstLineChars="200"/>
        <w:rPr>
          <w:rFonts w:hint="eastAsia"/>
          <w:color w:val="auto"/>
          <w:highlight w:val="none"/>
        </w:rPr>
      </w:pPr>
      <w:r>
        <w:rPr>
          <w:rFonts w:hint="eastAsia"/>
          <w:color w:val="auto"/>
          <w:highlight w:val="none"/>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6C21C459">
      <w:pPr>
        <w:spacing w:line="360" w:lineRule="auto"/>
        <w:ind w:firstLine="420" w:firstLineChars="200"/>
        <w:rPr>
          <w:rFonts w:hint="eastAsia"/>
          <w:color w:val="auto"/>
          <w:highlight w:val="none"/>
        </w:rPr>
      </w:pPr>
      <w:r>
        <w:rPr>
          <w:rFonts w:hint="eastAsia"/>
          <w:color w:val="auto"/>
          <w:highlight w:val="none"/>
        </w:rPr>
        <w:t>政府采购工程（包括工程建设项目的勘察、设计、监理、施工以及与工程建设有关的重要材料设备等）进行招标投标活动的，招标人应免收履约保证金。</w:t>
      </w:r>
    </w:p>
    <w:p w14:paraId="4DF97875">
      <w:pPr>
        <w:spacing w:line="400" w:lineRule="exact"/>
        <w:ind w:firstLine="420" w:firstLineChars="200"/>
        <w:rPr>
          <w:rFonts w:hint="eastAsia"/>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425D6DAE">
      <w:pPr>
        <w:pStyle w:val="107"/>
        <w:outlineLvl w:val="3"/>
        <w:rPr>
          <w:rFonts w:ascii="黑体" w:hAnsi="黑体"/>
          <w:color w:val="auto"/>
          <w:highlight w:val="none"/>
        </w:rPr>
      </w:pPr>
      <w:bookmarkStart w:id="796" w:name="_Toc31230"/>
      <w:bookmarkStart w:id="797" w:name="_Toc21168"/>
      <w:bookmarkStart w:id="798" w:name="_Toc456173238"/>
      <w:bookmarkStart w:id="799" w:name="_Toc1486"/>
      <w:bookmarkStart w:id="800" w:name="_Toc7796"/>
      <w:bookmarkStart w:id="801" w:name="_Toc519085317"/>
      <w:bookmarkStart w:id="802" w:name="_Toc28097"/>
      <w:r>
        <w:rPr>
          <w:rFonts w:ascii="黑体" w:hAnsi="黑体"/>
          <w:color w:val="auto"/>
          <w:highlight w:val="none"/>
        </w:rPr>
        <w:t>7.4 签订合同</w:t>
      </w:r>
      <w:bookmarkEnd w:id="796"/>
      <w:bookmarkEnd w:id="797"/>
      <w:bookmarkEnd w:id="798"/>
      <w:bookmarkEnd w:id="799"/>
      <w:bookmarkEnd w:id="800"/>
      <w:bookmarkEnd w:id="801"/>
      <w:bookmarkEnd w:id="802"/>
    </w:p>
    <w:p w14:paraId="4EDC2C82">
      <w:pPr>
        <w:spacing w:line="360" w:lineRule="auto"/>
        <w:ind w:firstLine="420" w:firstLineChars="200"/>
        <w:rPr>
          <w:rFonts w:hint="eastAsia"/>
          <w:color w:val="auto"/>
          <w:highlight w:val="none"/>
        </w:rPr>
      </w:pPr>
      <w:bookmarkStart w:id="803" w:name="_Toc221950219"/>
      <w:r>
        <w:rPr>
          <w:rFonts w:hint="eastAsia"/>
          <w:color w:val="auto"/>
          <w:highlight w:val="none"/>
        </w:rPr>
        <w:t>7.4.1招标人和中标人应当在投标有效期内并自中标通知书发出之日起30日内，根据招标文件和中标人的投标文件（</w:t>
      </w:r>
      <w:r>
        <w:rPr>
          <w:color w:val="auto"/>
          <w:highlight w:val="none"/>
        </w:rPr>
        <w:t>以</w:t>
      </w:r>
      <w:r>
        <w:rPr>
          <w:rFonts w:hint="eastAsia"/>
          <w:color w:val="auto"/>
          <w:highlight w:val="none"/>
        </w:rPr>
        <w:t>经评标委员会</w:t>
      </w:r>
      <w:r>
        <w:rPr>
          <w:color w:val="auto"/>
          <w:highlight w:val="none"/>
        </w:rPr>
        <w:t>评审的文件</w:t>
      </w:r>
      <w:r>
        <w:rPr>
          <w:rFonts w:hint="eastAsia"/>
          <w:color w:val="auto"/>
          <w:highlight w:val="none"/>
        </w:rPr>
        <w:t>版本</w:t>
      </w:r>
      <w:r>
        <w:rPr>
          <w:color w:val="auto"/>
          <w:highlight w:val="none"/>
        </w:rPr>
        <w:t>为准）</w:t>
      </w:r>
      <w:r>
        <w:rPr>
          <w:rFonts w:hint="eastAsia"/>
          <w:color w:val="auto"/>
          <w:highlight w:val="none"/>
        </w:rPr>
        <w:t>订立书面合同。中标人无正当理由拒签合同或在签订合同时向招标人提出附加条件的，招标人取消其中标资格，其投标保证金不予退还；给招标人造成的损失超过投标保证金数额的，中标人还应当对超过部分予以赔偿。</w:t>
      </w:r>
    </w:p>
    <w:p w14:paraId="38525479">
      <w:pPr>
        <w:spacing w:line="400" w:lineRule="exact"/>
        <w:ind w:firstLine="420" w:firstLineChars="200"/>
        <w:rPr>
          <w:rFonts w:hint="eastAsia"/>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20B52B13">
      <w:pPr>
        <w:spacing w:line="400" w:lineRule="exact"/>
        <w:ind w:firstLine="420" w:firstLineChars="200"/>
        <w:rPr>
          <w:rFonts w:hint="eastAsia"/>
          <w:color w:val="auto"/>
          <w:highlight w:val="none"/>
        </w:rPr>
      </w:pPr>
      <w:r>
        <w:rPr>
          <w:rFonts w:hint="eastAsia"/>
          <w:color w:val="auto"/>
          <w:highlight w:val="none"/>
        </w:rPr>
        <w:t>7.4.3 签约合同价的确定原则如下：</w:t>
      </w:r>
    </w:p>
    <w:p w14:paraId="074560F4">
      <w:pPr>
        <w:spacing w:line="400" w:lineRule="exact"/>
        <w:ind w:firstLine="420" w:firstLineChars="200"/>
        <w:rPr>
          <w:rFonts w:hint="eastAsia"/>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bookmarkEnd w:id="803"/>
    <w:p w14:paraId="4B8A6122">
      <w:pPr>
        <w:pStyle w:val="5"/>
        <w:spacing w:before="156"/>
        <w:rPr>
          <w:color w:val="auto"/>
          <w:sz w:val="28"/>
          <w:szCs w:val="28"/>
          <w:highlight w:val="none"/>
        </w:rPr>
      </w:pPr>
      <w:bookmarkStart w:id="804" w:name="_Toc387753559"/>
      <w:bookmarkStart w:id="805" w:name="_Toc519085318"/>
      <w:bookmarkStart w:id="806" w:name="_Toc11589"/>
      <w:bookmarkStart w:id="807" w:name="_Toc2148"/>
      <w:bookmarkStart w:id="808" w:name="_Toc32696"/>
      <w:bookmarkStart w:id="809" w:name="_Toc10798_WPSOffice_Level2"/>
      <w:bookmarkStart w:id="810" w:name="_Toc456173239"/>
      <w:bookmarkStart w:id="811" w:name="_Toc16658"/>
      <w:bookmarkStart w:id="812" w:name="_Toc14963"/>
      <w:r>
        <w:rPr>
          <w:color w:val="auto"/>
          <w:sz w:val="28"/>
          <w:szCs w:val="28"/>
          <w:highlight w:val="none"/>
        </w:rPr>
        <w:t>8. 重新招标</w:t>
      </w:r>
      <w:bookmarkEnd w:id="804"/>
      <w:r>
        <w:rPr>
          <w:color w:val="auto"/>
          <w:sz w:val="28"/>
          <w:szCs w:val="28"/>
          <w:highlight w:val="none"/>
        </w:rPr>
        <w:t>、不再招标和终止招标</w:t>
      </w:r>
      <w:bookmarkEnd w:id="805"/>
      <w:bookmarkEnd w:id="806"/>
      <w:bookmarkEnd w:id="807"/>
      <w:bookmarkEnd w:id="808"/>
      <w:bookmarkEnd w:id="809"/>
      <w:bookmarkEnd w:id="810"/>
      <w:bookmarkEnd w:id="811"/>
      <w:bookmarkEnd w:id="812"/>
    </w:p>
    <w:p w14:paraId="2FF4165C">
      <w:pPr>
        <w:pStyle w:val="107"/>
        <w:outlineLvl w:val="3"/>
        <w:rPr>
          <w:rFonts w:ascii="黑体" w:hAnsi="黑体"/>
          <w:color w:val="auto"/>
          <w:highlight w:val="none"/>
        </w:rPr>
      </w:pPr>
      <w:bookmarkStart w:id="813" w:name="_Toc23253"/>
      <w:bookmarkStart w:id="814" w:name="_Toc16564"/>
      <w:bookmarkStart w:id="815" w:name="_Toc519085319"/>
      <w:bookmarkStart w:id="816" w:name="_Toc6740"/>
      <w:bookmarkStart w:id="817" w:name="_Toc152042348"/>
      <w:bookmarkStart w:id="818" w:name="_Toc4842"/>
      <w:bookmarkStart w:id="819" w:name="_Toc30098"/>
      <w:bookmarkStart w:id="820" w:name="_Toc144974540"/>
      <w:bookmarkStart w:id="821" w:name="_Toc179632590"/>
      <w:bookmarkStart w:id="822" w:name="_Toc152045572"/>
      <w:bookmarkStart w:id="823" w:name="_Toc456173240"/>
      <w:bookmarkStart w:id="824" w:name="_Toc221950225"/>
      <w:r>
        <w:rPr>
          <w:rFonts w:ascii="黑体" w:hAnsi="黑体"/>
          <w:color w:val="auto"/>
          <w:highlight w:val="none"/>
        </w:rPr>
        <w:t>8.1 重新招标</w:t>
      </w:r>
      <w:bookmarkEnd w:id="813"/>
      <w:bookmarkEnd w:id="814"/>
      <w:bookmarkEnd w:id="815"/>
      <w:bookmarkEnd w:id="816"/>
      <w:bookmarkEnd w:id="817"/>
      <w:bookmarkEnd w:id="818"/>
      <w:bookmarkEnd w:id="819"/>
      <w:bookmarkEnd w:id="820"/>
      <w:bookmarkEnd w:id="821"/>
      <w:bookmarkEnd w:id="822"/>
      <w:bookmarkEnd w:id="823"/>
    </w:p>
    <w:p w14:paraId="18840256">
      <w:pPr>
        <w:spacing w:line="400" w:lineRule="exact"/>
        <w:ind w:firstLine="420" w:firstLineChars="200"/>
        <w:rPr>
          <w:color w:val="auto"/>
          <w:highlight w:val="none"/>
        </w:rPr>
      </w:pPr>
      <w:r>
        <w:rPr>
          <w:color w:val="auto"/>
          <w:highlight w:val="none"/>
        </w:rPr>
        <w:t>有下列情形之一的，招标人将重新招标：</w:t>
      </w:r>
    </w:p>
    <w:p w14:paraId="5DDB670B">
      <w:pPr>
        <w:spacing w:line="400" w:lineRule="exact"/>
        <w:ind w:firstLine="420" w:firstLineChars="200"/>
        <w:rPr>
          <w:color w:val="auto"/>
          <w:highlight w:val="none"/>
        </w:rPr>
      </w:pPr>
      <w:r>
        <w:rPr>
          <w:color w:val="auto"/>
          <w:highlight w:val="none"/>
        </w:rPr>
        <w:t>（1）投标截止时间止，投标人少于3个的；</w:t>
      </w:r>
    </w:p>
    <w:p w14:paraId="0DBBD89E">
      <w:pPr>
        <w:spacing w:line="400" w:lineRule="exact"/>
        <w:ind w:firstLine="420" w:firstLineChars="200"/>
        <w:rPr>
          <w:color w:val="auto"/>
          <w:highlight w:val="none"/>
        </w:rPr>
      </w:pPr>
      <w:r>
        <w:rPr>
          <w:color w:val="auto"/>
          <w:highlight w:val="none"/>
        </w:rPr>
        <w:t>（2）经评标委员会评审后否决所有投标的；</w:t>
      </w:r>
    </w:p>
    <w:p w14:paraId="37662F13">
      <w:pPr>
        <w:spacing w:line="400" w:lineRule="exact"/>
        <w:ind w:firstLine="420" w:firstLineChars="200"/>
        <w:rPr>
          <w:color w:val="auto"/>
          <w:highlight w:val="none"/>
        </w:rPr>
      </w:pPr>
      <w:r>
        <w:rPr>
          <w:color w:val="auto"/>
          <w:highlight w:val="none"/>
        </w:rPr>
        <w:t>（3）除非已经产生中标候选人，在投标有效期内同意延长投标有效期的投标人少于</w:t>
      </w:r>
      <w:r>
        <w:rPr>
          <w:rFonts w:hint="eastAsia"/>
          <w:color w:val="auto"/>
          <w:highlight w:val="none"/>
        </w:rPr>
        <w:t>三</w:t>
      </w:r>
      <w:r>
        <w:rPr>
          <w:color w:val="auto"/>
          <w:highlight w:val="none"/>
        </w:rPr>
        <w:t>个的；</w:t>
      </w:r>
    </w:p>
    <w:p w14:paraId="3FB25C5F">
      <w:pPr>
        <w:spacing w:line="400" w:lineRule="exact"/>
        <w:ind w:firstLine="420" w:firstLineChars="200"/>
        <w:rPr>
          <w:color w:val="auto"/>
          <w:highlight w:val="none"/>
        </w:rPr>
      </w:pPr>
      <w:r>
        <w:rPr>
          <w:color w:val="auto"/>
          <w:highlight w:val="none"/>
        </w:rPr>
        <w:t>（4）</w:t>
      </w:r>
      <w:r>
        <w:rPr>
          <w:rFonts w:hint="eastAsia"/>
          <w:color w:val="auto"/>
          <w:highlight w:val="none"/>
        </w:rPr>
        <w:t>第一中标候选人或所有中标候选人均未与招标人签订合同的；</w:t>
      </w:r>
    </w:p>
    <w:p w14:paraId="5BFC18CC">
      <w:pPr>
        <w:spacing w:line="400" w:lineRule="exact"/>
        <w:ind w:firstLine="420" w:firstLineChars="200"/>
        <w:rPr>
          <w:color w:val="auto"/>
          <w:highlight w:val="none"/>
        </w:rPr>
      </w:pPr>
      <w:r>
        <w:rPr>
          <w:color w:val="auto"/>
          <w:highlight w:val="none"/>
        </w:rPr>
        <w:t>（5）法律、法规规定的其他情形。</w:t>
      </w:r>
    </w:p>
    <w:p w14:paraId="77675D95">
      <w:pPr>
        <w:pStyle w:val="107"/>
        <w:outlineLvl w:val="3"/>
        <w:rPr>
          <w:rFonts w:ascii="黑体" w:hAnsi="黑体"/>
          <w:color w:val="auto"/>
          <w:highlight w:val="none"/>
        </w:rPr>
      </w:pPr>
      <w:bookmarkStart w:id="825" w:name="_Toc30989"/>
      <w:bookmarkStart w:id="826" w:name="_Toc456173241"/>
      <w:bookmarkStart w:id="827" w:name="_Toc519085320"/>
      <w:bookmarkStart w:id="828" w:name="_Toc22798"/>
      <w:bookmarkStart w:id="829" w:name="_Toc12218"/>
      <w:bookmarkStart w:id="830" w:name="_Toc426495799"/>
      <w:bookmarkStart w:id="831" w:name="_Toc9162"/>
      <w:bookmarkStart w:id="832" w:name="_Toc17364"/>
      <w:r>
        <w:rPr>
          <w:rFonts w:ascii="黑体" w:hAnsi="黑体"/>
          <w:color w:val="auto"/>
          <w:highlight w:val="none"/>
        </w:rPr>
        <w:t>8.2 不再招标</w:t>
      </w:r>
      <w:bookmarkEnd w:id="825"/>
      <w:bookmarkEnd w:id="826"/>
      <w:bookmarkEnd w:id="827"/>
      <w:bookmarkEnd w:id="828"/>
      <w:bookmarkEnd w:id="829"/>
      <w:bookmarkEnd w:id="830"/>
      <w:bookmarkEnd w:id="831"/>
      <w:bookmarkEnd w:id="832"/>
    </w:p>
    <w:p w14:paraId="6D7565F4">
      <w:pPr>
        <w:spacing w:line="360" w:lineRule="auto"/>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5230FA0D">
      <w:pPr>
        <w:pStyle w:val="107"/>
        <w:outlineLvl w:val="3"/>
        <w:rPr>
          <w:rFonts w:ascii="黑体" w:hAnsi="黑体"/>
          <w:color w:val="auto"/>
          <w:highlight w:val="none"/>
        </w:rPr>
      </w:pPr>
      <w:bookmarkStart w:id="833" w:name="_Toc519085321"/>
      <w:bookmarkStart w:id="834" w:name="_Toc16340"/>
      <w:bookmarkStart w:id="835" w:name="_Toc456173242"/>
      <w:bookmarkStart w:id="836" w:name="_Toc18646"/>
      <w:bookmarkStart w:id="837" w:name="_Toc31606"/>
      <w:bookmarkStart w:id="838" w:name="_Toc30469"/>
      <w:bookmarkStart w:id="839" w:name="_Toc5013"/>
      <w:bookmarkStart w:id="840" w:name="_Toc152042349"/>
      <w:bookmarkStart w:id="841" w:name="_Toc179632591"/>
      <w:bookmarkStart w:id="842" w:name="_Toc144974541"/>
      <w:bookmarkStart w:id="843" w:name="_Toc152045573"/>
      <w:r>
        <w:rPr>
          <w:rFonts w:ascii="黑体" w:hAnsi="黑体"/>
          <w:color w:val="auto"/>
          <w:highlight w:val="none"/>
        </w:rPr>
        <w:t>8.3 终止招标</w:t>
      </w:r>
      <w:bookmarkEnd w:id="833"/>
      <w:bookmarkEnd w:id="834"/>
      <w:bookmarkEnd w:id="835"/>
      <w:bookmarkEnd w:id="836"/>
      <w:bookmarkEnd w:id="837"/>
      <w:bookmarkEnd w:id="838"/>
      <w:bookmarkEnd w:id="839"/>
    </w:p>
    <w:p w14:paraId="7D6CCB1B">
      <w:pPr>
        <w:spacing w:line="360" w:lineRule="auto"/>
        <w:ind w:firstLine="420" w:firstLineChars="200"/>
        <w:rPr>
          <w:rFonts w:hint="eastAsia"/>
          <w:color w:val="auto"/>
          <w:sz w:val="28"/>
          <w:szCs w:val="28"/>
          <w:highlight w:val="none"/>
        </w:rPr>
      </w:pPr>
      <w:r>
        <w:rPr>
          <w:rFonts w:hint="eastAsia"/>
          <w:color w:val="auto"/>
          <w:highlight w:val="none"/>
        </w:rPr>
        <w:t>因不可抗力等原因，招标人终止招标的，将通过“市电子交易平台”及时发布公告，或者以书面形式通知被邀请的或者已经获取招标文件的潜在投标人。已经发售招标文件或者已经收取投标保证金的，招标人将及时退还所收取的招标文件的费用，以及所收取的投标保证金及银行同期存款利息。</w:t>
      </w:r>
      <w:bookmarkEnd w:id="824"/>
      <w:bookmarkEnd w:id="840"/>
      <w:bookmarkEnd w:id="841"/>
      <w:bookmarkEnd w:id="842"/>
      <w:bookmarkEnd w:id="843"/>
      <w:bookmarkStart w:id="844" w:name="_Toc222032658"/>
      <w:bookmarkStart w:id="845" w:name="_Toc17567"/>
      <w:bookmarkStart w:id="846" w:name="_Toc456173243"/>
      <w:bookmarkStart w:id="847" w:name="_Toc229305349"/>
      <w:bookmarkStart w:id="848" w:name="_Toc17390"/>
      <w:bookmarkStart w:id="849" w:name="_Toc222029489"/>
      <w:bookmarkStart w:id="850" w:name="_Toc221950226"/>
      <w:bookmarkStart w:id="851" w:name="_Toc15189"/>
      <w:bookmarkStart w:id="852" w:name="_Toc387753560"/>
      <w:bookmarkStart w:id="853" w:name="_Toc168476092"/>
      <w:bookmarkStart w:id="854" w:name="_Toc222030991"/>
      <w:bookmarkStart w:id="855" w:name="_Toc168475689"/>
      <w:bookmarkStart w:id="856" w:name="_Toc519085322"/>
      <w:bookmarkStart w:id="857" w:name="_Toc222033840"/>
    </w:p>
    <w:p w14:paraId="0A871E62">
      <w:pPr>
        <w:pStyle w:val="5"/>
        <w:spacing w:before="156"/>
        <w:rPr>
          <w:color w:val="auto"/>
          <w:sz w:val="28"/>
          <w:szCs w:val="28"/>
          <w:highlight w:val="none"/>
        </w:rPr>
      </w:pPr>
      <w:bookmarkStart w:id="858" w:name="_Toc31528"/>
      <w:bookmarkStart w:id="859" w:name="_Toc15423_WPSOffice_Level2"/>
      <w:bookmarkStart w:id="860" w:name="_Toc18766"/>
      <w:r>
        <w:rPr>
          <w:color w:val="auto"/>
          <w:sz w:val="28"/>
          <w:szCs w:val="28"/>
          <w:highlight w:val="none"/>
        </w:rPr>
        <w:t>9. 纪律和监督</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6F1E9C19">
      <w:pPr>
        <w:pStyle w:val="107"/>
        <w:outlineLvl w:val="3"/>
        <w:rPr>
          <w:rFonts w:ascii="黑体" w:hAnsi="黑体"/>
          <w:color w:val="auto"/>
          <w:highlight w:val="none"/>
        </w:rPr>
      </w:pPr>
      <w:bookmarkStart w:id="861" w:name="_Toc179632593"/>
      <w:bookmarkStart w:id="862" w:name="_Toc456173244"/>
      <w:bookmarkStart w:id="863" w:name="_Toc7021"/>
      <w:bookmarkStart w:id="864" w:name="_Toc6834"/>
      <w:bookmarkStart w:id="865" w:name="_Toc7388"/>
      <w:bookmarkStart w:id="866" w:name="_Toc519085323"/>
      <w:bookmarkStart w:id="867" w:name="_Toc31625"/>
      <w:bookmarkStart w:id="868" w:name="_Toc14618"/>
      <w:r>
        <w:rPr>
          <w:rFonts w:ascii="黑体" w:hAnsi="黑体"/>
          <w:color w:val="auto"/>
          <w:highlight w:val="none"/>
        </w:rPr>
        <w:t>9.1 对招标人的纪律要求</w:t>
      </w:r>
      <w:bookmarkEnd w:id="861"/>
      <w:bookmarkEnd w:id="862"/>
      <w:bookmarkEnd w:id="863"/>
      <w:bookmarkEnd w:id="864"/>
      <w:bookmarkEnd w:id="865"/>
      <w:bookmarkEnd w:id="866"/>
      <w:bookmarkEnd w:id="867"/>
      <w:bookmarkEnd w:id="868"/>
    </w:p>
    <w:p w14:paraId="444CC769">
      <w:pPr>
        <w:spacing w:line="360" w:lineRule="auto"/>
        <w:ind w:firstLine="420" w:firstLineChars="200"/>
        <w:rPr>
          <w:rFonts w:hint="eastAsia"/>
          <w:color w:val="auto"/>
          <w:highlight w:val="none"/>
        </w:rPr>
      </w:pPr>
      <w:r>
        <w:rPr>
          <w:color w:val="auto"/>
          <w:highlight w:val="none"/>
        </w:rPr>
        <w:t>招标人不得泄漏招标投标活动中应当保密的情况和资料，不得与投标人串通损害国家利益、社会公共利益或者他人合法权益。</w:t>
      </w:r>
    </w:p>
    <w:p w14:paraId="11C38B06">
      <w:pPr>
        <w:spacing w:line="360" w:lineRule="auto"/>
        <w:ind w:firstLine="420" w:firstLineChars="200"/>
        <w:rPr>
          <w:rFonts w:hint="eastAsia"/>
          <w:color w:val="auto"/>
          <w:highlight w:val="none"/>
        </w:rPr>
      </w:pPr>
      <w:r>
        <w:rPr>
          <w:rFonts w:hint="eastAsia"/>
          <w:color w:val="auto"/>
          <w:highlight w:val="none"/>
        </w:rPr>
        <w:t>下列行为均属招标人与投标人串通投标：</w:t>
      </w:r>
    </w:p>
    <w:p w14:paraId="12987E84">
      <w:pPr>
        <w:spacing w:line="360" w:lineRule="auto"/>
        <w:ind w:left="420" w:leftChars="200"/>
        <w:rPr>
          <w:rFonts w:hint="eastAsia"/>
          <w:color w:val="auto"/>
          <w:highlight w:val="none"/>
        </w:rPr>
      </w:pPr>
      <w:r>
        <w:rPr>
          <w:rFonts w:hint="eastAsia"/>
          <w:color w:val="auto"/>
          <w:highlight w:val="none"/>
        </w:rPr>
        <w:t>（1)招标人在开标前开启投标文件并将有关信息泄露给其他投标人;</w:t>
      </w:r>
    </w:p>
    <w:p w14:paraId="5E7CBF8A">
      <w:pPr>
        <w:spacing w:line="360" w:lineRule="auto"/>
        <w:ind w:left="420" w:leftChars="200"/>
        <w:rPr>
          <w:rFonts w:hint="eastAsia"/>
          <w:color w:val="auto"/>
          <w:highlight w:val="none"/>
        </w:rPr>
      </w:pPr>
      <w:r>
        <w:rPr>
          <w:rFonts w:hint="eastAsia"/>
          <w:color w:val="auto"/>
          <w:highlight w:val="none"/>
        </w:rPr>
        <w:t>（2）招标人直接或者间接向投标人泄露标底（如有）、评标委员会成员等信息；</w:t>
      </w:r>
    </w:p>
    <w:p w14:paraId="69E93181">
      <w:pPr>
        <w:spacing w:line="360" w:lineRule="auto"/>
        <w:ind w:left="420" w:leftChars="200"/>
        <w:rPr>
          <w:rFonts w:hint="eastAsia"/>
          <w:color w:val="auto"/>
          <w:highlight w:val="none"/>
        </w:rPr>
      </w:pPr>
      <w:r>
        <w:rPr>
          <w:rFonts w:hint="eastAsia"/>
          <w:color w:val="auto"/>
          <w:highlight w:val="none"/>
        </w:rPr>
        <w:t>（3）招标人明示或者暗示投标人压低或者抬高投标报价；</w:t>
      </w:r>
    </w:p>
    <w:p w14:paraId="33860AFD">
      <w:pPr>
        <w:spacing w:line="360" w:lineRule="auto"/>
        <w:ind w:left="420" w:leftChars="200"/>
        <w:rPr>
          <w:rFonts w:hint="eastAsia"/>
          <w:color w:val="auto"/>
          <w:highlight w:val="none"/>
        </w:rPr>
      </w:pPr>
      <w:r>
        <w:rPr>
          <w:rFonts w:hint="eastAsia"/>
          <w:color w:val="auto"/>
          <w:highlight w:val="none"/>
        </w:rPr>
        <w:t>（4）招标人授意投标人撤换、修改投标文件；</w:t>
      </w:r>
    </w:p>
    <w:p w14:paraId="52AEC111">
      <w:pPr>
        <w:spacing w:line="360" w:lineRule="auto"/>
        <w:ind w:left="420" w:leftChars="200"/>
        <w:rPr>
          <w:rFonts w:hint="eastAsia"/>
          <w:color w:val="auto"/>
          <w:highlight w:val="none"/>
        </w:rPr>
      </w:pPr>
      <w:r>
        <w:rPr>
          <w:rFonts w:hint="eastAsia"/>
          <w:color w:val="auto"/>
          <w:highlight w:val="none"/>
        </w:rPr>
        <w:t>（5）招标人明示或者暗示投标人为特定投标人中标提供方便；</w:t>
      </w:r>
    </w:p>
    <w:p w14:paraId="4103E255">
      <w:pPr>
        <w:spacing w:line="360" w:lineRule="auto"/>
        <w:ind w:left="420" w:leftChars="200"/>
        <w:rPr>
          <w:color w:val="auto"/>
          <w:highlight w:val="none"/>
        </w:rPr>
      </w:pPr>
      <w:r>
        <w:rPr>
          <w:rFonts w:hint="eastAsia"/>
          <w:color w:val="auto"/>
          <w:highlight w:val="none"/>
        </w:rPr>
        <w:t>（6）招标人与投标人为谋求特定投标人中标而采取的其他串通行为。</w:t>
      </w:r>
    </w:p>
    <w:p w14:paraId="6AF5CF2F">
      <w:pPr>
        <w:pStyle w:val="107"/>
        <w:outlineLvl w:val="3"/>
        <w:rPr>
          <w:rFonts w:ascii="黑体" w:hAnsi="黑体"/>
          <w:color w:val="auto"/>
          <w:highlight w:val="none"/>
        </w:rPr>
      </w:pPr>
      <w:bookmarkStart w:id="869" w:name="_Toc24568"/>
      <w:bookmarkStart w:id="870" w:name="_Toc519085324"/>
      <w:bookmarkStart w:id="871" w:name="_Toc664"/>
      <w:bookmarkStart w:id="872" w:name="_Toc456173245"/>
      <w:bookmarkStart w:id="873" w:name="_Toc29895"/>
      <w:bookmarkStart w:id="874" w:name="_Toc19012"/>
      <w:bookmarkStart w:id="875" w:name="_Toc27262"/>
      <w:r>
        <w:rPr>
          <w:rFonts w:ascii="黑体" w:hAnsi="黑体"/>
          <w:color w:val="auto"/>
          <w:highlight w:val="none"/>
        </w:rPr>
        <w:t>9.2 对投标人的纪律要求</w:t>
      </w:r>
      <w:bookmarkEnd w:id="869"/>
      <w:bookmarkEnd w:id="870"/>
      <w:bookmarkEnd w:id="871"/>
      <w:bookmarkEnd w:id="872"/>
      <w:bookmarkEnd w:id="873"/>
      <w:bookmarkEnd w:id="874"/>
      <w:bookmarkEnd w:id="875"/>
    </w:p>
    <w:p w14:paraId="5665D5E8">
      <w:pPr>
        <w:spacing w:line="360" w:lineRule="auto"/>
        <w:ind w:firstLine="420" w:firstLineChars="200"/>
        <w:rPr>
          <w:rFonts w:hint="eastAsia"/>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2DC2AD6">
      <w:pPr>
        <w:spacing w:line="360" w:lineRule="auto"/>
        <w:ind w:firstLine="420" w:firstLineChars="200"/>
        <w:rPr>
          <w:rFonts w:hint="eastAsia"/>
          <w:color w:val="auto"/>
          <w:highlight w:val="none"/>
        </w:rPr>
      </w:pPr>
      <w:r>
        <w:rPr>
          <w:rFonts w:hint="eastAsia"/>
          <w:color w:val="auto"/>
          <w:highlight w:val="none"/>
        </w:rPr>
        <w:t>9.2</w:t>
      </w:r>
      <w:bookmarkStart w:id="876" w:name="_Toc221950237"/>
      <w:r>
        <w:rPr>
          <w:rFonts w:hint="eastAsia"/>
          <w:color w:val="auto"/>
          <w:highlight w:val="none"/>
        </w:rPr>
        <w:t>.1下列行为均属以他人名义投标：</w:t>
      </w:r>
    </w:p>
    <w:p w14:paraId="026B7C7E">
      <w:pPr>
        <w:spacing w:line="360" w:lineRule="auto"/>
        <w:ind w:firstLine="420" w:firstLineChars="200"/>
        <w:rPr>
          <w:rFonts w:hint="eastAsia"/>
          <w:color w:val="auto"/>
          <w:highlight w:val="none"/>
        </w:rPr>
      </w:pPr>
      <w:r>
        <w:rPr>
          <w:rFonts w:hint="eastAsia"/>
          <w:color w:val="auto"/>
          <w:highlight w:val="none"/>
        </w:rPr>
        <w:t>（1）投标人挂靠其他单位；</w:t>
      </w:r>
    </w:p>
    <w:p w14:paraId="3908E1DF">
      <w:pPr>
        <w:spacing w:line="360" w:lineRule="auto"/>
        <w:ind w:firstLine="420" w:firstLineChars="200"/>
        <w:rPr>
          <w:rFonts w:hint="eastAsia"/>
          <w:color w:val="auto"/>
          <w:highlight w:val="none"/>
        </w:rPr>
      </w:pPr>
      <w:r>
        <w:rPr>
          <w:rFonts w:hint="eastAsia"/>
          <w:color w:val="auto"/>
          <w:highlight w:val="none"/>
        </w:rPr>
        <w:t>（2）投标人从其他单位通过转让或租借的方式获取资格或资质证书；</w:t>
      </w:r>
    </w:p>
    <w:p w14:paraId="23962152">
      <w:pPr>
        <w:spacing w:line="360" w:lineRule="auto"/>
        <w:ind w:firstLine="420" w:firstLineChars="200"/>
        <w:rPr>
          <w:rFonts w:hint="eastAsia"/>
          <w:color w:val="auto"/>
          <w:highlight w:val="none"/>
        </w:rPr>
      </w:pPr>
      <w:r>
        <w:rPr>
          <w:rFonts w:hint="eastAsia"/>
          <w:color w:val="auto"/>
          <w:highlight w:val="none"/>
        </w:rPr>
        <w:t>（3）由其他单位及法定代表人在自己编制的投标文件上加盖印章或签字的行为。</w:t>
      </w:r>
      <w:bookmarkEnd w:id="876"/>
    </w:p>
    <w:p w14:paraId="2ED3E8E8">
      <w:pPr>
        <w:spacing w:line="360" w:lineRule="auto"/>
        <w:ind w:firstLine="420" w:firstLineChars="200"/>
        <w:rPr>
          <w:rFonts w:hint="eastAsia"/>
          <w:color w:val="auto"/>
          <w:highlight w:val="none"/>
        </w:rPr>
      </w:pPr>
      <w:bookmarkStart w:id="877" w:name="_Toc221950238"/>
      <w:r>
        <w:rPr>
          <w:rFonts w:hint="eastAsia"/>
          <w:color w:val="auto"/>
          <w:highlight w:val="none"/>
        </w:rPr>
        <w:t>9.2.2下列行为，视为允许他人以本单位名义承揽工程：</w:t>
      </w:r>
      <w:bookmarkEnd w:id="877"/>
    </w:p>
    <w:p w14:paraId="0F9571FB">
      <w:pPr>
        <w:spacing w:line="360" w:lineRule="auto"/>
        <w:ind w:firstLine="420" w:firstLineChars="200"/>
        <w:rPr>
          <w:rFonts w:hint="eastAsia"/>
          <w:color w:val="auto"/>
          <w:highlight w:val="none"/>
        </w:rPr>
      </w:pPr>
      <w:bookmarkStart w:id="878" w:name="_Toc221950239"/>
      <w:r>
        <w:rPr>
          <w:rFonts w:hint="eastAsia"/>
          <w:color w:val="auto"/>
          <w:highlight w:val="none"/>
        </w:rPr>
        <w:t>（1）投标人的法定代表人的委托代理人不是投标人本单位人员；</w:t>
      </w:r>
      <w:bookmarkEnd w:id="878"/>
    </w:p>
    <w:p w14:paraId="6C5CD513">
      <w:pPr>
        <w:spacing w:line="360" w:lineRule="auto"/>
        <w:ind w:firstLine="420" w:firstLineChars="200"/>
        <w:rPr>
          <w:rFonts w:hint="eastAsia"/>
          <w:color w:val="auto"/>
          <w:highlight w:val="none"/>
        </w:rPr>
      </w:pPr>
      <w:bookmarkStart w:id="879" w:name="_Toc221950240"/>
      <w:r>
        <w:rPr>
          <w:rFonts w:hint="eastAsia"/>
          <w:color w:val="auto"/>
          <w:highlight w:val="none"/>
        </w:rPr>
        <w:t>（2）投标人拟在施工现场所设项目管理机构的项目负责人、设计负责人、施工负责人财务负责人、质量管理人员、安全管理人员（专职安全生产管理人员）不是本单位人员。</w:t>
      </w:r>
    </w:p>
    <w:bookmarkEnd w:id="879"/>
    <w:p w14:paraId="14CB4D79">
      <w:pPr>
        <w:spacing w:line="360" w:lineRule="auto"/>
        <w:ind w:firstLine="420" w:firstLineChars="200"/>
        <w:rPr>
          <w:rFonts w:hint="eastAsia"/>
          <w:color w:val="auto"/>
          <w:highlight w:val="none"/>
        </w:rPr>
      </w:pPr>
      <w:bookmarkStart w:id="880" w:name="_Toc221950241"/>
      <w:r>
        <w:rPr>
          <w:rFonts w:hint="eastAsia"/>
          <w:color w:val="auto"/>
          <w:highlight w:val="none"/>
        </w:rPr>
        <w:t>投标人本单位人员，必须同时满足以下条件：</w:t>
      </w:r>
      <w:bookmarkEnd w:id="880"/>
    </w:p>
    <w:p w14:paraId="1D02123E">
      <w:pPr>
        <w:spacing w:line="360" w:lineRule="auto"/>
        <w:ind w:firstLine="420" w:firstLineChars="200"/>
        <w:rPr>
          <w:rFonts w:hint="eastAsia"/>
          <w:color w:val="auto"/>
          <w:highlight w:val="none"/>
        </w:rPr>
      </w:pPr>
      <w:bookmarkStart w:id="881" w:name="_Toc221950242"/>
      <w:r>
        <w:rPr>
          <w:rFonts w:hint="eastAsia"/>
          <w:color w:val="auto"/>
          <w:highlight w:val="none"/>
        </w:rPr>
        <w:t>（1）聘任合同必须由投标人单位与之签订；</w:t>
      </w:r>
      <w:bookmarkEnd w:id="881"/>
    </w:p>
    <w:p w14:paraId="27CA2AB4">
      <w:pPr>
        <w:spacing w:line="360" w:lineRule="auto"/>
        <w:ind w:firstLine="420" w:firstLineChars="200"/>
        <w:rPr>
          <w:rFonts w:hint="eastAsia"/>
          <w:color w:val="auto"/>
          <w:highlight w:val="none"/>
        </w:rPr>
      </w:pPr>
      <w:bookmarkStart w:id="882" w:name="_Toc221950243"/>
      <w:r>
        <w:rPr>
          <w:rFonts w:hint="eastAsia"/>
          <w:color w:val="auto"/>
          <w:highlight w:val="none"/>
        </w:rPr>
        <w:t>（2）与投标人单位有合法的劳动关系；</w:t>
      </w:r>
      <w:bookmarkEnd w:id="882"/>
    </w:p>
    <w:p w14:paraId="5513964F">
      <w:pPr>
        <w:spacing w:line="360" w:lineRule="auto"/>
        <w:ind w:firstLine="420" w:firstLineChars="200"/>
        <w:rPr>
          <w:rFonts w:hint="eastAsia"/>
          <w:color w:val="auto"/>
          <w:highlight w:val="none"/>
        </w:rPr>
      </w:pPr>
      <w:bookmarkStart w:id="883" w:name="_Toc221950244"/>
      <w:r>
        <w:rPr>
          <w:rFonts w:hint="eastAsia"/>
          <w:color w:val="auto"/>
          <w:highlight w:val="none"/>
        </w:rPr>
        <w:t>（3）投标人单位为其办理社会保险关系，或具有其他有效证明其为本单位人员身份的文件。</w:t>
      </w:r>
      <w:bookmarkEnd w:id="883"/>
    </w:p>
    <w:p w14:paraId="15A9D645">
      <w:pPr>
        <w:spacing w:line="360" w:lineRule="auto"/>
        <w:ind w:firstLine="420" w:firstLineChars="200"/>
        <w:rPr>
          <w:rFonts w:hint="eastAsia"/>
          <w:color w:val="auto"/>
          <w:highlight w:val="none"/>
        </w:rPr>
      </w:pPr>
      <w:r>
        <w:rPr>
          <w:rFonts w:hint="eastAsia"/>
          <w:color w:val="auto"/>
          <w:highlight w:val="none"/>
        </w:rPr>
        <w:t>9.2.3有下列情形之一的，属于投标人相互串通投标：</w:t>
      </w:r>
    </w:p>
    <w:p w14:paraId="7CF35D56">
      <w:pPr>
        <w:spacing w:line="360" w:lineRule="auto"/>
        <w:ind w:firstLine="420" w:firstLineChars="200"/>
        <w:rPr>
          <w:rFonts w:hint="eastAsia"/>
          <w:color w:val="auto"/>
          <w:highlight w:val="none"/>
        </w:rPr>
      </w:pPr>
      <w:r>
        <w:rPr>
          <w:rFonts w:hint="eastAsia"/>
          <w:color w:val="auto"/>
          <w:highlight w:val="none"/>
        </w:rPr>
        <w:t>（1）投标人之间协商投标报价等投标文件的实质性内容；</w:t>
      </w:r>
    </w:p>
    <w:p w14:paraId="5EE5A4EA">
      <w:pPr>
        <w:spacing w:line="360" w:lineRule="auto"/>
        <w:ind w:firstLine="420" w:firstLineChars="200"/>
        <w:rPr>
          <w:rFonts w:hint="eastAsia"/>
          <w:color w:val="auto"/>
          <w:highlight w:val="none"/>
        </w:rPr>
      </w:pPr>
      <w:r>
        <w:rPr>
          <w:rFonts w:hint="eastAsia"/>
          <w:color w:val="auto"/>
          <w:highlight w:val="none"/>
        </w:rPr>
        <w:t>（2）投标人之间约定中标人；</w:t>
      </w:r>
    </w:p>
    <w:p w14:paraId="165DBE42">
      <w:pPr>
        <w:spacing w:line="360" w:lineRule="auto"/>
        <w:ind w:firstLine="420" w:firstLineChars="200"/>
        <w:rPr>
          <w:rFonts w:hint="eastAsia"/>
          <w:color w:val="auto"/>
          <w:highlight w:val="none"/>
        </w:rPr>
      </w:pPr>
      <w:r>
        <w:rPr>
          <w:rFonts w:hint="eastAsia"/>
          <w:color w:val="auto"/>
          <w:highlight w:val="none"/>
        </w:rPr>
        <w:t>（3）投标人之间约定部分投标人放弃投标或者中标；</w:t>
      </w:r>
    </w:p>
    <w:p w14:paraId="31FDE9C3">
      <w:pPr>
        <w:spacing w:line="360" w:lineRule="auto"/>
        <w:ind w:firstLine="420" w:firstLineChars="200"/>
        <w:rPr>
          <w:rFonts w:hint="eastAsia"/>
          <w:color w:val="auto"/>
          <w:highlight w:val="none"/>
        </w:rPr>
      </w:pPr>
      <w:r>
        <w:rPr>
          <w:rFonts w:hint="eastAsia"/>
          <w:color w:val="auto"/>
          <w:highlight w:val="none"/>
        </w:rPr>
        <w:t>（4）属于同一集团、协会、商会等组织成员的投标人按照该组织要求协同投标；</w:t>
      </w:r>
    </w:p>
    <w:p w14:paraId="75AE1E21">
      <w:pPr>
        <w:spacing w:line="360" w:lineRule="auto"/>
        <w:ind w:firstLine="420" w:firstLineChars="200"/>
        <w:rPr>
          <w:rFonts w:hint="eastAsia"/>
          <w:color w:val="auto"/>
          <w:highlight w:val="none"/>
        </w:rPr>
      </w:pPr>
      <w:r>
        <w:rPr>
          <w:rFonts w:hint="eastAsia"/>
          <w:color w:val="auto"/>
          <w:highlight w:val="none"/>
        </w:rPr>
        <w:t>（5）投标人之间为谋取中标或者排斥特定投标人而采取的其他联合行动。</w:t>
      </w:r>
    </w:p>
    <w:p w14:paraId="0092FB9B">
      <w:pPr>
        <w:spacing w:line="360" w:lineRule="auto"/>
        <w:ind w:firstLine="420" w:firstLineChars="200"/>
        <w:rPr>
          <w:rFonts w:hint="eastAsia"/>
          <w:color w:val="auto"/>
          <w:highlight w:val="none"/>
        </w:rPr>
      </w:pPr>
      <w:r>
        <w:rPr>
          <w:rFonts w:hint="eastAsia"/>
          <w:color w:val="auto"/>
          <w:highlight w:val="none"/>
        </w:rPr>
        <w:t>9.2.4有下列情形之一的，视为投标人相互串通投标：</w:t>
      </w:r>
    </w:p>
    <w:p w14:paraId="63FBDAD6">
      <w:pPr>
        <w:spacing w:line="360" w:lineRule="auto"/>
        <w:ind w:firstLine="420" w:firstLineChars="200"/>
        <w:rPr>
          <w:color w:val="auto"/>
          <w:highlight w:val="none"/>
        </w:rPr>
      </w:pPr>
      <w:r>
        <w:rPr>
          <w:rFonts w:hint="eastAsia"/>
          <w:color w:val="auto"/>
          <w:highlight w:val="none"/>
        </w:rPr>
        <w:t>（1）不同投标人的投标文件由同一单位或者个人编制；</w:t>
      </w:r>
    </w:p>
    <w:p w14:paraId="5675055F">
      <w:pPr>
        <w:spacing w:line="360" w:lineRule="auto"/>
        <w:ind w:firstLine="420" w:firstLineChars="200"/>
        <w:rPr>
          <w:color w:val="auto"/>
          <w:highlight w:val="none"/>
        </w:rPr>
      </w:pPr>
      <w:r>
        <w:rPr>
          <w:rFonts w:hint="eastAsia"/>
          <w:color w:val="auto"/>
          <w:highlight w:val="none"/>
        </w:rPr>
        <w:t>（2）不同投标人委托同一单位或者个人办理投标事宜（含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34A7E2CA">
      <w:pPr>
        <w:spacing w:line="360" w:lineRule="auto"/>
        <w:ind w:firstLine="420" w:firstLineChars="200"/>
        <w:rPr>
          <w:color w:val="auto"/>
          <w:highlight w:val="none"/>
        </w:rPr>
      </w:pPr>
      <w:r>
        <w:rPr>
          <w:rFonts w:hint="eastAsia"/>
          <w:color w:val="auto"/>
          <w:highlight w:val="none"/>
        </w:rPr>
        <w:t>（3）不同投标人的投标文件载明的项目管理成员为同一人；</w:t>
      </w:r>
    </w:p>
    <w:p w14:paraId="3C1A53CA">
      <w:pPr>
        <w:spacing w:line="400" w:lineRule="exact"/>
        <w:ind w:firstLine="482"/>
        <w:rPr>
          <w:color w:val="auto"/>
          <w:highlight w:val="none"/>
        </w:rPr>
      </w:pPr>
      <w:r>
        <w:rPr>
          <w:rFonts w:hint="eastAsia"/>
          <w:color w:val="auto"/>
          <w:highlight w:val="none"/>
        </w:rPr>
        <w:t>（4）不同投标人的投标文件异常一致、投标报价呈规律性差异或者投标文件的实质性内容存在两处以上细节错误一致；</w:t>
      </w:r>
    </w:p>
    <w:p w14:paraId="5A26D186">
      <w:pPr>
        <w:spacing w:line="360" w:lineRule="auto"/>
        <w:ind w:firstLine="420" w:firstLineChars="200"/>
        <w:rPr>
          <w:rFonts w:hint="eastAsia"/>
          <w:color w:val="auto"/>
          <w:highlight w:val="none"/>
        </w:rPr>
      </w:pPr>
      <w:r>
        <w:rPr>
          <w:rFonts w:hint="eastAsia"/>
          <w:color w:val="auto"/>
          <w:highlight w:val="none"/>
        </w:rPr>
        <w:t>（5）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65CD5FDA">
      <w:pPr>
        <w:spacing w:line="360" w:lineRule="auto"/>
        <w:ind w:firstLine="420" w:firstLineChars="200"/>
        <w:rPr>
          <w:rFonts w:hint="eastAsia"/>
          <w:color w:val="auto"/>
          <w:highlight w:val="none"/>
        </w:rPr>
      </w:pPr>
      <w:r>
        <w:rPr>
          <w:rFonts w:hint="eastAsia"/>
          <w:color w:val="auto"/>
          <w:highlight w:val="none"/>
        </w:rPr>
        <w:t>（6）不同投标人的投标保证金从同一单位或者个人的账户转出。</w:t>
      </w:r>
    </w:p>
    <w:p w14:paraId="4CF927BD">
      <w:pPr>
        <w:spacing w:line="360" w:lineRule="auto"/>
        <w:ind w:firstLine="420" w:firstLineChars="200"/>
        <w:rPr>
          <w:rFonts w:hint="eastAsia"/>
          <w:color w:val="auto"/>
          <w:highlight w:val="none"/>
        </w:rPr>
      </w:pPr>
      <w:r>
        <w:rPr>
          <w:rFonts w:hint="eastAsia"/>
          <w:color w:val="auto"/>
          <w:highlight w:val="none"/>
        </w:rPr>
        <w:t>9.2.5有下列情形之一的，属于弄虚作假行为：</w:t>
      </w:r>
    </w:p>
    <w:p w14:paraId="40C74327">
      <w:pPr>
        <w:spacing w:line="360" w:lineRule="auto"/>
        <w:ind w:firstLine="420" w:firstLineChars="200"/>
        <w:rPr>
          <w:rFonts w:hint="eastAsia"/>
          <w:color w:val="auto"/>
          <w:highlight w:val="none"/>
        </w:rPr>
      </w:pPr>
      <w:r>
        <w:rPr>
          <w:rFonts w:hint="eastAsia"/>
          <w:color w:val="auto"/>
          <w:highlight w:val="none"/>
        </w:rPr>
        <w:t>（1）使用通过受让或者租借等方式获取的资格、资质证书投标的，即以他人名义投标的。</w:t>
      </w:r>
    </w:p>
    <w:p w14:paraId="1447E040">
      <w:pPr>
        <w:spacing w:line="360" w:lineRule="auto"/>
        <w:ind w:firstLine="420" w:firstLineChars="200"/>
        <w:rPr>
          <w:rFonts w:hint="eastAsia"/>
          <w:color w:val="auto"/>
          <w:highlight w:val="none"/>
        </w:rPr>
      </w:pPr>
      <w:r>
        <w:rPr>
          <w:rFonts w:hint="eastAsia"/>
          <w:color w:val="auto"/>
          <w:highlight w:val="none"/>
        </w:rPr>
        <w:t>（2）使用伪造、变造的许可证件；</w:t>
      </w:r>
    </w:p>
    <w:p w14:paraId="6B7CC144">
      <w:pPr>
        <w:spacing w:line="360" w:lineRule="auto"/>
        <w:ind w:firstLine="420" w:firstLineChars="200"/>
        <w:rPr>
          <w:rFonts w:hint="eastAsia"/>
          <w:color w:val="auto"/>
          <w:highlight w:val="none"/>
        </w:rPr>
      </w:pPr>
      <w:r>
        <w:rPr>
          <w:rFonts w:hint="eastAsia"/>
          <w:color w:val="auto"/>
          <w:highlight w:val="none"/>
        </w:rPr>
        <w:t>（3）提供虚假的财务状况或者业绩；</w:t>
      </w:r>
    </w:p>
    <w:p w14:paraId="4DAB6044">
      <w:pPr>
        <w:spacing w:line="360" w:lineRule="auto"/>
        <w:ind w:firstLine="420" w:firstLineChars="200"/>
        <w:rPr>
          <w:rFonts w:hint="eastAsia"/>
          <w:color w:val="auto"/>
          <w:highlight w:val="none"/>
        </w:rPr>
      </w:pPr>
      <w:r>
        <w:rPr>
          <w:rFonts w:hint="eastAsia"/>
          <w:color w:val="auto"/>
          <w:highlight w:val="none"/>
        </w:rPr>
        <w:t>（4）提供虚假的项目负责人或者主要技术人员简历、劳动关系证明；</w:t>
      </w:r>
    </w:p>
    <w:p w14:paraId="6F76BE21">
      <w:pPr>
        <w:spacing w:line="360" w:lineRule="auto"/>
        <w:ind w:firstLine="420" w:firstLineChars="200"/>
        <w:rPr>
          <w:rFonts w:hint="eastAsia"/>
          <w:color w:val="auto"/>
          <w:highlight w:val="none"/>
        </w:rPr>
      </w:pPr>
      <w:r>
        <w:rPr>
          <w:rFonts w:hint="eastAsia"/>
          <w:color w:val="auto"/>
          <w:highlight w:val="none"/>
        </w:rPr>
        <w:t> （5）提供虚假的信用状况；</w:t>
      </w:r>
    </w:p>
    <w:p w14:paraId="694BCC5D">
      <w:pPr>
        <w:spacing w:line="360" w:lineRule="auto"/>
        <w:ind w:firstLine="420" w:firstLineChars="200"/>
        <w:rPr>
          <w:rFonts w:hint="eastAsia"/>
          <w:color w:val="auto"/>
          <w:highlight w:val="none"/>
        </w:rPr>
      </w:pPr>
      <w:r>
        <w:rPr>
          <w:rFonts w:hint="eastAsia"/>
          <w:color w:val="auto"/>
          <w:highlight w:val="none"/>
        </w:rPr>
        <w:t> （6）其他弄虚作假的行为。</w:t>
      </w:r>
    </w:p>
    <w:p w14:paraId="48EDE66B">
      <w:pPr>
        <w:pStyle w:val="107"/>
        <w:outlineLvl w:val="3"/>
        <w:rPr>
          <w:rFonts w:ascii="黑体" w:hAnsi="黑体"/>
          <w:color w:val="auto"/>
          <w:highlight w:val="none"/>
        </w:rPr>
      </w:pPr>
      <w:bookmarkStart w:id="884" w:name="_Toc15348"/>
      <w:bookmarkStart w:id="885" w:name="_Toc7006"/>
      <w:bookmarkStart w:id="886" w:name="_Toc519085325"/>
      <w:bookmarkStart w:id="887" w:name="_Toc3161"/>
      <w:bookmarkStart w:id="888" w:name="_Toc8187"/>
      <w:bookmarkStart w:id="889" w:name="_Toc456173246"/>
      <w:bookmarkStart w:id="890" w:name="_Toc179632595"/>
      <w:bookmarkStart w:id="891" w:name="_Toc24596"/>
      <w:r>
        <w:rPr>
          <w:rFonts w:ascii="黑体" w:hAnsi="黑体"/>
          <w:color w:val="auto"/>
          <w:highlight w:val="none"/>
        </w:rPr>
        <w:t>9.3 对评标委员会成员的纪律要求</w:t>
      </w:r>
      <w:bookmarkEnd w:id="884"/>
      <w:bookmarkEnd w:id="885"/>
      <w:bookmarkEnd w:id="886"/>
      <w:bookmarkEnd w:id="887"/>
      <w:bookmarkEnd w:id="888"/>
      <w:bookmarkEnd w:id="889"/>
      <w:bookmarkEnd w:id="890"/>
      <w:bookmarkEnd w:id="891"/>
    </w:p>
    <w:p w14:paraId="049BC845">
      <w:pPr>
        <w:spacing w:line="400" w:lineRule="exact"/>
        <w:ind w:firstLine="420" w:firstLineChars="200"/>
        <w:rPr>
          <w:rFonts w:hint="eastAsia"/>
          <w:color w:val="auto"/>
          <w:highlight w:val="none"/>
        </w:rPr>
      </w:pPr>
      <w:bookmarkStart w:id="892" w:name="_Toc179632596"/>
      <w:r>
        <w:rPr>
          <w:color w:val="auto"/>
          <w:highlight w:val="none"/>
        </w:rPr>
        <w:t>评标委员会成员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使用第</w:t>
      </w:r>
      <w:r>
        <w:rPr>
          <w:rFonts w:hint="eastAsia"/>
          <w:color w:val="auto"/>
          <w:highlight w:val="none"/>
        </w:rPr>
        <w:t>三</w:t>
      </w:r>
      <w:r>
        <w:rPr>
          <w:color w:val="auto"/>
          <w:highlight w:val="none"/>
        </w:rPr>
        <w:t>章“评标办法”没有规定的评审因素和标准进行评标。</w:t>
      </w:r>
    </w:p>
    <w:p w14:paraId="384A7AE5">
      <w:pPr>
        <w:pStyle w:val="107"/>
        <w:outlineLvl w:val="3"/>
        <w:rPr>
          <w:rFonts w:ascii="黑体" w:hAnsi="黑体"/>
          <w:color w:val="auto"/>
          <w:highlight w:val="none"/>
        </w:rPr>
      </w:pPr>
      <w:bookmarkStart w:id="893" w:name="_Toc9441"/>
      <w:bookmarkStart w:id="894" w:name="_Toc10"/>
      <w:bookmarkStart w:id="895" w:name="_Toc519085326"/>
      <w:bookmarkStart w:id="896" w:name="_Toc22835"/>
      <w:bookmarkStart w:id="897" w:name="_Toc27065"/>
      <w:bookmarkStart w:id="898" w:name="_Toc16891"/>
      <w:bookmarkStart w:id="899" w:name="_Toc456173247"/>
      <w:r>
        <w:rPr>
          <w:rFonts w:ascii="黑体" w:hAnsi="黑体"/>
          <w:color w:val="auto"/>
          <w:highlight w:val="none"/>
        </w:rPr>
        <w:t>9.4 对与评标活动有关的工作人员的纪律要求</w:t>
      </w:r>
      <w:bookmarkEnd w:id="892"/>
      <w:bookmarkEnd w:id="893"/>
      <w:bookmarkEnd w:id="894"/>
      <w:bookmarkEnd w:id="895"/>
      <w:bookmarkEnd w:id="896"/>
      <w:bookmarkEnd w:id="897"/>
      <w:bookmarkEnd w:id="898"/>
      <w:bookmarkEnd w:id="899"/>
    </w:p>
    <w:p w14:paraId="442A50F6">
      <w:pPr>
        <w:spacing w:line="400" w:lineRule="exact"/>
        <w:ind w:firstLine="420" w:firstLineChars="200"/>
        <w:rPr>
          <w:rFonts w:hint="eastAsia"/>
          <w:color w:val="auto"/>
          <w:highlight w:val="none"/>
        </w:rPr>
      </w:pPr>
      <w:r>
        <w:rPr>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C5AAD32">
      <w:pPr>
        <w:pStyle w:val="107"/>
        <w:outlineLvl w:val="3"/>
        <w:rPr>
          <w:rFonts w:ascii="黑体" w:hAnsi="黑体"/>
          <w:color w:val="auto"/>
          <w:highlight w:val="none"/>
        </w:rPr>
      </w:pPr>
      <w:bookmarkStart w:id="900" w:name="_Toc2873"/>
      <w:bookmarkStart w:id="901" w:name="_Toc519085327"/>
      <w:bookmarkStart w:id="902" w:name="_Toc12944"/>
      <w:bookmarkStart w:id="903" w:name="_Toc179632597"/>
      <w:bookmarkStart w:id="904" w:name="_Toc21314"/>
      <w:bookmarkStart w:id="905" w:name="_Toc3992"/>
      <w:bookmarkStart w:id="906" w:name="_Toc456173248"/>
      <w:bookmarkStart w:id="907" w:name="_Toc7010"/>
      <w:r>
        <w:rPr>
          <w:rFonts w:ascii="黑体" w:hAnsi="黑体"/>
          <w:color w:val="auto"/>
          <w:highlight w:val="none"/>
        </w:rPr>
        <w:t xml:space="preserve">9.5 </w:t>
      </w:r>
      <w:r>
        <w:rPr>
          <w:rFonts w:hint="eastAsia" w:ascii="黑体" w:hAnsi="黑体"/>
          <w:color w:val="auto"/>
          <w:highlight w:val="none"/>
        </w:rPr>
        <w:t>异议和</w:t>
      </w:r>
      <w:r>
        <w:rPr>
          <w:rFonts w:ascii="黑体" w:hAnsi="黑体"/>
          <w:color w:val="auto"/>
          <w:highlight w:val="none"/>
        </w:rPr>
        <w:t>投诉</w:t>
      </w:r>
      <w:bookmarkEnd w:id="900"/>
      <w:bookmarkEnd w:id="901"/>
      <w:bookmarkEnd w:id="902"/>
      <w:bookmarkEnd w:id="903"/>
      <w:bookmarkEnd w:id="904"/>
      <w:bookmarkEnd w:id="905"/>
      <w:bookmarkEnd w:id="906"/>
      <w:bookmarkEnd w:id="907"/>
    </w:p>
    <w:p w14:paraId="50AD1A3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本次招标投标活动及其相关当事人应当接受相关综合监督管理部门或有相关行政监督部门依法实施的监督。</w:t>
      </w:r>
    </w:p>
    <w:p w14:paraId="2A0282F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和其他利害关系人认为本次招标活动违反法律、法规和规章规定的，有权自知道或者应当知道之日起10日内向相关综合监督管理部门或相关行政监督部门投诉，其中对招标文件的内容、开标、评标结果进行投诉的，应当按本章第2.4款、第5.3款、第6.4款的规定先向招标人提出异议后，方可向相关行政监督部门或综合监督管理部门投诉，异议答复期不计算在规定的投诉时效期限内。</w:t>
      </w:r>
    </w:p>
    <w:p w14:paraId="2007419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投标人和其他利害关系人的投诉应按照《工程建设项目招标投标活动投诉处理办法》、《湖北省公共资源招标投标投诉处理办法》等相关规定进行。</w:t>
      </w:r>
    </w:p>
    <w:p w14:paraId="66B6987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相关综合监督管理部门、相关行政监督部门和异议受理部门的联系方式见投标人须知前附表。</w:t>
      </w:r>
    </w:p>
    <w:p w14:paraId="066ACD73">
      <w:pPr>
        <w:spacing w:line="400" w:lineRule="exact"/>
        <w:ind w:firstLine="420" w:firstLineChars="200"/>
        <w:rPr>
          <w:rFonts w:hint="eastAsia"/>
          <w:color w:val="auto"/>
          <w:highlight w:val="none"/>
        </w:rPr>
      </w:pPr>
      <w:r>
        <w:rPr>
          <w:rFonts w:hint="eastAsia" w:ascii="宋体" w:hAnsi="宋体" w:cs="宋体"/>
          <w:color w:val="auto"/>
          <w:highlight w:val="none"/>
        </w:rPr>
        <w:t>异议既可以通过交易系统在线提出，也可以向异议受理部门书面提出</w:t>
      </w:r>
      <w:r>
        <w:rPr>
          <w:rFonts w:hint="eastAsia"/>
          <w:color w:val="auto"/>
          <w:highlight w:val="none"/>
        </w:rPr>
        <w:t>。</w:t>
      </w:r>
    </w:p>
    <w:p w14:paraId="699A692B">
      <w:pPr>
        <w:pStyle w:val="5"/>
        <w:spacing w:before="156"/>
        <w:rPr>
          <w:color w:val="auto"/>
          <w:sz w:val="28"/>
          <w:szCs w:val="28"/>
          <w:highlight w:val="none"/>
        </w:rPr>
      </w:pPr>
      <w:bookmarkStart w:id="908" w:name="_Toc456173249"/>
      <w:bookmarkStart w:id="909" w:name="_Toc26830"/>
      <w:bookmarkStart w:id="910" w:name="_Toc519085328"/>
      <w:bookmarkStart w:id="911" w:name="_Toc20141"/>
      <w:bookmarkStart w:id="912" w:name="_Toc15357"/>
      <w:bookmarkStart w:id="913" w:name="_Toc387753561"/>
      <w:bookmarkStart w:id="914" w:name="_Toc8550"/>
      <w:bookmarkStart w:id="915" w:name="_Toc8391"/>
      <w:bookmarkStart w:id="916" w:name="_Toc880_WPSOffice_Level2"/>
      <w:r>
        <w:rPr>
          <w:color w:val="auto"/>
          <w:sz w:val="28"/>
          <w:szCs w:val="28"/>
          <w:highlight w:val="none"/>
        </w:rPr>
        <w:t>10. 需要补充的其他内容</w:t>
      </w:r>
      <w:bookmarkEnd w:id="908"/>
      <w:bookmarkEnd w:id="909"/>
      <w:bookmarkEnd w:id="910"/>
      <w:bookmarkEnd w:id="911"/>
      <w:bookmarkEnd w:id="912"/>
      <w:bookmarkEnd w:id="913"/>
      <w:bookmarkEnd w:id="914"/>
      <w:bookmarkEnd w:id="915"/>
      <w:bookmarkEnd w:id="916"/>
    </w:p>
    <w:p w14:paraId="5C23FBC0">
      <w:pPr>
        <w:pStyle w:val="73"/>
        <w:ind w:left="840"/>
        <w:outlineLvl w:val="3"/>
        <w:rPr>
          <w:rFonts w:ascii="黑体" w:hAnsi="黑体" w:eastAsia="黑体" w:cs="宋体"/>
          <w:bCs/>
          <w:i w:val="0"/>
          <w:iCs w:val="0"/>
          <w:color w:val="auto"/>
          <w:sz w:val="24"/>
          <w:szCs w:val="20"/>
          <w:highlight w:val="none"/>
        </w:rPr>
      </w:pPr>
      <w:bookmarkStart w:id="917" w:name="_Toc31012"/>
      <w:bookmarkStart w:id="918" w:name="_Toc517172358"/>
      <w:bookmarkStart w:id="919" w:name="_Toc426495265"/>
      <w:bookmarkStart w:id="920" w:name="_Toc524908071"/>
      <w:bookmarkStart w:id="921" w:name="_Toc31314"/>
      <w:bookmarkStart w:id="922" w:name="_Toc31154"/>
      <w:r>
        <w:rPr>
          <w:rFonts w:hint="eastAsia" w:ascii="黑体" w:hAnsi="黑体" w:eastAsia="黑体" w:cs="宋体"/>
          <w:bCs/>
          <w:i w:val="0"/>
          <w:iCs w:val="0"/>
          <w:color w:val="auto"/>
          <w:sz w:val="24"/>
          <w:szCs w:val="20"/>
          <w:highlight w:val="none"/>
        </w:rPr>
        <w:t>10.1 多标段投标</w:t>
      </w:r>
    </w:p>
    <w:p w14:paraId="5174BBFE">
      <w:pPr>
        <w:spacing w:line="400" w:lineRule="exact"/>
        <w:ind w:firstLine="482"/>
        <w:rPr>
          <w:color w:val="auto"/>
          <w:highlight w:val="none"/>
        </w:rPr>
      </w:pPr>
      <w:r>
        <w:rPr>
          <w:rFonts w:hint="eastAsia"/>
          <w:color w:val="auto"/>
          <w:highlight w:val="none"/>
        </w:rPr>
        <w:t>多标段投标规定：见投标人须知前附表。</w:t>
      </w:r>
    </w:p>
    <w:p w14:paraId="1EE4134E">
      <w:pPr>
        <w:pStyle w:val="73"/>
        <w:ind w:left="840"/>
        <w:outlineLvl w:val="3"/>
        <w:rPr>
          <w:rFonts w:ascii="黑体" w:hAnsi="黑体" w:eastAsia="黑体" w:cs="宋体"/>
          <w:bCs/>
          <w:i w:val="0"/>
          <w:iCs w:val="0"/>
          <w:color w:val="auto"/>
          <w:sz w:val="24"/>
          <w:szCs w:val="20"/>
          <w:highlight w:val="none"/>
        </w:rPr>
      </w:pPr>
      <w:r>
        <w:rPr>
          <w:rFonts w:hint="eastAsia" w:ascii="黑体" w:hAnsi="黑体" w:eastAsia="黑体" w:cs="宋体"/>
          <w:bCs/>
          <w:i w:val="0"/>
          <w:iCs w:val="0"/>
          <w:color w:val="auto"/>
          <w:sz w:val="24"/>
          <w:szCs w:val="20"/>
          <w:highlight w:val="none"/>
        </w:rPr>
        <w:t>10.2 知识产权</w:t>
      </w:r>
    </w:p>
    <w:p w14:paraId="041D5117">
      <w:pPr>
        <w:spacing w:line="400" w:lineRule="exact"/>
        <w:ind w:firstLine="482"/>
        <w:rPr>
          <w:rFonts w:hint="eastAsia"/>
          <w:color w:val="auto"/>
          <w:highlight w:val="none"/>
        </w:rPr>
      </w:pPr>
      <w:r>
        <w:rPr>
          <w:rFonts w:hint="eastAsia"/>
          <w:color w:val="auto"/>
          <w:highlight w:val="none"/>
        </w:rPr>
        <w:t>有关知识产权的规定：见投标人须知前附表。</w:t>
      </w:r>
    </w:p>
    <w:p w14:paraId="780579AF">
      <w:pPr>
        <w:pStyle w:val="2"/>
        <w:ind w:left="420" w:leftChars="0" w:firstLine="420" w:firstLineChars="0"/>
        <w:outlineLvl w:val="3"/>
        <w:rPr>
          <w:rFonts w:hint="eastAsia" w:ascii="宋体" w:hAnsi="宋体" w:eastAsia="宋体" w:cs="宋体"/>
          <w:sz w:val="24"/>
          <w:szCs w:val="24"/>
          <w:highlight w:val="none"/>
          <w:lang w:val="en-US" w:eastAsia="zh-CN"/>
        </w:rPr>
      </w:pPr>
      <w:r>
        <w:rPr>
          <w:rFonts w:ascii="宋体" w:hAnsi="宋体" w:eastAsia="宋体" w:cs="宋体"/>
          <w:b/>
          <w:bCs/>
          <w:sz w:val="24"/>
          <w:szCs w:val="24"/>
          <w:highlight w:val="none"/>
        </w:rPr>
        <w:t>10.3异常低价的处理</w:t>
      </w:r>
    </w:p>
    <w:p w14:paraId="38096F67">
      <w:pPr>
        <w:pStyle w:val="2"/>
        <w:ind w:left="420" w:leftChars="0" w:firstLine="420" w:firstLineChars="0"/>
        <w:outlineLvl w:val="9"/>
        <w:rPr>
          <w:rFonts w:hint="eastAsia" w:ascii="宋体" w:hAnsi="宋体" w:eastAsia="宋体" w:cs="宋体"/>
          <w:sz w:val="24"/>
          <w:szCs w:val="24"/>
          <w:highlight w:val="none"/>
          <w:u w:val="single"/>
          <w:lang w:val="en-US" w:eastAsia="zh-CN"/>
        </w:rPr>
      </w:pPr>
      <w:r>
        <w:rPr>
          <w:rFonts w:ascii="宋体" w:hAnsi="宋体" w:eastAsia="宋体" w:cs="宋体"/>
          <w:sz w:val="21"/>
          <w:szCs w:val="21"/>
          <w:highlight w:val="none"/>
        </w:rPr>
        <w:t>招标人要综合考虑招标项目的技术、质量、安全等因素和项目建设、使用、维护、拆除、更新等全周期综合成本，科学选择评标方法。</w:t>
      </w:r>
      <w:r>
        <w:rPr>
          <w:rFonts w:ascii="宋体" w:hAnsi="宋体" w:eastAsia="宋体" w:cs="宋体"/>
          <w:sz w:val="21"/>
          <w:szCs w:val="21"/>
          <w:highlight w:val="none"/>
        </w:rPr>
        <w:br w:type="textWrapping"/>
      </w:r>
      <w:r>
        <w:rPr>
          <w:rFonts w:ascii="宋体" w:hAnsi="宋体" w:eastAsia="宋体" w:cs="宋体"/>
          <w:sz w:val="21"/>
          <w:szCs w:val="21"/>
          <w:highlight w:val="none"/>
        </w:rPr>
        <w:t>对于供应充足、潜在投标人竞争比较激烈的招标项目，招标人应明确判断“可能低于成本或者影响履约的异常低价投标”的标准和评标委员会的处理程序。</w:t>
      </w:r>
      <w:r>
        <w:rPr>
          <w:rFonts w:ascii="宋体" w:hAnsi="宋体" w:eastAsia="宋体" w:cs="宋体"/>
          <w:sz w:val="24"/>
          <w:szCs w:val="24"/>
          <w:highlight w:val="none"/>
        </w:rPr>
        <w:br w:type="textWrapping"/>
      </w:r>
      <w:r>
        <w:rPr>
          <w:rFonts w:ascii="宋体" w:hAnsi="宋体" w:eastAsia="宋体" w:cs="宋体"/>
          <w:sz w:val="21"/>
          <w:szCs w:val="21"/>
          <w:highlight w:val="none"/>
        </w:rPr>
        <w:t>“可能低于成本或者影响履约的异常低价投标”的判定标准和评标委员会的处理程序：</w:t>
      </w:r>
      <w:r>
        <w:rPr>
          <w:rFonts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                                                        </w:t>
      </w:r>
    </w:p>
    <w:p w14:paraId="750AF4F7">
      <w:pPr>
        <w:pStyle w:val="2"/>
        <w:ind w:left="420" w:leftChars="0" w:firstLine="420" w:firstLineChars="0"/>
        <w:rPr>
          <w:rFonts w:hint="default" w:eastAsia="宋体"/>
          <w:highlight w:val="none"/>
          <w:u w:val="single"/>
          <w:lang w:val="en-US" w:eastAsia="zh-CN"/>
        </w:rPr>
      </w:pPr>
      <w:r>
        <w:rPr>
          <w:rFonts w:hint="eastAsia"/>
          <w:highlight w:val="none"/>
          <w:u w:val="single"/>
          <w:lang w:val="en-US" w:eastAsia="zh-CN"/>
        </w:rPr>
        <w:t xml:space="preserve">                                                                    </w:t>
      </w:r>
    </w:p>
    <w:p w14:paraId="1204BFBF">
      <w:pPr>
        <w:pStyle w:val="73"/>
        <w:ind w:left="840"/>
        <w:outlineLvl w:val="3"/>
        <w:rPr>
          <w:rFonts w:ascii="黑体" w:hAnsi="黑体" w:eastAsia="黑体" w:cs="宋体"/>
          <w:bCs/>
          <w:i w:val="0"/>
          <w:iCs w:val="0"/>
          <w:color w:val="auto"/>
          <w:sz w:val="24"/>
          <w:szCs w:val="20"/>
          <w:highlight w:val="none"/>
        </w:rPr>
      </w:pPr>
      <w:bookmarkStart w:id="923" w:name="_Toc27164"/>
      <w:bookmarkStart w:id="924" w:name="_Toc9895"/>
      <w:bookmarkStart w:id="925" w:name="_Toc495331151"/>
      <w:r>
        <w:rPr>
          <w:rFonts w:hint="eastAsia" w:ascii="黑体" w:hAnsi="黑体" w:eastAsia="黑体" w:cs="宋体"/>
          <w:bCs/>
          <w:i w:val="0"/>
          <w:iCs w:val="0"/>
          <w:color w:val="auto"/>
          <w:sz w:val="24"/>
          <w:szCs w:val="20"/>
          <w:highlight w:val="none"/>
        </w:rPr>
        <w:t>10.</w:t>
      </w:r>
      <w:r>
        <w:rPr>
          <w:rFonts w:hint="eastAsia" w:ascii="黑体" w:hAnsi="黑体" w:eastAsia="黑体" w:cs="宋体"/>
          <w:bCs/>
          <w:i w:val="0"/>
          <w:iCs w:val="0"/>
          <w:color w:val="auto"/>
          <w:sz w:val="24"/>
          <w:szCs w:val="20"/>
          <w:highlight w:val="none"/>
          <w:lang w:val="en-US" w:eastAsia="zh-CN"/>
        </w:rPr>
        <w:t>4</w:t>
      </w:r>
      <w:r>
        <w:rPr>
          <w:rFonts w:hint="eastAsia" w:ascii="黑体" w:hAnsi="黑体" w:eastAsia="黑体" w:cs="宋体"/>
          <w:bCs/>
          <w:i w:val="0"/>
          <w:iCs w:val="0"/>
          <w:color w:val="auto"/>
          <w:sz w:val="24"/>
          <w:szCs w:val="20"/>
          <w:highlight w:val="none"/>
        </w:rPr>
        <w:t xml:space="preserve"> 招标人补充的其他内容</w:t>
      </w:r>
      <w:bookmarkEnd w:id="923"/>
      <w:bookmarkEnd w:id="924"/>
      <w:bookmarkEnd w:id="925"/>
    </w:p>
    <w:p w14:paraId="71C42B66">
      <w:pPr>
        <w:spacing w:line="360" w:lineRule="auto"/>
        <w:ind w:firstLine="420" w:firstLineChars="200"/>
        <w:rPr>
          <w:rFonts w:hint="eastAsia"/>
          <w:color w:val="auto"/>
          <w:highlight w:val="none"/>
        </w:rPr>
      </w:pPr>
      <w:r>
        <w:rPr>
          <w:rFonts w:hint="eastAsia"/>
          <w:color w:val="auto"/>
          <w:highlight w:val="none"/>
        </w:rPr>
        <w:t>招标人补充的其他内容：见投标人须知前附表</w:t>
      </w:r>
      <w:bookmarkEnd w:id="917"/>
      <w:bookmarkEnd w:id="918"/>
      <w:bookmarkEnd w:id="919"/>
      <w:bookmarkEnd w:id="920"/>
      <w:bookmarkEnd w:id="921"/>
      <w:bookmarkEnd w:id="922"/>
    </w:p>
    <w:p w14:paraId="6AE22A5F">
      <w:pPr>
        <w:spacing w:line="360" w:lineRule="auto"/>
        <w:rPr>
          <w:rFonts w:hint="eastAsia"/>
          <w:color w:val="auto"/>
          <w:highlight w:val="none"/>
        </w:rPr>
      </w:pPr>
    </w:p>
    <w:p w14:paraId="2D734C2E">
      <w:pPr>
        <w:pStyle w:val="5"/>
        <w:spacing w:before="156"/>
        <w:rPr>
          <w:rFonts w:hint="eastAsia" w:ascii="Times New Roman" w:hAnsi="Times New Roman"/>
          <w:color w:val="auto"/>
          <w:highlight w:val="none"/>
        </w:rPr>
      </w:pPr>
      <w:r>
        <w:rPr>
          <w:color w:val="auto"/>
          <w:highlight w:val="none"/>
        </w:rPr>
        <w:br w:type="page"/>
      </w:r>
      <w:bookmarkStart w:id="926" w:name="_Toc16531"/>
      <w:bookmarkStart w:id="927" w:name="_Toc15902"/>
      <w:bookmarkStart w:id="928" w:name="_Toc27443"/>
      <w:bookmarkStart w:id="929" w:name="_Toc31201_WPSOffice_Level2"/>
      <w:bookmarkStart w:id="930" w:name="_Toc469078714"/>
      <w:bookmarkStart w:id="931" w:name="_Toc412661731"/>
      <w:bookmarkStart w:id="932" w:name="_Toc20642"/>
      <w:bookmarkStart w:id="933" w:name="_Toc467365434"/>
      <w:bookmarkStart w:id="934" w:name="_Toc24159"/>
      <w:bookmarkStart w:id="935" w:name="_Toc519085333"/>
      <w:r>
        <w:rPr>
          <w:rFonts w:hint="eastAsia"/>
          <w:color w:val="auto"/>
          <w:sz w:val="28"/>
          <w:szCs w:val="28"/>
          <w:highlight w:val="none"/>
        </w:rPr>
        <w:t>附件：投标</w:t>
      </w:r>
      <w:r>
        <w:rPr>
          <w:color w:val="auto"/>
          <w:sz w:val="28"/>
          <w:szCs w:val="28"/>
          <w:highlight w:val="none"/>
        </w:rPr>
        <w:t>人资质条件、能力和信誉</w:t>
      </w:r>
      <w:bookmarkEnd w:id="926"/>
      <w:bookmarkEnd w:id="927"/>
      <w:bookmarkEnd w:id="928"/>
      <w:bookmarkEnd w:id="929"/>
      <w:bookmarkEnd w:id="930"/>
      <w:bookmarkEnd w:id="931"/>
      <w:bookmarkEnd w:id="932"/>
      <w:bookmarkEnd w:id="933"/>
      <w:bookmarkEnd w:id="934"/>
      <w:bookmarkEnd w:id="935"/>
    </w:p>
    <w:p w14:paraId="76E0166A">
      <w:pPr>
        <w:spacing w:line="400" w:lineRule="exact"/>
        <w:rPr>
          <w:rFonts w:hint="eastAsia"/>
          <w:color w:val="auto"/>
          <w:szCs w:val="21"/>
          <w:highlight w:val="none"/>
          <w:u w:val="single"/>
        </w:rPr>
      </w:pPr>
    </w:p>
    <w:p w14:paraId="2357C1CC">
      <w:pPr>
        <w:spacing w:line="400" w:lineRule="exact"/>
        <w:rPr>
          <w:rFonts w:hint="eastAsia"/>
          <w:color w:val="auto"/>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rFonts w:hint="eastAsia"/>
          <w:color w:val="auto"/>
          <w:szCs w:val="21"/>
          <w:highlight w:val="none"/>
        </w:rPr>
        <w:t>（</w:t>
      </w:r>
      <w:r>
        <w:rPr>
          <w:color w:val="auto"/>
          <w:szCs w:val="21"/>
          <w:highlight w:val="none"/>
        </w:rPr>
        <w:t>标段</w:t>
      </w:r>
      <w:r>
        <w:rPr>
          <w:rFonts w:hint="eastAsia"/>
          <w:color w:val="auto"/>
          <w:szCs w:val="21"/>
          <w:highlight w:val="none"/>
        </w:rPr>
        <w:t>名称）工程总承包</w:t>
      </w:r>
    </w:p>
    <w:tbl>
      <w:tblPr>
        <w:tblStyle w:val="39"/>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500"/>
        <w:gridCol w:w="4680"/>
        <w:gridCol w:w="720"/>
        <w:gridCol w:w="900"/>
      </w:tblGrid>
      <w:tr w14:paraId="00EA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top"/>
          </w:tcPr>
          <w:p w14:paraId="72532F8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w:t>
            </w:r>
          </w:p>
        </w:tc>
        <w:tc>
          <w:tcPr>
            <w:tcW w:w="6900" w:type="dxa"/>
            <w:gridSpan w:val="3"/>
            <w:noWrap w:val="0"/>
            <w:vAlign w:val="top"/>
          </w:tcPr>
          <w:p w14:paraId="52C2E29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要求</w:t>
            </w:r>
          </w:p>
        </w:tc>
        <w:tc>
          <w:tcPr>
            <w:tcW w:w="900" w:type="dxa"/>
            <w:noWrap w:val="0"/>
            <w:vAlign w:val="top"/>
          </w:tcPr>
          <w:p w14:paraId="47821AD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备注</w:t>
            </w:r>
          </w:p>
        </w:tc>
      </w:tr>
      <w:tr w14:paraId="44CC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27D00AE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资质</w:t>
            </w:r>
          </w:p>
          <w:p w14:paraId="3A060DF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条件</w:t>
            </w:r>
          </w:p>
        </w:tc>
        <w:tc>
          <w:tcPr>
            <w:tcW w:w="6900" w:type="dxa"/>
            <w:gridSpan w:val="3"/>
            <w:noWrap w:val="0"/>
            <w:vAlign w:val="top"/>
          </w:tcPr>
          <w:p w14:paraId="3C77D8DB">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900" w:type="dxa"/>
            <w:noWrap w:val="0"/>
            <w:vAlign w:val="top"/>
          </w:tcPr>
          <w:p w14:paraId="14B8661D">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CDF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52AF611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财务</w:t>
            </w:r>
          </w:p>
          <w:p w14:paraId="6AA2F67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top"/>
          </w:tcPr>
          <w:p w14:paraId="598F5F89">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09583868">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1B7A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1693252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业绩</w:t>
            </w:r>
          </w:p>
          <w:p w14:paraId="260E472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center"/>
          </w:tcPr>
          <w:p w14:paraId="24E03F6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13DCD2DB">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D9A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3E56089A">
            <w:pPr>
              <w:keepNext w:val="0"/>
              <w:keepLines w:val="0"/>
              <w:suppressLineNumbers w:val="0"/>
              <w:spacing w:before="0" w:beforeAutospacing="0" w:after="0" w:afterAutospacing="0" w:line="36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信誉</w:t>
            </w:r>
          </w:p>
          <w:p w14:paraId="19C2CBEF">
            <w:pPr>
              <w:keepNext w:val="0"/>
              <w:keepLines w:val="0"/>
              <w:suppressLineNumbers w:val="0"/>
              <w:spacing w:before="0" w:beforeAutospacing="0" w:after="0" w:afterAutospacing="0" w:line="36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top"/>
          </w:tcPr>
          <w:p w14:paraId="333C5848">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1.</w:t>
            </w:r>
            <w:r>
              <w:rPr>
                <w:rFonts w:hint="eastAsia" w:ascii="Calibri" w:hAnsi="Calibri" w:eastAsia="宋体" w:cs="Times New Roman"/>
                <w:color w:val="auto"/>
                <w:highlight w:val="none"/>
              </w:rPr>
              <w:t>没有被依法暂停或取消投标资格；</w:t>
            </w:r>
          </w:p>
          <w:p w14:paraId="62EA9B57">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2.</w:t>
            </w:r>
            <w:r>
              <w:rPr>
                <w:rFonts w:hint="eastAsia" w:ascii="Calibri" w:hAnsi="Calibri" w:eastAsia="宋体" w:cs="Times New Roman"/>
                <w:color w:val="auto"/>
                <w:highlight w:val="none"/>
              </w:rPr>
              <w:t>没有被责令停产停业、暂扣或者吊销许可证、暂扣或者吊销执照；</w:t>
            </w:r>
            <w:r>
              <w:rPr>
                <w:rFonts w:ascii="Calibri" w:hAnsi="Calibri" w:eastAsia="宋体" w:cs="Times New Roman"/>
                <w:color w:val="auto"/>
                <w:highlight w:val="none"/>
              </w:rPr>
              <w:t xml:space="preserve"> </w:t>
            </w:r>
          </w:p>
          <w:p w14:paraId="27998721">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3.</w:t>
            </w:r>
            <w:r>
              <w:rPr>
                <w:rFonts w:hint="eastAsia" w:ascii="Calibri" w:hAnsi="Calibri" w:eastAsia="宋体" w:cs="Times New Roman"/>
                <w:color w:val="auto"/>
                <w:highlight w:val="none"/>
              </w:rPr>
              <w:t>没有进入清算程序，或被宣告破产，或其他丧失履约能力的情形；</w:t>
            </w:r>
          </w:p>
          <w:p w14:paraId="37F0CC55">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4.</w:t>
            </w:r>
            <w:r>
              <w:rPr>
                <w:rFonts w:hint="eastAsia" w:ascii="Calibri" w:hAnsi="Calibri" w:eastAsia="宋体" w:cs="Times New Roman"/>
                <w:color w:val="auto"/>
                <w:highlight w:val="none"/>
              </w:rPr>
              <w:t>在最近三年内没有发生重大工程质量问题；</w:t>
            </w:r>
          </w:p>
          <w:p w14:paraId="76C4CAAD">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5.</w:t>
            </w:r>
            <w:r>
              <w:rPr>
                <w:rFonts w:hint="eastAsia" w:ascii="Calibri" w:hAnsi="Calibri" w:eastAsia="宋体" w:cs="Times New Roman"/>
                <w:color w:val="auto"/>
                <w:highlight w:val="none"/>
              </w:rPr>
              <w:t>没有被工商行政管理部门在“国家企业信用信息公示系统”（</w:t>
            </w:r>
            <w:r>
              <w:rPr>
                <w:rFonts w:ascii="Calibri" w:hAnsi="Calibri" w:eastAsia="宋体" w:cs="Times New Roman"/>
                <w:color w:val="auto"/>
                <w:highlight w:val="none"/>
              </w:rPr>
              <w:t xml:space="preserve"> www.gsxt.gov.cn</w:t>
            </w:r>
            <w:r>
              <w:rPr>
                <w:rFonts w:hint="eastAsia" w:ascii="Calibri" w:hAnsi="Calibri" w:eastAsia="宋体" w:cs="Times New Roman"/>
                <w:color w:val="auto"/>
                <w:highlight w:val="none"/>
              </w:rPr>
              <w:t>）中列入严重违法失信企业名单；</w:t>
            </w:r>
          </w:p>
          <w:p w14:paraId="79CAFB50">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6.</w:t>
            </w:r>
            <w:r>
              <w:rPr>
                <w:rFonts w:hint="eastAsia" w:ascii="Calibri" w:hAnsi="Calibri" w:eastAsia="宋体" w:cs="Times New Roman"/>
                <w:color w:val="auto"/>
                <w:highlight w:val="none"/>
              </w:rPr>
              <w:t xml:space="preserve"> 没有被有关部门依法在</w:t>
            </w:r>
            <w:r>
              <w:rPr>
                <w:rFonts w:ascii="Calibri" w:hAnsi="Calibri" w:eastAsia="宋体" w:cs="Times New Roman"/>
                <w:color w:val="auto"/>
                <w:highlight w:val="none"/>
              </w:rPr>
              <w:t>“</w:t>
            </w:r>
            <w:r>
              <w:rPr>
                <w:rFonts w:hint="eastAsia" w:ascii="Calibri" w:hAnsi="Calibri" w:eastAsia="宋体" w:cs="Times New Roman"/>
                <w:color w:val="auto"/>
                <w:highlight w:val="none"/>
              </w:rPr>
              <w:t>信用中国</w:t>
            </w:r>
            <w:r>
              <w:rPr>
                <w:rFonts w:ascii="Calibri" w:hAnsi="Calibri" w:eastAsia="宋体" w:cs="Times New Roman"/>
                <w:color w:val="auto"/>
                <w:highlight w:val="none"/>
              </w:rPr>
              <w:t>”</w:t>
            </w:r>
            <w:r>
              <w:rPr>
                <w:rFonts w:hint="eastAsia" w:ascii="Calibri" w:hAnsi="Calibri" w:eastAsia="宋体" w:cs="Times New Roman"/>
                <w:color w:val="auto"/>
                <w:highlight w:val="none"/>
              </w:rPr>
              <w:t>网站（</w:t>
            </w:r>
            <w:r>
              <w:rPr>
                <w:rFonts w:ascii="Calibri" w:hAnsi="Calibri" w:eastAsia="宋体" w:cs="Times New Roman"/>
                <w:color w:val="auto"/>
                <w:highlight w:val="none"/>
              </w:rPr>
              <w:fldChar w:fldCharType="begin"/>
            </w:r>
            <w:r>
              <w:rPr>
                <w:rFonts w:ascii="Calibri" w:hAnsi="Calibri" w:eastAsia="宋体" w:cs="Times New Roman"/>
                <w:color w:val="auto"/>
                <w:highlight w:val="none"/>
              </w:rPr>
              <w:instrText xml:space="preserve"> HYPERLINK http://www.creditchina.gov.cn/ </w:instrText>
            </w:r>
            <w:r>
              <w:rPr>
                <w:rFonts w:ascii="Calibri" w:hAnsi="Calibri" w:eastAsia="宋体" w:cs="Times New Roman"/>
                <w:color w:val="auto"/>
                <w:highlight w:val="none"/>
              </w:rPr>
              <w:fldChar w:fldCharType="separate"/>
            </w:r>
            <w:r>
              <w:rPr>
                <w:rFonts w:ascii="Calibri" w:hAnsi="Calibri" w:eastAsia="宋体" w:cs="Times New Roman"/>
                <w:color w:val="auto"/>
                <w:highlight w:val="none"/>
              </w:rPr>
              <w:t>www.creditchina.gov.cn</w:t>
            </w:r>
            <w:r>
              <w:rPr>
                <w:rFonts w:ascii="Calibri" w:hAnsi="Calibri" w:eastAsia="宋体" w:cs="Times New Roman"/>
                <w:color w:val="auto"/>
                <w:highlight w:val="none"/>
              </w:rPr>
              <w:fldChar w:fldCharType="end"/>
            </w:r>
            <w:r>
              <w:rPr>
                <w:rFonts w:hint="eastAsia" w:ascii="Calibri" w:hAnsi="Calibri" w:eastAsia="宋体" w:cs="Times New Roman"/>
                <w:color w:val="auto"/>
                <w:highlight w:val="none"/>
              </w:rPr>
              <w:t>）列入信用联合惩戒对象名单和失信被执行人名单；</w:t>
            </w:r>
          </w:p>
          <w:p w14:paraId="020CF95B">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7.</w:t>
            </w:r>
            <w:r>
              <w:rPr>
                <w:rFonts w:hint="eastAsia" w:ascii="Calibri" w:hAnsi="Calibri" w:eastAsia="宋体" w:cs="Times New Roman"/>
                <w:color w:val="auto"/>
                <w:highlight w:val="none"/>
              </w:rPr>
              <w:t>在近三年内投标人或其法定代表人、拟委任的项目负责人没有行贿犯罪行为；</w:t>
            </w:r>
          </w:p>
          <w:p w14:paraId="3E686D29">
            <w:pPr>
              <w:keepNext w:val="0"/>
              <w:keepLines w:val="0"/>
              <w:suppressLineNumbers w:val="0"/>
              <w:spacing w:before="0" w:beforeAutospacing="0" w:after="0" w:afterAutospacing="0" w:line="36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highlight w:val="none"/>
              </w:rPr>
              <w:t>8.</w:t>
            </w:r>
            <w:r>
              <w:rPr>
                <w:rFonts w:hint="eastAsia" w:ascii="Calibri" w:hAnsi="Calibri" w:eastAsia="宋体" w:cs="Times New Roman"/>
                <w:color w:val="auto"/>
                <w:highlight w:val="none"/>
              </w:rPr>
              <w:t>不存在法律法规或投标人须知前附表第</w:t>
            </w:r>
            <w:r>
              <w:rPr>
                <w:rFonts w:ascii="Calibri" w:hAnsi="Calibri" w:eastAsia="宋体" w:cs="Times New Roman"/>
                <w:color w:val="auto"/>
                <w:highlight w:val="none"/>
              </w:rPr>
              <w:t>1.4.3</w:t>
            </w:r>
            <w:r>
              <w:rPr>
                <w:rFonts w:hint="eastAsia" w:ascii="Calibri" w:hAnsi="Calibri" w:eastAsia="宋体" w:cs="Times New Roman"/>
                <w:color w:val="auto"/>
                <w:highlight w:val="none"/>
              </w:rPr>
              <w:t>（</w:t>
            </w:r>
            <w:r>
              <w:rPr>
                <w:rFonts w:ascii="Calibri" w:hAnsi="Calibri" w:eastAsia="宋体" w:cs="Times New Roman"/>
                <w:color w:val="auto"/>
                <w:highlight w:val="none"/>
              </w:rPr>
              <w:t>19</w:t>
            </w:r>
            <w:r>
              <w:rPr>
                <w:rFonts w:hint="eastAsia" w:ascii="Calibri" w:hAnsi="Calibri" w:eastAsia="宋体" w:cs="Times New Roman"/>
                <w:color w:val="auto"/>
                <w:highlight w:val="none"/>
              </w:rPr>
              <w:t>）目规定的不得存在的其他情形。</w:t>
            </w:r>
          </w:p>
        </w:tc>
        <w:tc>
          <w:tcPr>
            <w:tcW w:w="900" w:type="dxa"/>
            <w:noWrap w:val="0"/>
            <w:vAlign w:val="top"/>
          </w:tcPr>
          <w:p w14:paraId="433DFBC0">
            <w:pPr>
              <w:keepNext w:val="0"/>
              <w:keepLines w:val="0"/>
              <w:suppressLineNumbers w:val="0"/>
              <w:spacing w:before="0" w:beforeAutospacing="0" w:after="0" w:afterAutospacing="0" w:line="360" w:lineRule="exact"/>
              <w:ind w:left="0" w:right="0"/>
              <w:rPr>
                <w:rFonts w:hint="eastAsia" w:ascii="Calibri" w:hAnsi="Calibri" w:eastAsia="宋体" w:cs="Times New Roman"/>
                <w:color w:val="auto"/>
                <w:szCs w:val="21"/>
                <w:highlight w:val="none"/>
              </w:rPr>
            </w:pPr>
          </w:p>
        </w:tc>
      </w:tr>
      <w:tr w14:paraId="600A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68DEFA2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top"/>
          </w:tcPr>
          <w:p w14:paraId="761A15B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岗位</w:t>
            </w:r>
          </w:p>
        </w:tc>
        <w:tc>
          <w:tcPr>
            <w:tcW w:w="4680" w:type="dxa"/>
            <w:noWrap w:val="0"/>
            <w:vAlign w:val="top"/>
          </w:tcPr>
          <w:p w14:paraId="41FFBF0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资格要求</w:t>
            </w:r>
          </w:p>
        </w:tc>
        <w:tc>
          <w:tcPr>
            <w:tcW w:w="720" w:type="dxa"/>
            <w:noWrap w:val="0"/>
            <w:vAlign w:val="top"/>
          </w:tcPr>
          <w:p w14:paraId="3522737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900" w:type="dxa"/>
            <w:noWrap w:val="0"/>
            <w:vAlign w:val="top"/>
          </w:tcPr>
          <w:p w14:paraId="2AD08A03">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8AE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41F0019A">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11BE6857">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491B3217">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资格</w:t>
            </w:r>
          </w:p>
        </w:tc>
        <w:tc>
          <w:tcPr>
            <w:tcW w:w="1500" w:type="dxa"/>
            <w:noWrap w:val="0"/>
            <w:vAlign w:val="center"/>
          </w:tcPr>
          <w:p w14:paraId="754EA339">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213CA8B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经理</w:t>
            </w:r>
          </w:p>
        </w:tc>
        <w:tc>
          <w:tcPr>
            <w:tcW w:w="4680" w:type="dxa"/>
            <w:noWrap w:val="0"/>
            <w:vAlign w:val="center"/>
          </w:tcPr>
          <w:p w14:paraId="60AB0E01">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720" w:type="dxa"/>
            <w:noWrap w:val="0"/>
            <w:vAlign w:val="center"/>
          </w:tcPr>
          <w:p w14:paraId="06267DC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304926D5">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73F2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1993079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设计</w:t>
            </w:r>
          </w:p>
          <w:p w14:paraId="4DA5FFB6">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70239E6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资格</w:t>
            </w:r>
          </w:p>
        </w:tc>
        <w:tc>
          <w:tcPr>
            <w:tcW w:w="1500" w:type="dxa"/>
            <w:noWrap w:val="0"/>
            <w:vAlign w:val="center"/>
          </w:tcPr>
          <w:p w14:paraId="38F34123">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设计</w:t>
            </w:r>
          </w:p>
          <w:p w14:paraId="58401F8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tc>
        <w:tc>
          <w:tcPr>
            <w:tcW w:w="4680" w:type="dxa"/>
            <w:noWrap w:val="0"/>
            <w:vAlign w:val="center"/>
          </w:tcPr>
          <w:p w14:paraId="42887BF2">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720" w:type="dxa"/>
            <w:noWrap w:val="0"/>
            <w:vAlign w:val="center"/>
          </w:tcPr>
          <w:p w14:paraId="168820E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5C25C9B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F5F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948" w:type="dxa"/>
            <w:noWrap w:val="0"/>
            <w:vAlign w:val="center"/>
          </w:tcPr>
          <w:p w14:paraId="69D734EA">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施工</w:t>
            </w:r>
          </w:p>
          <w:p w14:paraId="2E0A934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76222A2F">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资格</w:t>
            </w:r>
          </w:p>
        </w:tc>
        <w:tc>
          <w:tcPr>
            <w:tcW w:w="1500" w:type="dxa"/>
            <w:noWrap w:val="0"/>
            <w:vAlign w:val="center"/>
          </w:tcPr>
          <w:p w14:paraId="757F32D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施工</w:t>
            </w:r>
          </w:p>
          <w:p w14:paraId="78A79DCB">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tc>
        <w:tc>
          <w:tcPr>
            <w:tcW w:w="4680" w:type="dxa"/>
            <w:noWrap w:val="0"/>
            <w:vAlign w:val="center"/>
          </w:tcPr>
          <w:p w14:paraId="213016DB">
            <w:pPr>
              <w:keepNext w:val="0"/>
              <w:keepLines w:val="0"/>
              <w:suppressLineNumbers w:val="0"/>
              <w:autoSpaceDE w:val="0"/>
              <w:autoSpaceDN w:val="0"/>
              <w:adjustRightInd w:val="0"/>
              <w:spacing w:before="0" w:beforeAutospacing="0" w:after="0" w:afterAutospacing="0"/>
              <w:ind w:left="0" w:right="0"/>
              <w:rPr>
                <w:rFonts w:hint="eastAsia" w:ascii="Calibri" w:hAnsi="Calibri" w:eastAsia="宋体" w:cs="Times New Roman"/>
                <w:color w:val="auto"/>
                <w:highlight w:val="none"/>
              </w:rPr>
            </w:pPr>
          </w:p>
        </w:tc>
        <w:tc>
          <w:tcPr>
            <w:tcW w:w="720" w:type="dxa"/>
            <w:noWrap w:val="0"/>
            <w:vAlign w:val="center"/>
          </w:tcPr>
          <w:p w14:paraId="359C8CE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3FA72CF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77FA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48" w:type="dxa"/>
            <w:vMerge w:val="restart"/>
            <w:noWrap w:val="0"/>
            <w:vAlign w:val="center"/>
          </w:tcPr>
          <w:p w14:paraId="582E558A">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p>
          <w:p w14:paraId="29E4FAB0">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5417351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管理</w:t>
            </w:r>
          </w:p>
          <w:p w14:paraId="3FC35D68">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机构</w:t>
            </w:r>
          </w:p>
          <w:p w14:paraId="4D27FA33">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其他</w:t>
            </w:r>
          </w:p>
          <w:p w14:paraId="28A9E99D">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主要</w:t>
            </w:r>
          </w:p>
          <w:p w14:paraId="1511A31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人员</w:t>
            </w:r>
          </w:p>
        </w:tc>
        <w:tc>
          <w:tcPr>
            <w:tcW w:w="1500" w:type="dxa"/>
            <w:noWrap w:val="0"/>
            <w:vAlign w:val="center"/>
          </w:tcPr>
          <w:p w14:paraId="36D8BADF">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p>
        </w:tc>
        <w:tc>
          <w:tcPr>
            <w:tcW w:w="4680" w:type="dxa"/>
            <w:noWrap w:val="0"/>
            <w:vAlign w:val="center"/>
          </w:tcPr>
          <w:p w14:paraId="127C4C5D">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p>
        </w:tc>
        <w:tc>
          <w:tcPr>
            <w:tcW w:w="720" w:type="dxa"/>
            <w:noWrap w:val="0"/>
            <w:vAlign w:val="center"/>
          </w:tcPr>
          <w:p w14:paraId="65DD38DF">
            <w:pPr>
              <w:keepNext w:val="0"/>
              <w:keepLines w:val="0"/>
              <w:suppressLineNumbers w:val="0"/>
              <w:autoSpaceDE w:val="0"/>
              <w:autoSpaceDN w:val="0"/>
              <w:adjustRightInd w:val="0"/>
              <w:spacing w:before="0" w:beforeAutospacing="0" w:after="0" w:afterAutospacing="0"/>
              <w:ind w:left="0" w:right="0"/>
              <w:jc w:val="center"/>
              <w:rPr>
                <w:rFonts w:hint="eastAsia" w:ascii="Calibri" w:hAnsi="Calibri" w:eastAsia="宋体" w:cs="Times New Roman"/>
                <w:color w:val="auto"/>
                <w:szCs w:val="21"/>
                <w:highlight w:val="none"/>
              </w:rPr>
            </w:pPr>
          </w:p>
        </w:tc>
        <w:tc>
          <w:tcPr>
            <w:tcW w:w="900" w:type="dxa"/>
            <w:noWrap w:val="0"/>
            <w:vAlign w:val="top"/>
          </w:tcPr>
          <w:p w14:paraId="1D7C2E02">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74E4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1446787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2BDD45D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4680" w:type="dxa"/>
            <w:noWrap w:val="0"/>
            <w:vAlign w:val="center"/>
          </w:tcPr>
          <w:p w14:paraId="75E46F7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720" w:type="dxa"/>
            <w:noWrap w:val="0"/>
            <w:vAlign w:val="center"/>
          </w:tcPr>
          <w:p w14:paraId="341FA60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4A56E525">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2DBB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38E247A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1331585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21F0FB46">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p>
        </w:tc>
        <w:tc>
          <w:tcPr>
            <w:tcW w:w="720" w:type="dxa"/>
            <w:noWrap w:val="0"/>
            <w:vAlign w:val="center"/>
          </w:tcPr>
          <w:p w14:paraId="076A96E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2BA7309A">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0A24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0D49BB4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3A5BE2D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41B67B31">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p>
        </w:tc>
        <w:tc>
          <w:tcPr>
            <w:tcW w:w="720" w:type="dxa"/>
            <w:noWrap w:val="0"/>
            <w:vAlign w:val="center"/>
          </w:tcPr>
          <w:p w14:paraId="6CEA632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21FB198F">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7D81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0C05F72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6E9798C0">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38A730F5">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p>
        </w:tc>
        <w:tc>
          <w:tcPr>
            <w:tcW w:w="720" w:type="dxa"/>
            <w:noWrap w:val="0"/>
            <w:vAlign w:val="center"/>
          </w:tcPr>
          <w:p w14:paraId="0E7B4D1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036263EF">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0F90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8" w:type="dxa"/>
            <w:vMerge w:val="continue"/>
            <w:noWrap w:val="0"/>
            <w:vAlign w:val="top"/>
          </w:tcPr>
          <w:p w14:paraId="7B9B847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5E47A9B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69D0E0AF">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pacing w:val="-4"/>
                <w:szCs w:val="21"/>
                <w:highlight w:val="none"/>
              </w:rPr>
            </w:pPr>
          </w:p>
        </w:tc>
        <w:tc>
          <w:tcPr>
            <w:tcW w:w="720" w:type="dxa"/>
            <w:noWrap w:val="0"/>
            <w:vAlign w:val="center"/>
          </w:tcPr>
          <w:p w14:paraId="0924228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4475944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7DD3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8" w:type="dxa"/>
            <w:vMerge w:val="continue"/>
            <w:noWrap w:val="0"/>
            <w:vAlign w:val="top"/>
          </w:tcPr>
          <w:p w14:paraId="4F968A0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78649E7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7579D1B0">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pacing w:val="-4"/>
                <w:szCs w:val="21"/>
                <w:highlight w:val="none"/>
              </w:rPr>
            </w:pPr>
          </w:p>
        </w:tc>
        <w:tc>
          <w:tcPr>
            <w:tcW w:w="720" w:type="dxa"/>
            <w:noWrap w:val="0"/>
            <w:vAlign w:val="center"/>
          </w:tcPr>
          <w:p w14:paraId="765A739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275704D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3AE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448" w:type="dxa"/>
            <w:gridSpan w:val="2"/>
            <w:noWrap w:val="0"/>
            <w:vAlign w:val="top"/>
          </w:tcPr>
          <w:p w14:paraId="7AC95BB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项目管理机构</w:t>
            </w:r>
          </w:p>
          <w:p w14:paraId="70FD95D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主要人员</w:t>
            </w:r>
          </w:p>
        </w:tc>
        <w:tc>
          <w:tcPr>
            <w:tcW w:w="5400" w:type="dxa"/>
            <w:gridSpan w:val="2"/>
            <w:noWrap w:val="0"/>
            <w:vAlign w:val="top"/>
          </w:tcPr>
          <w:p w14:paraId="01AD9A9F">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1. 项目管理机构主要人员不得相互兼职。</w:t>
            </w:r>
          </w:p>
          <w:p w14:paraId="4CAE6F14">
            <w:pPr>
              <w:keepNext w:val="0"/>
              <w:keepLines w:val="0"/>
              <w:suppressLineNumbers w:val="0"/>
              <w:autoSpaceDE w:val="0"/>
              <w:autoSpaceDN w:val="0"/>
              <w:spacing w:before="0" w:beforeAutospacing="0" w:after="0" w:afterAutospacing="0" w:line="319" w:lineRule="exact"/>
              <w:ind w:left="315" w:right="0" w:hanging="315" w:hangingChars="150"/>
              <w:jc w:val="left"/>
              <w:rPr>
                <w:rFonts w:ascii="Calibri" w:hAnsi="Calibri" w:eastAsia="宋体" w:cs="Times New Roman"/>
                <w:color w:val="auto"/>
                <w:highlight w:val="none"/>
              </w:rPr>
            </w:pPr>
            <w:r>
              <w:rPr>
                <w:rFonts w:hint="eastAsia" w:ascii="Calibri" w:hAnsi="Calibri" w:eastAsia="宋体" w:cs="Times New Roman"/>
                <w:color w:val="auto"/>
                <w:highlight w:val="none"/>
              </w:rPr>
              <w:t>2. 均应当在投标人处注册执业或岗位登记，且</w:t>
            </w:r>
            <w:r>
              <w:rPr>
                <w:rFonts w:ascii="Calibri" w:hAnsi="Calibri" w:eastAsia="宋体" w:cs="Times New Roman"/>
                <w:color w:val="auto"/>
                <w:highlight w:val="none"/>
              </w:rPr>
              <w:t>社会保险缴费单位应</w:t>
            </w:r>
            <w:r>
              <w:rPr>
                <w:rFonts w:hint="eastAsia" w:ascii="Calibri" w:hAnsi="Calibri" w:eastAsia="宋体" w:cs="Times New Roman"/>
                <w:color w:val="auto"/>
                <w:highlight w:val="none"/>
              </w:rPr>
              <w:t>是投标人。</w:t>
            </w:r>
          </w:p>
        </w:tc>
        <w:tc>
          <w:tcPr>
            <w:tcW w:w="900" w:type="dxa"/>
            <w:noWrap w:val="0"/>
            <w:vAlign w:val="top"/>
          </w:tcPr>
          <w:p w14:paraId="6251268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5A9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64F6255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施工机械设备要求</w:t>
            </w:r>
          </w:p>
        </w:tc>
        <w:tc>
          <w:tcPr>
            <w:tcW w:w="5400" w:type="dxa"/>
            <w:gridSpan w:val="2"/>
            <w:noWrap w:val="0"/>
            <w:vAlign w:val="top"/>
          </w:tcPr>
          <w:p w14:paraId="708ACB8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48F1D24D">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1272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74318DE3">
            <w:pPr>
              <w:keepNext w:val="0"/>
              <w:keepLines w:val="0"/>
              <w:suppressLineNumbers w:val="0"/>
              <w:autoSpaceDE w:val="0"/>
              <w:autoSpaceDN w:val="0"/>
              <w:spacing w:before="0" w:beforeAutospacing="0" w:after="0" w:afterAutospacing="0" w:line="319" w:lineRule="exact"/>
              <w:ind w:left="0" w:right="0"/>
              <w:jc w:val="center"/>
              <w:rPr>
                <w:rFonts w:ascii="Calibri" w:hAnsi="Calibri" w:eastAsia="宋体" w:cs="Times New Roman"/>
                <w:color w:val="auto"/>
                <w:highlight w:val="none"/>
              </w:rPr>
            </w:pPr>
            <w:r>
              <w:rPr>
                <w:rFonts w:hint="eastAsia" w:ascii="Calibri" w:hAnsi="Calibri" w:eastAsia="宋体" w:cs="Times New Roman"/>
                <w:color w:val="auto"/>
                <w:highlight w:val="none"/>
              </w:rPr>
              <w:t>建筑业企业</w:t>
            </w:r>
          </w:p>
          <w:p w14:paraId="125254B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信息登记</w:t>
            </w:r>
          </w:p>
        </w:tc>
        <w:tc>
          <w:tcPr>
            <w:tcW w:w="5400" w:type="dxa"/>
            <w:gridSpan w:val="2"/>
            <w:noWrap w:val="0"/>
            <w:vAlign w:val="top"/>
          </w:tcPr>
          <w:p w14:paraId="6E81B26F">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u w:val="single"/>
              </w:rPr>
              <w:t>投标人应当在《湖北省建筑市场监督与诚信一体化工作平台》进行企业基本信息和人员信息登记。</w:t>
            </w:r>
          </w:p>
        </w:tc>
        <w:tc>
          <w:tcPr>
            <w:tcW w:w="900" w:type="dxa"/>
            <w:noWrap w:val="0"/>
            <w:vAlign w:val="top"/>
          </w:tcPr>
          <w:p w14:paraId="64208026">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0B3C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7192D6B9">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其他要求</w:t>
            </w:r>
          </w:p>
        </w:tc>
        <w:tc>
          <w:tcPr>
            <w:tcW w:w="5400" w:type="dxa"/>
            <w:gridSpan w:val="2"/>
            <w:noWrap w:val="0"/>
            <w:vAlign w:val="top"/>
          </w:tcPr>
          <w:p w14:paraId="0C4C3567">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p>
        </w:tc>
        <w:tc>
          <w:tcPr>
            <w:tcW w:w="900" w:type="dxa"/>
            <w:noWrap w:val="0"/>
            <w:vAlign w:val="top"/>
          </w:tcPr>
          <w:p w14:paraId="43317512">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0EA4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5897B37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5400" w:type="dxa"/>
            <w:gridSpan w:val="2"/>
            <w:noWrap w:val="0"/>
            <w:vAlign w:val="top"/>
          </w:tcPr>
          <w:p w14:paraId="6DB57B2C">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p>
        </w:tc>
        <w:tc>
          <w:tcPr>
            <w:tcW w:w="900" w:type="dxa"/>
            <w:noWrap w:val="0"/>
            <w:vAlign w:val="top"/>
          </w:tcPr>
          <w:p w14:paraId="1174398A">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bl>
    <w:p w14:paraId="1EDCDDAD">
      <w:pPr>
        <w:spacing w:line="360" w:lineRule="auto"/>
        <w:rPr>
          <w:rFonts w:hint="eastAsia"/>
          <w:color w:val="auto"/>
          <w:highlight w:val="none"/>
        </w:rPr>
      </w:pPr>
    </w:p>
    <w:p w14:paraId="68E4B0F6">
      <w:pPr>
        <w:spacing w:line="360" w:lineRule="auto"/>
        <w:rPr>
          <w:rFonts w:hint="eastAsia"/>
          <w:color w:val="auto"/>
          <w:highlight w:val="none"/>
        </w:rPr>
      </w:pPr>
    </w:p>
    <w:p w14:paraId="1461B43B">
      <w:pPr>
        <w:spacing w:line="360" w:lineRule="auto"/>
        <w:rPr>
          <w:rFonts w:hint="eastAsia"/>
          <w:color w:val="auto"/>
          <w:highlight w:val="none"/>
        </w:rPr>
      </w:pPr>
    </w:p>
    <w:p w14:paraId="7349E279">
      <w:pPr>
        <w:spacing w:line="360" w:lineRule="auto"/>
        <w:rPr>
          <w:rFonts w:hint="eastAsia"/>
          <w:color w:val="auto"/>
          <w:highlight w:val="none"/>
        </w:rPr>
      </w:pPr>
    </w:p>
    <w:p w14:paraId="077717A5">
      <w:pPr>
        <w:spacing w:line="360" w:lineRule="auto"/>
        <w:rPr>
          <w:rFonts w:hint="eastAsia"/>
          <w:color w:val="auto"/>
          <w:highlight w:val="none"/>
        </w:rPr>
      </w:pPr>
    </w:p>
    <w:p w14:paraId="279BCD7A">
      <w:pPr>
        <w:spacing w:line="360" w:lineRule="auto"/>
        <w:rPr>
          <w:rFonts w:hint="eastAsia"/>
          <w:color w:val="auto"/>
          <w:highlight w:val="none"/>
        </w:rPr>
      </w:pPr>
    </w:p>
    <w:p w14:paraId="296A8966">
      <w:pPr>
        <w:spacing w:line="360" w:lineRule="auto"/>
        <w:rPr>
          <w:rFonts w:hint="eastAsia"/>
          <w:color w:val="auto"/>
          <w:highlight w:val="none"/>
        </w:rPr>
      </w:pPr>
    </w:p>
    <w:p w14:paraId="2E4BE04B">
      <w:pPr>
        <w:spacing w:line="360" w:lineRule="auto"/>
        <w:rPr>
          <w:rFonts w:hint="eastAsia"/>
          <w:color w:val="auto"/>
          <w:highlight w:val="none"/>
        </w:rPr>
      </w:pPr>
    </w:p>
    <w:p w14:paraId="19AF6F7C">
      <w:pPr>
        <w:spacing w:line="360" w:lineRule="auto"/>
        <w:rPr>
          <w:rFonts w:hint="eastAsia"/>
          <w:color w:val="auto"/>
          <w:highlight w:val="none"/>
        </w:rPr>
      </w:pPr>
    </w:p>
    <w:p w14:paraId="3E0443C9">
      <w:pPr>
        <w:spacing w:line="360" w:lineRule="auto"/>
        <w:rPr>
          <w:rFonts w:hint="eastAsia"/>
          <w:color w:val="auto"/>
          <w:highlight w:val="none"/>
        </w:rPr>
      </w:pPr>
    </w:p>
    <w:p w14:paraId="300E0E0F">
      <w:pPr>
        <w:pStyle w:val="5"/>
        <w:spacing w:before="156"/>
        <w:rPr>
          <w:rFonts w:hint="eastAsia"/>
          <w:color w:val="auto"/>
          <w:sz w:val="24"/>
          <w:highlight w:val="none"/>
        </w:rPr>
      </w:pPr>
      <w:r>
        <w:rPr>
          <w:color w:val="auto"/>
          <w:highlight w:val="none"/>
        </w:rPr>
        <w:br w:type="page"/>
      </w:r>
      <w:bookmarkStart w:id="936" w:name="_Toc387753567"/>
      <w:bookmarkStart w:id="937" w:name="_Toc21569"/>
      <w:bookmarkStart w:id="938" w:name="_Toc10762"/>
      <w:bookmarkStart w:id="939" w:name="_Toc519085334"/>
      <w:bookmarkStart w:id="940" w:name="_Toc9708_WPSOffice_Level2"/>
      <w:bookmarkStart w:id="941" w:name="_Toc456173256"/>
      <w:bookmarkStart w:id="942" w:name="_Toc3796"/>
      <w:bookmarkStart w:id="943" w:name="_Toc13975"/>
      <w:bookmarkStart w:id="944" w:name="_Toc247514005"/>
      <w:bookmarkStart w:id="945" w:name="_Toc144974548"/>
      <w:bookmarkStart w:id="946" w:name="_Toc152042358"/>
      <w:bookmarkStart w:id="947" w:name="_Toc152045581"/>
      <w:bookmarkStart w:id="948" w:name="_Toc247527606"/>
      <w:r>
        <w:rPr>
          <w:rFonts w:hint="eastAsia"/>
          <w:color w:val="auto"/>
          <w:sz w:val="24"/>
          <w:highlight w:val="none"/>
        </w:rPr>
        <w:t>附表一</w:t>
      </w:r>
      <w:bookmarkEnd w:id="936"/>
      <w:bookmarkStart w:id="949" w:name="_Toc221950257"/>
      <w:r>
        <w:rPr>
          <w:rFonts w:hint="eastAsia"/>
          <w:color w:val="auto"/>
          <w:sz w:val="24"/>
          <w:highlight w:val="none"/>
        </w:rPr>
        <w:t>：招标文件澄清</w:t>
      </w:r>
      <w:bookmarkEnd w:id="949"/>
      <w:r>
        <w:rPr>
          <w:rFonts w:hint="eastAsia"/>
          <w:color w:val="auto"/>
          <w:sz w:val="24"/>
          <w:highlight w:val="none"/>
        </w:rPr>
        <w:t>申请函</w:t>
      </w:r>
      <w:bookmarkEnd w:id="937"/>
      <w:bookmarkEnd w:id="938"/>
      <w:bookmarkEnd w:id="939"/>
      <w:bookmarkEnd w:id="940"/>
      <w:bookmarkEnd w:id="941"/>
      <w:bookmarkEnd w:id="942"/>
      <w:bookmarkEnd w:id="943"/>
    </w:p>
    <w:p w14:paraId="4F3804AC">
      <w:pPr>
        <w:rPr>
          <w:rFonts w:hint="eastAsia"/>
          <w:color w:val="auto"/>
          <w:highlight w:val="none"/>
        </w:rPr>
      </w:pPr>
    </w:p>
    <w:p w14:paraId="136FB88B">
      <w:pPr>
        <w:rPr>
          <w:rFonts w:hint="eastAsia"/>
          <w:color w:val="auto"/>
          <w:highlight w:val="none"/>
        </w:rPr>
      </w:pPr>
    </w:p>
    <w:p w14:paraId="49A29DA1">
      <w:pPr>
        <w:rPr>
          <w:rFonts w:hint="eastAsia"/>
          <w:color w:val="auto"/>
          <w:highlight w:val="none"/>
        </w:rPr>
      </w:pPr>
    </w:p>
    <w:p w14:paraId="443CF6C4">
      <w:pPr>
        <w:rPr>
          <w:rFonts w:hint="eastAsia"/>
          <w:color w:val="auto"/>
          <w:highlight w:val="none"/>
        </w:rPr>
      </w:pPr>
    </w:p>
    <w:p w14:paraId="45CB6CEE">
      <w:pPr>
        <w:rPr>
          <w:rFonts w:hint="eastAsia"/>
          <w:color w:val="auto"/>
          <w:highlight w:val="none"/>
        </w:rPr>
      </w:pPr>
    </w:p>
    <w:p w14:paraId="16C2F569">
      <w:pPr>
        <w:jc w:val="center"/>
        <w:rPr>
          <w:rFonts w:hint="eastAsia"/>
          <w:color w:val="auto"/>
          <w:highlight w:val="none"/>
        </w:rPr>
      </w:pPr>
      <w:bookmarkStart w:id="950" w:name="_Toc22883_WPSOffice_Level1"/>
      <w:bookmarkStart w:id="951" w:name="_Toc15988_WPSOffice_Level1"/>
      <w:r>
        <w:rPr>
          <w:rFonts w:hint="eastAsia" w:ascii="黑体" w:eastAsia="黑体"/>
          <w:color w:val="auto"/>
          <w:sz w:val="28"/>
          <w:szCs w:val="28"/>
          <w:highlight w:val="none"/>
        </w:rPr>
        <w:t>招标文件澄清申请函</w:t>
      </w:r>
      <w:bookmarkEnd w:id="950"/>
      <w:bookmarkEnd w:id="951"/>
    </w:p>
    <w:p w14:paraId="54531FB8">
      <w:pPr>
        <w:spacing w:line="360" w:lineRule="auto"/>
        <w:ind w:firstLine="420" w:firstLineChars="200"/>
        <w:jc w:val="left"/>
        <w:rPr>
          <w:rFonts w:hint="eastAsia"/>
          <w:color w:val="auto"/>
          <w:highlight w:val="none"/>
          <w:u w:val="single"/>
        </w:rPr>
      </w:pPr>
      <w:bookmarkStart w:id="952" w:name="_Toc221950258"/>
      <w:r>
        <w:rPr>
          <w:rFonts w:hint="eastAsia"/>
          <w:color w:val="auto"/>
          <w:highlight w:val="none"/>
        </w:rPr>
        <w:t xml:space="preserve">                                                           编号：</w:t>
      </w:r>
      <w:r>
        <w:rPr>
          <w:rFonts w:hint="eastAsia"/>
          <w:color w:val="auto"/>
          <w:highlight w:val="none"/>
          <w:u w:val="single"/>
        </w:rPr>
        <w:t xml:space="preserve">          </w:t>
      </w:r>
    </w:p>
    <w:p w14:paraId="4FFDA798">
      <w:pPr>
        <w:spacing w:line="360" w:lineRule="auto"/>
        <w:ind w:firstLine="420" w:firstLineChars="200"/>
        <w:rPr>
          <w:rFonts w:hint="eastAsia" w:ascii="宋体" w:hAnsi="宋体"/>
          <w:color w:val="auto"/>
          <w:highlight w:val="none"/>
          <w:u w:val="single"/>
        </w:rPr>
      </w:pPr>
      <w:r>
        <w:rPr>
          <w:rFonts w:hint="eastAsia"/>
          <w:color w:val="auto"/>
          <w:highlight w:val="none"/>
          <w:u w:val="single"/>
        </w:rPr>
        <w:t xml:space="preserve">              </w:t>
      </w:r>
      <w:r>
        <w:rPr>
          <w:rFonts w:hint="eastAsia" w:ascii="宋体" w:hAnsi="宋体"/>
          <w:color w:val="auto"/>
          <w:highlight w:val="none"/>
        </w:rPr>
        <w:t>（招标人名称）</w:t>
      </w:r>
      <w:bookmarkEnd w:id="952"/>
      <w:r>
        <w:rPr>
          <w:rFonts w:hint="eastAsia" w:ascii="宋体" w:hAnsi="宋体"/>
          <w:color w:val="auto"/>
          <w:highlight w:val="none"/>
        </w:rPr>
        <w:t>：</w:t>
      </w:r>
    </w:p>
    <w:p w14:paraId="6C329931">
      <w:pPr>
        <w:spacing w:line="360" w:lineRule="auto"/>
        <w:ind w:firstLine="420" w:firstLineChars="200"/>
        <w:rPr>
          <w:rFonts w:hint="eastAsia"/>
          <w:color w:val="auto"/>
          <w:highlight w:val="none"/>
        </w:rPr>
      </w:pPr>
      <w:bookmarkStart w:id="953" w:name="_Toc221950259"/>
      <w:r>
        <w:rPr>
          <w:rFonts w:hint="eastAsia"/>
          <w:color w:val="auto"/>
          <w:highlight w:val="none"/>
        </w:rPr>
        <w:t>经过仔细</w:t>
      </w:r>
      <w:r>
        <w:rPr>
          <w:rFonts w:hint="eastAsia" w:ascii="宋体" w:hAnsi="宋体"/>
          <w:color w:val="auto"/>
          <w:highlight w:val="none"/>
        </w:rPr>
        <w:t>阅读</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（标段名称）工程总承包招标文件后，我方</w:t>
      </w:r>
      <w:r>
        <w:rPr>
          <w:rFonts w:hint="eastAsia"/>
          <w:color w:val="auto"/>
          <w:highlight w:val="none"/>
        </w:rPr>
        <w:t>申请对以下问题予以澄清：</w:t>
      </w:r>
      <w:bookmarkEnd w:id="953"/>
    </w:p>
    <w:p w14:paraId="561CDD0D">
      <w:pPr>
        <w:spacing w:line="360" w:lineRule="auto"/>
        <w:ind w:firstLine="525" w:firstLineChars="250"/>
        <w:rPr>
          <w:rFonts w:hint="eastAsia"/>
          <w:color w:val="auto"/>
          <w:highlight w:val="none"/>
        </w:rPr>
      </w:pPr>
      <w:bookmarkStart w:id="954" w:name="_Toc10025_WPSOffice_Level1"/>
      <w:bookmarkStart w:id="955" w:name="_Toc221950260"/>
      <w:bookmarkStart w:id="956" w:name="_Toc1542_WPSOffice_Level1"/>
      <w:r>
        <w:rPr>
          <w:rFonts w:hint="eastAsia"/>
          <w:color w:val="auto"/>
          <w:highlight w:val="none"/>
        </w:rPr>
        <w:t>1、………</w:t>
      </w:r>
      <w:bookmarkEnd w:id="954"/>
      <w:bookmarkEnd w:id="955"/>
      <w:bookmarkEnd w:id="956"/>
    </w:p>
    <w:p w14:paraId="5C17DE00">
      <w:pPr>
        <w:spacing w:line="360" w:lineRule="auto"/>
        <w:ind w:firstLine="525" w:firstLineChars="250"/>
        <w:rPr>
          <w:rFonts w:hint="eastAsia"/>
          <w:color w:val="auto"/>
          <w:highlight w:val="none"/>
        </w:rPr>
      </w:pPr>
      <w:bookmarkStart w:id="957" w:name="_Toc6278_WPSOffice_Level1"/>
      <w:bookmarkStart w:id="958" w:name="_Toc29964_WPSOffice_Level1"/>
      <w:bookmarkStart w:id="959" w:name="_Toc221950261"/>
      <w:r>
        <w:rPr>
          <w:rFonts w:hint="eastAsia"/>
          <w:color w:val="auto"/>
          <w:highlight w:val="none"/>
        </w:rPr>
        <w:t>2、………</w:t>
      </w:r>
      <w:bookmarkEnd w:id="957"/>
      <w:bookmarkEnd w:id="958"/>
      <w:bookmarkEnd w:id="959"/>
    </w:p>
    <w:p w14:paraId="7550E142">
      <w:pPr>
        <w:spacing w:line="360" w:lineRule="auto"/>
        <w:ind w:firstLine="525" w:firstLineChars="250"/>
        <w:rPr>
          <w:rFonts w:hint="eastAsia"/>
          <w:color w:val="auto"/>
          <w:highlight w:val="none"/>
        </w:rPr>
      </w:pPr>
      <w:r>
        <w:rPr>
          <w:rFonts w:hint="eastAsia"/>
          <w:color w:val="auto"/>
          <w:highlight w:val="none"/>
        </w:rPr>
        <w:t>………</w:t>
      </w:r>
    </w:p>
    <w:p w14:paraId="498FC532">
      <w:pPr>
        <w:spacing w:line="360" w:lineRule="auto"/>
        <w:ind w:firstLine="2415" w:firstLineChars="1150"/>
        <w:rPr>
          <w:rFonts w:hint="eastAsia"/>
          <w:color w:val="auto"/>
          <w:highlight w:val="none"/>
        </w:rPr>
      </w:pPr>
    </w:p>
    <w:p w14:paraId="4D68E3F2">
      <w:pPr>
        <w:spacing w:line="360" w:lineRule="auto"/>
        <w:rPr>
          <w:rFonts w:hint="eastAsia"/>
          <w:color w:val="auto"/>
          <w:highlight w:val="none"/>
        </w:rPr>
      </w:pPr>
      <w:r>
        <w:rPr>
          <w:rFonts w:hint="eastAsia"/>
          <w:color w:val="auto"/>
          <w:highlight w:val="none"/>
        </w:rPr>
        <w:t xml:space="preserve">  </w:t>
      </w:r>
    </w:p>
    <w:p w14:paraId="7709AEA1">
      <w:pPr>
        <w:spacing w:line="360" w:lineRule="auto"/>
        <w:rPr>
          <w:rFonts w:hint="eastAsia"/>
          <w:color w:val="auto"/>
          <w:highlight w:val="none"/>
        </w:rPr>
      </w:pPr>
    </w:p>
    <w:p w14:paraId="2DE7BC06">
      <w:pPr>
        <w:spacing w:line="360" w:lineRule="auto"/>
        <w:ind w:firstLine="2415" w:firstLineChars="1150"/>
        <w:rPr>
          <w:rFonts w:hint="eastAsia"/>
          <w:color w:val="auto"/>
          <w:highlight w:val="none"/>
        </w:rPr>
      </w:pPr>
    </w:p>
    <w:p w14:paraId="37DF430D">
      <w:pPr>
        <w:spacing w:line="360" w:lineRule="auto"/>
        <w:ind w:firstLine="2415" w:firstLineChars="1150"/>
        <w:jc w:val="right"/>
        <w:rPr>
          <w:rFonts w:hint="eastAsia"/>
          <w:color w:val="auto"/>
          <w:highlight w:val="none"/>
        </w:rPr>
      </w:pPr>
      <w:bookmarkStart w:id="960" w:name="_Toc221950262"/>
      <w:r>
        <w:rPr>
          <w:rFonts w:hint="eastAsia"/>
          <w:color w:val="auto"/>
          <w:highlight w:val="none"/>
        </w:rPr>
        <w:t>投标人：</w:t>
      </w:r>
      <w:r>
        <w:rPr>
          <w:rFonts w:hint="eastAsia"/>
          <w:color w:val="auto"/>
          <w:highlight w:val="none"/>
          <w:u w:val="single"/>
        </w:rPr>
        <w:t xml:space="preserve">                      </w:t>
      </w:r>
      <w:r>
        <w:rPr>
          <w:rFonts w:hint="eastAsia"/>
          <w:color w:val="auto"/>
          <w:highlight w:val="none"/>
        </w:rPr>
        <w:t>（盖单位章）</w:t>
      </w:r>
      <w:bookmarkEnd w:id="960"/>
    </w:p>
    <w:p w14:paraId="59F24556">
      <w:pPr>
        <w:spacing w:line="360" w:lineRule="auto"/>
        <w:ind w:firstLine="2415" w:firstLineChars="1150"/>
        <w:rPr>
          <w:rFonts w:hint="eastAsia"/>
          <w:color w:val="auto"/>
          <w:highlight w:val="none"/>
        </w:rPr>
      </w:pPr>
    </w:p>
    <w:p w14:paraId="0F927881">
      <w:pPr>
        <w:spacing w:line="360" w:lineRule="auto"/>
        <w:jc w:val="right"/>
        <w:rPr>
          <w:rFonts w:hint="eastAsia"/>
          <w:color w:val="auto"/>
          <w:highlight w:val="none"/>
        </w:rPr>
      </w:pPr>
      <w:bookmarkStart w:id="961" w:name="_Toc221950263"/>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bookmarkEnd w:id="961"/>
    </w:p>
    <w:p w14:paraId="07CE2F98">
      <w:pPr>
        <w:spacing w:line="360" w:lineRule="auto"/>
        <w:ind w:firstLine="2415" w:firstLineChars="1150"/>
        <w:rPr>
          <w:rFonts w:hint="eastAsia"/>
          <w:color w:val="auto"/>
          <w:highlight w:val="none"/>
        </w:rPr>
      </w:pPr>
    </w:p>
    <w:p w14:paraId="0480574E">
      <w:pPr>
        <w:spacing w:line="360" w:lineRule="auto"/>
        <w:ind w:firstLine="2415" w:firstLineChars="1150"/>
        <w:rPr>
          <w:rFonts w:hint="eastAsia"/>
          <w:color w:val="auto"/>
          <w:highlight w:val="none"/>
        </w:rPr>
      </w:pPr>
    </w:p>
    <w:p w14:paraId="2CA131BE">
      <w:pPr>
        <w:spacing w:line="360" w:lineRule="auto"/>
        <w:ind w:firstLine="2415" w:firstLineChars="1150"/>
        <w:rPr>
          <w:rFonts w:hint="eastAsia"/>
          <w:color w:val="auto"/>
          <w:highlight w:val="none"/>
        </w:rPr>
      </w:pPr>
    </w:p>
    <w:p w14:paraId="49CC7C06">
      <w:pPr>
        <w:spacing w:line="360" w:lineRule="auto"/>
        <w:ind w:firstLine="2415" w:firstLineChars="1150"/>
        <w:rPr>
          <w:rFonts w:hint="eastAsia"/>
          <w:color w:val="auto"/>
          <w:highlight w:val="none"/>
        </w:rPr>
      </w:pPr>
    </w:p>
    <w:p w14:paraId="545768F8">
      <w:pPr>
        <w:spacing w:line="360" w:lineRule="auto"/>
        <w:ind w:firstLine="2415" w:firstLineChars="1150"/>
        <w:rPr>
          <w:rFonts w:hint="eastAsia"/>
          <w:color w:val="auto"/>
          <w:highlight w:val="none"/>
        </w:rPr>
      </w:pPr>
    </w:p>
    <w:p w14:paraId="5B6AA5A6">
      <w:pPr>
        <w:spacing w:line="360" w:lineRule="auto"/>
        <w:ind w:firstLine="2415" w:firstLineChars="1150"/>
        <w:rPr>
          <w:rFonts w:hint="eastAsia"/>
          <w:color w:val="auto"/>
          <w:highlight w:val="none"/>
        </w:rPr>
      </w:pPr>
    </w:p>
    <w:p w14:paraId="2E0085A0">
      <w:pPr>
        <w:spacing w:line="360" w:lineRule="auto"/>
        <w:rPr>
          <w:rFonts w:hint="eastAsia" w:ascii="宋体" w:hAnsi="宋体" w:cs="宋体"/>
          <w:color w:val="auto"/>
          <w:highlight w:val="none"/>
        </w:rPr>
      </w:pPr>
      <w:bookmarkStart w:id="962" w:name="_Toc221950264"/>
      <w:r>
        <w:rPr>
          <w:rFonts w:hint="eastAsia" w:ascii="宋体" w:hAnsi="宋体" w:cs="宋体"/>
          <w:color w:val="auto"/>
          <w:highlight w:val="none"/>
        </w:rPr>
        <w:t>备注:</w:t>
      </w:r>
      <w:bookmarkEnd w:id="962"/>
      <w:r>
        <w:rPr>
          <w:rFonts w:hint="eastAsia" w:ascii="宋体" w:hAnsi="宋体" w:cs="宋体"/>
          <w:color w:val="auto"/>
          <w:highlight w:val="none"/>
        </w:rPr>
        <w:t>投标人要求招标人澄清招标文件有关问题时，适用于本格式。</w:t>
      </w:r>
    </w:p>
    <w:p w14:paraId="7D8CF38E">
      <w:pPr>
        <w:spacing w:line="360" w:lineRule="auto"/>
        <w:rPr>
          <w:rFonts w:hint="eastAsia"/>
          <w:color w:val="auto"/>
          <w:highlight w:val="none"/>
        </w:rPr>
      </w:pPr>
    </w:p>
    <w:p w14:paraId="6903177D">
      <w:pPr>
        <w:pStyle w:val="5"/>
        <w:spacing w:before="156"/>
        <w:rPr>
          <w:rFonts w:hint="eastAsia"/>
          <w:color w:val="auto"/>
          <w:sz w:val="24"/>
          <w:highlight w:val="none"/>
        </w:rPr>
      </w:pPr>
      <w:bookmarkStart w:id="963" w:name="_Toc221950265"/>
      <w:bookmarkStart w:id="964" w:name="_Toc387753568"/>
      <w:bookmarkStart w:id="965" w:name="_Toc22868"/>
      <w:bookmarkStart w:id="966" w:name="_Toc18508"/>
      <w:bookmarkStart w:id="967" w:name="_Toc5392"/>
      <w:bookmarkStart w:id="968" w:name="_Toc18604"/>
      <w:bookmarkStart w:id="969" w:name="_Toc15057_WPSOffice_Level2"/>
      <w:bookmarkStart w:id="970" w:name="_Toc29344"/>
      <w:bookmarkStart w:id="971" w:name="_Toc28517"/>
      <w:bookmarkStart w:id="972" w:name="_Toc519085335"/>
      <w:bookmarkStart w:id="973" w:name="_Toc456173257"/>
      <w:r>
        <w:rPr>
          <w:rFonts w:hint="eastAsia"/>
          <w:color w:val="auto"/>
          <w:sz w:val="24"/>
          <w:highlight w:val="none"/>
        </w:rPr>
        <w:t>附表二：</w:t>
      </w:r>
      <w:bookmarkEnd w:id="963"/>
      <w:bookmarkEnd w:id="964"/>
      <w:bookmarkStart w:id="974" w:name="_Toc221950266"/>
      <w:r>
        <w:rPr>
          <w:rFonts w:hint="eastAsia"/>
          <w:color w:val="auto"/>
          <w:sz w:val="24"/>
          <w:highlight w:val="none"/>
        </w:rPr>
        <w:t>招标文件澄清通知</w:t>
      </w:r>
      <w:bookmarkEnd w:id="965"/>
      <w:bookmarkEnd w:id="966"/>
      <w:bookmarkEnd w:id="967"/>
      <w:bookmarkEnd w:id="968"/>
      <w:bookmarkEnd w:id="969"/>
      <w:bookmarkEnd w:id="970"/>
      <w:bookmarkEnd w:id="971"/>
      <w:bookmarkEnd w:id="972"/>
      <w:bookmarkEnd w:id="973"/>
      <w:bookmarkEnd w:id="974"/>
    </w:p>
    <w:p w14:paraId="73940517">
      <w:pPr>
        <w:rPr>
          <w:rFonts w:hint="eastAsia"/>
          <w:color w:val="auto"/>
          <w:highlight w:val="none"/>
        </w:rPr>
      </w:pPr>
    </w:p>
    <w:p w14:paraId="3FC6FAAD">
      <w:pPr>
        <w:rPr>
          <w:rFonts w:hint="eastAsia"/>
          <w:color w:val="auto"/>
          <w:highlight w:val="none"/>
        </w:rPr>
      </w:pPr>
    </w:p>
    <w:p w14:paraId="300947AC">
      <w:pPr>
        <w:rPr>
          <w:rFonts w:hint="eastAsia"/>
          <w:color w:val="auto"/>
          <w:highlight w:val="none"/>
        </w:rPr>
      </w:pPr>
    </w:p>
    <w:p w14:paraId="69A058E0">
      <w:pPr>
        <w:rPr>
          <w:rFonts w:hint="eastAsia"/>
          <w:color w:val="auto"/>
          <w:highlight w:val="none"/>
        </w:rPr>
      </w:pPr>
    </w:p>
    <w:p w14:paraId="37EBF797">
      <w:pPr>
        <w:jc w:val="center"/>
        <w:rPr>
          <w:rFonts w:hint="eastAsia" w:ascii="黑体" w:eastAsia="黑体"/>
          <w:color w:val="auto"/>
          <w:sz w:val="28"/>
          <w:szCs w:val="28"/>
          <w:highlight w:val="none"/>
        </w:rPr>
      </w:pPr>
      <w:bookmarkStart w:id="975" w:name="_Toc7543_WPSOffice_Level1"/>
      <w:bookmarkStart w:id="976" w:name="_Toc7098_WPSOffice_Level1"/>
      <w:r>
        <w:rPr>
          <w:rFonts w:hint="eastAsia" w:ascii="黑体" w:eastAsia="黑体"/>
          <w:color w:val="auto"/>
          <w:sz w:val="28"/>
          <w:szCs w:val="28"/>
          <w:highlight w:val="none"/>
        </w:rPr>
        <w:t>招标文件澄清通知</w:t>
      </w:r>
      <w:bookmarkEnd w:id="975"/>
      <w:bookmarkEnd w:id="976"/>
    </w:p>
    <w:p w14:paraId="1F9D9327">
      <w:pPr>
        <w:jc w:val="center"/>
        <w:rPr>
          <w:rFonts w:hint="eastAsia"/>
          <w:color w:val="auto"/>
          <w:highlight w:val="none"/>
        </w:rPr>
      </w:pPr>
    </w:p>
    <w:p w14:paraId="34C929D5">
      <w:pPr>
        <w:spacing w:line="360" w:lineRule="auto"/>
        <w:ind w:right="420" w:firstLine="5985" w:firstLineChars="2850"/>
        <w:rPr>
          <w:rFonts w:hint="eastAsia"/>
          <w:color w:val="auto"/>
          <w:highlight w:val="none"/>
          <w:u w:val="single"/>
        </w:rPr>
      </w:pPr>
      <w:bookmarkStart w:id="977" w:name="_Toc221950267"/>
      <w:r>
        <w:rPr>
          <w:rFonts w:hint="eastAsia"/>
          <w:color w:val="auto"/>
          <w:highlight w:val="none"/>
        </w:rPr>
        <w:t>编号：</w:t>
      </w:r>
      <w:bookmarkEnd w:id="977"/>
      <w:r>
        <w:rPr>
          <w:rFonts w:hint="eastAsia"/>
          <w:color w:val="auto"/>
          <w:highlight w:val="none"/>
          <w:u w:val="single"/>
        </w:rPr>
        <w:t xml:space="preserve">             </w:t>
      </w:r>
    </w:p>
    <w:p w14:paraId="4787DE47">
      <w:pPr>
        <w:spacing w:line="360" w:lineRule="auto"/>
        <w:ind w:right="420" w:firstLine="5985" w:firstLineChars="2850"/>
        <w:rPr>
          <w:color w:val="auto"/>
          <w:highlight w:val="none"/>
        </w:rPr>
      </w:pPr>
      <w:r>
        <w:rPr>
          <w:color w:val="auto"/>
          <w:highlight w:val="none"/>
        </w:rPr>
        <w:t xml:space="preserve"> </w:t>
      </w:r>
    </w:p>
    <w:p w14:paraId="6CFDDBF9">
      <w:pPr>
        <w:spacing w:line="360" w:lineRule="auto"/>
        <w:rPr>
          <w:color w:val="auto"/>
          <w:highlight w:val="none"/>
          <w:u w:val="single"/>
        </w:rPr>
      </w:pPr>
      <w:r>
        <w:rPr>
          <w:rFonts w:hint="eastAsia"/>
          <w:color w:val="auto"/>
          <w:highlight w:val="none"/>
        </w:rPr>
        <w:t>各投标人</w:t>
      </w:r>
      <w:r>
        <w:rPr>
          <w:color w:val="auto"/>
          <w:highlight w:val="none"/>
        </w:rPr>
        <w:t>：</w:t>
      </w:r>
    </w:p>
    <w:p w14:paraId="1D02546B">
      <w:pPr>
        <w:spacing w:line="360" w:lineRule="auto"/>
        <w:ind w:firstLine="525" w:firstLineChars="250"/>
        <w:rPr>
          <w:color w:val="auto"/>
          <w:highlight w:val="none"/>
        </w:rPr>
      </w:pPr>
      <w:bookmarkStart w:id="978" w:name="_Toc221950269"/>
      <w:r>
        <w:rPr>
          <w:color w:val="auto"/>
          <w:highlight w:val="none"/>
        </w:rPr>
        <w:t>经研究，对</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w:t>
      </w:r>
      <w:r>
        <w:rPr>
          <w:color w:val="auto"/>
          <w:highlight w:val="none"/>
        </w:rPr>
        <w:t>招标文件，作如下澄清：</w:t>
      </w:r>
      <w:bookmarkEnd w:id="978"/>
    </w:p>
    <w:p w14:paraId="19C47C71">
      <w:pPr>
        <w:spacing w:line="360" w:lineRule="auto"/>
        <w:ind w:firstLine="525" w:firstLineChars="250"/>
        <w:rPr>
          <w:color w:val="auto"/>
          <w:highlight w:val="none"/>
        </w:rPr>
      </w:pPr>
      <w:bookmarkStart w:id="979" w:name="_Toc221950270"/>
      <w:bookmarkStart w:id="980" w:name="_Toc21221_WPSOffice_Level1"/>
      <w:bookmarkStart w:id="981" w:name="_Toc26010_WPSOffice_Level1"/>
      <w:r>
        <w:rPr>
          <w:color w:val="auto"/>
          <w:highlight w:val="none"/>
        </w:rPr>
        <w:t>1</w:t>
      </w:r>
      <w:bookmarkEnd w:id="979"/>
      <w:r>
        <w:rPr>
          <w:rFonts w:hint="eastAsia"/>
          <w:color w:val="auto"/>
          <w:szCs w:val="21"/>
          <w:highlight w:val="none"/>
        </w:rPr>
        <w:t>.……</w:t>
      </w:r>
      <w:bookmarkEnd w:id="980"/>
      <w:bookmarkEnd w:id="981"/>
    </w:p>
    <w:p w14:paraId="2539C757">
      <w:pPr>
        <w:spacing w:line="360" w:lineRule="auto"/>
        <w:ind w:firstLine="525" w:firstLineChars="250"/>
        <w:rPr>
          <w:rFonts w:hint="eastAsia"/>
          <w:color w:val="auto"/>
          <w:szCs w:val="21"/>
          <w:highlight w:val="none"/>
        </w:rPr>
      </w:pPr>
      <w:bookmarkStart w:id="982" w:name="_Toc221950271"/>
      <w:bookmarkStart w:id="983" w:name="_Toc30819_WPSOffice_Level1"/>
      <w:bookmarkStart w:id="984" w:name="_Toc11436_WPSOffice_Level1"/>
      <w:r>
        <w:rPr>
          <w:color w:val="auto"/>
          <w:highlight w:val="none"/>
        </w:rPr>
        <w:t>2</w:t>
      </w:r>
      <w:bookmarkEnd w:id="982"/>
      <w:r>
        <w:rPr>
          <w:rFonts w:hint="eastAsia"/>
          <w:color w:val="auto"/>
          <w:szCs w:val="21"/>
          <w:highlight w:val="none"/>
        </w:rPr>
        <w:t>.……</w:t>
      </w:r>
      <w:bookmarkEnd w:id="983"/>
      <w:bookmarkEnd w:id="984"/>
    </w:p>
    <w:p w14:paraId="5EBDDB73">
      <w:pPr>
        <w:spacing w:line="360" w:lineRule="auto"/>
        <w:ind w:firstLine="525" w:firstLineChars="250"/>
        <w:rPr>
          <w:color w:val="auto"/>
          <w:highlight w:val="none"/>
        </w:rPr>
      </w:pPr>
      <w:r>
        <w:rPr>
          <w:rFonts w:hint="eastAsia"/>
          <w:color w:val="auto"/>
          <w:szCs w:val="21"/>
          <w:highlight w:val="none"/>
        </w:rPr>
        <w:t>……</w:t>
      </w:r>
    </w:p>
    <w:p w14:paraId="41208892">
      <w:pPr>
        <w:spacing w:line="360" w:lineRule="auto"/>
        <w:ind w:firstLine="2415" w:firstLineChars="1150"/>
        <w:rPr>
          <w:rFonts w:hint="eastAsia"/>
          <w:color w:val="auto"/>
          <w:highlight w:val="none"/>
        </w:rPr>
      </w:pPr>
    </w:p>
    <w:p w14:paraId="24A32658">
      <w:pPr>
        <w:spacing w:line="360" w:lineRule="auto"/>
        <w:ind w:firstLine="2415" w:firstLineChars="1150"/>
        <w:rPr>
          <w:rFonts w:hint="eastAsia"/>
          <w:color w:val="auto"/>
          <w:highlight w:val="none"/>
        </w:rPr>
      </w:pPr>
    </w:p>
    <w:p w14:paraId="0817CF8D">
      <w:pPr>
        <w:spacing w:line="360" w:lineRule="auto"/>
        <w:rPr>
          <w:rFonts w:hint="eastAsia"/>
          <w:color w:val="auto"/>
          <w:highlight w:val="none"/>
        </w:rPr>
      </w:pPr>
      <w:r>
        <w:rPr>
          <w:rFonts w:hint="eastAsia"/>
          <w:color w:val="auto"/>
          <w:highlight w:val="none"/>
        </w:rPr>
        <w:t xml:space="preserve">    </w:t>
      </w:r>
    </w:p>
    <w:p w14:paraId="22775201">
      <w:pPr>
        <w:spacing w:line="360" w:lineRule="auto"/>
        <w:rPr>
          <w:rFonts w:hint="eastAsia"/>
          <w:color w:val="auto"/>
          <w:highlight w:val="none"/>
        </w:rPr>
      </w:pPr>
    </w:p>
    <w:p w14:paraId="18134368">
      <w:pPr>
        <w:spacing w:line="360" w:lineRule="auto"/>
        <w:ind w:firstLine="2415" w:firstLineChars="1150"/>
        <w:rPr>
          <w:rFonts w:hint="eastAsia"/>
          <w:color w:val="auto"/>
          <w:highlight w:val="none"/>
        </w:rPr>
      </w:pPr>
    </w:p>
    <w:p w14:paraId="2E87D266">
      <w:pPr>
        <w:spacing w:line="360" w:lineRule="auto"/>
        <w:ind w:firstLine="2415" w:firstLineChars="1150"/>
        <w:jc w:val="right"/>
        <w:rPr>
          <w:rFonts w:hint="eastAsia"/>
          <w:color w:val="auto"/>
          <w:highlight w:val="none"/>
          <w:u w:val="single"/>
        </w:rPr>
      </w:pPr>
      <w:bookmarkStart w:id="985" w:name="_Toc221950273"/>
      <w:r>
        <w:rPr>
          <w:rFonts w:hint="eastAsia"/>
          <w:color w:val="auto"/>
          <w:highlight w:val="none"/>
        </w:rPr>
        <w:t>招标人：</w:t>
      </w:r>
      <w:r>
        <w:rPr>
          <w:rFonts w:hint="eastAsia"/>
          <w:color w:val="auto"/>
          <w:highlight w:val="none"/>
          <w:u w:val="single"/>
        </w:rPr>
        <w:t xml:space="preserve">                      </w:t>
      </w:r>
      <w:r>
        <w:rPr>
          <w:rFonts w:hint="eastAsia"/>
          <w:color w:val="auto"/>
          <w:highlight w:val="none"/>
        </w:rPr>
        <w:t>（盖单位章）</w:t>
      </w:r>
      <w:bookmarkEnd w:id="985"/>
    </w:p>
    <w:p w14:paraId="46DA7BEF">
      <w:pPr>
        <w:spacing w:line="360" w:lineRule="auto"/>
        <w:ind w:firstLine="2415" w:firstLineChars="1150"/>
        <w:jc w:val="right"/>
        <w:rPr>
          <w:rFonts w:hint="eastAsia"/>
          <w:color w:val="auto"/>
          <w:highlight w:val="none"/>
        </w:rPr>
      </w:pPr>
    </w:p>
    <w:p w14:paraId="393E639C">
      <w:pPr>
        <w:spacing w:line="360" w:lineRule="auto"/>
        <w:ind w:firstLine="4095" w:firstLineChars="1950"/>
        <w:jc w:val="right"/>
        <w:rPr>
          <w:rFonts w:hint="eastAsia"/>
          <w:color w:val="auto"/>
          <w:highlight w:val="none"/>
        </w:rPr>
      </w:pPr>
      <w:bookmarkStart w:id="986" w:name="_Toc221950274"/>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 xml:space="preserve"> 月</w:t>
      </w:r>
      <w:r>
        <w:rPr>
          <w:rFonts w:hint="eastAsia"/>
          <w:color w:val="auto"/>
          <w:highlight w:val="none"/>
          <w:u w:val="single"/>
        </w:rPr>
        <w:t xml:space="preserve">     </w:t>
      </w:r>
      <w:r>
        <w:rPr>
          <w:rFonts w:hint="eastAsia"/>
          <w:color w:val="auto"/>
          <w:highlight w:val="none"/>
        </w:rPr>
        <w:t>日</w:t>
      </w:r>
      <w:bookmarkEnd w:id="986"/>
    </w:p>
    <w:p w14:paraId="0F7842D9">
      <w:pPr>
        <w:spacing w:line="360" w:lineRule="auto"/>
        <w:ind w:firstLine="2415" w:firstLineChars="1150"/>
        <w:rPr>
          <w:rFonts w:hint="eastAsia"/>
          <w:color w:val="auto"/>
          <w:highlight w:val="none"/>
        </w:rPr>
      </w:pPr>
    </w:p>
    <w:p w14:paraId="2CF4F541">
      <w:pPr>
        <w:spacing w:line="360" w:lineRule="auto"/>
        <w:rPr>
          <w:rFonts w:hint="eastAsia" w:ascii="华文仿宋" w:hAnsi="华文仿宋" w:eastAsia="华文仿宋"/>
          <w:color w:val="auto"/>
          <w:highlight w:val="none"/>
        </w:rPr>
      </w:pPr>
      <w:bookmarkStart w:id="987" w:name="_Toc221950275"/>
    </w:p>
    <w:p w14:paraId="3A39ECAE">
      <w:pPr>
        <w:spacing w:line="360" w:lineRule="auto"/>
        <w:rPr>
          <w:rFonts w:hint="eastAsia" w:ascii="华文仿宋" w:hAnsi="华文仿宋" w:eastAsia="华文仿宋"/>
          <w:color w:val="auto"/>
          <w:highlight w:val="none"/>
        </w:rPr>
      </w:pPr>
    </w:p>
    <w:p w14:paraId="48604905">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rPr>
        <w:t>备注:</w:t>
      </w:r>
      <w:bookmarkEnd w:id="987"/>
      <w:r>
        <w:rPr>
          <w:rFonts w:hint="eastAsia" w:ascii="宋体" w:hAnsi="宋体" w:cs="宋体"/>
          <w:color w:val="auto"/>
          <w:highlight w:val="none"/>
        </w:rPr>
        <w:t xml:space="preserve"> 招标人对招标文件有关问题澄清时，适用于本格式。招标人可根据需要将附表二与附表三内容合并发出。</w:t>
      </w:r>
    </w:p>
    <w:p w14:paraId="024EFCF9">
      <w:pPr>
        <w:spacing w:line="360" w:lineRule="auto"/>
        <w:ind w:firstLine="2415" w:firstLineChars="1150"/>
        <w:rPr>
          <w:rFonts w:hint="eastAsia"/>
          <w:color w:val="auto"/>
          <w:highlight w:val="none"/>
        </w:rPr>
      </w:pPr>
    </w:p>
    <w:p w14:paraId="54954D02">
      <w:pPr>
        <w:spacing w:line="360" w:lineRule="auto"/>
        <w:ind w:firstLine="2415" w:firstLineChars="1150"/>
        <w:rPr>
          <w:rFonts w:hint="eastAsia"/>
          <w:color w:val="auto"/>
          <w:highlight w:val="none"/>
        </w:rPr>
      </w:pPr>
    </w:p>
    <w:p w14:paraId="7299F6D2">
      <w:pPr>
        <w:pStyle w:val="5"/>
        <w:spacing w:before="156"/>
        <w:rPr>
          <w:rFonts w:hint="eastAsia"/>
          <w:color w:val="auto"/>
          <w:sz w:val="24"/>
          <w:highlight w:val="none"/>
        </w:rPr>
      </w:pPr>
      <w:bookmarkStart w:id="988" w:name="_Toc387753569"/>
      <w:bookmarkStart w:id="989" w:name="_Toc221950276"/>
      <w:bookmarkStart w:id="990" w:name="_Toc14508"/>
      <w:bookmarkStart w:id="991" w:name="_Toc10406"/>
      <w:bookmarkStart w:id="992" w:name="_Toc519085336"/>
      <w:bookmarkStart w:id="993" w:name="_Toc2597"/>
      <w:bookmarkStart w:id="994" w:name="_Toc23069"/>
      <w:bookmarkStart w:id="995" w:name="_Toc22948"/>
      <w:bookmarkStart w:id="996" w:name="_Toc913"/>
      <w:bookmarkStart w:id="997" w:name="_Toc14988_WPSOffice_Level2"/>
      <w:bookmarkStart w:id="998" w:name="_Toc456173258"/>
      <w:r>
        <w:rPr>
          <w:rFonts w:hint="eastAsia"/>
          <w:color w:val="auto"/>
          <w:sz w:val="24"/>
          <w:highlight w:val="none"/>
        </w:rPr>
        <w:t>附表三：</w:t>
      </w:r>
      <w:bookmarkEnd w:id="988"/>
      <w:bookmarkEnd w:id="989"/>
      <w:r>
        <w:rPr>
          <w:rFonts w:hint="eastAsia"/>
          <w:color w:val="auto"/>
          <w:sz w:val="24"/>
          <w:highlight w:val="none"/>
        </w:rPr>
        <w:t>招标文件修改通知</w:t>
      </w:r>
      <w:bookmarkEnd w:id="990"/>
      <w:bookmarkEnd w:id="991"/>
      <w:bookmarkEnd w:id="992"/>
      <w:bookmarkEnd w:id="993"/>
      <w:bookmarkEnd w:id="994"/>
      <w:bookmarkEnd w:id="995"/>
      <w:bookmarkEnd w:id="996"/>
      <w:bookmarkEnd w:id="997"/>
      <w:bookmarkEnd w:id="998"/>
    </w:p>
    <w:p w14:paraId="2BF84CBE">
      <w:pPr>
        <w:rPr>
          <w:rFonts w:hint="eastAsia"/>
          <w:color w:val="auto"/>
          <w:highlight w:val="none"/>
        </w:rPr>
      </w:pPr>
    </w:p>
    <w:p w14:paraId="7F8B9DF8">
      <w:pPr>
        <w:rPr>
          <w:rFonts w:hint="eastAsia"/>
          <w:color w:val="auto"/>
          <w:highlight w:val="none"/>
        </w:rPr>
      </w:pPr>
    </w:p>
    <w:p w14:paraId="1BCFFE26">
      <w:pPr>
        <w:rPr>
          <w:rFonts w:hint="eastAsia"/>
          <w:color w:val="auto"/>
          <w:highlight w:val="none"/>
        </w:rPr>
      </w:pPr>
    </w:p>
    <w:p w14:paraId="55933B0C">
      <w:pPr>
        <w:jc w:val="center"/>
        <w:rPr>
          <w:rFonts w:hint="eastAsia" w:ascii="黑体" w:eastAsia="黑体"/>
          <w:color w:val="auto"/>
          <w:sz w:val="28"/>
          <w:szCs w:val="28"/>
          <w:highlight w:val="none"/>
        </w:rPr>
      </w:pPr>
      <w:bookmarkStart w:id="999" w:name="_Toc32186_WPSOffice_Level1"/>
      <w:bookmarkStart w:id="1000" w:name="_Toc25341_WPSOffice_Level1"/>
      <w:r>
        <w:rPr>
          <w:rFonts w:hint="eastAsia" w:ascii="黑体" w:eastAsia="黑体"/>
          <w:color w:val="auto"/>
          <w:sz w:val="28"/>
          <w:szCs w:val="28"/>
          <w:highlight w:val="none"/>
        </w:rPr>
        <w:t>招标文件修改通知</w:t>
      </w:r>
      <w:bookmarkEnd w:id="999"/>
      <w:bookmarkEnd w:id="1000"/>
    </w:p>
    <w:p w14:paraId="381CF18A">
      <w:pPr>
        <w:jc w:val="center"/>
        <w:rPr>
          <w:rFonts w:hint="eastAsia" w:ascii="黑体" w:eastAsia="黑体"/>
          <w:color w:val="auto"/>
          <w:sz w:val="28"/>
          <w:szCs w:val="28"/>
          <w:highlight w:val="none"/>
        </w:rPr>
      </w:pPr>
    </w:p>
    <w:p w14:paraId="7328E5A3">
      <w:pPr>
        <w:jc w:val="center"/>
        <w:rPr>
          <w:rFonts w:hint="eastAsia"/>
          <w:color w:val="auto"/>
          <w:highlight w:val="none"/>
        </w:rPr>
      </w:pPr>
    </w:p>
    <w:p w14:paraId="396454D7">
      <w:pPr>
        <w:spacing w:line="360" w:lineRule="auto"/>
        <w:ind w:firstLine="5985" w:firstLineChars="2850"/>
        <w:rPr>
          <w:rFonts w:hint="eastAsia"/>
          <w:color w:val="auto"/>
          <w:highlight w:val="none"/>
          <w:u w:val="single"/>
        </w:rPr>
      </w:pPr>
      <w:r>
        <w:rPr>
          <w:rFonts w:hint="eastAsia"/>
          <w:color w:val="auto"/>
          <w:highlight w:val="none"/>
        </w:rPr>
        <w:t>编号：</w:t>
      </w:r>
      <w:r>
        <w:rPr>
          <w:rFonts w:hint="eastAsia"/>
          <w:color w:val="auto"/>
          <w:highlight w:val="none"/>
          <w:u w:val="single"/>
        </w:rPr>
        <w:t xml:space="preserve">             </w:t>
      </w:r>
    </w:p>
    <w:p w14:paraId="669EB41A">
      <w:pPr>
        <w:spacing w:line="360" w:lineRule="auto"/>
        <w:ind w:firstLine="5985" w:firstLineChars="2850"/>
        <w:rPr>
          <w:rFonts w:hint="eastAsia"/>
          <w:color w:val="auto"/>
          <w:highlight w:val="none"/>
          <w:u w:val="single"/>
        </w:rPr>
      </w:pPr>
    </w:p>
    <w:p w14:paraId="696ABE00">
      <w:pPr>
        <w:spacing w:line="560" w:lineRule="atLeast"/>
        <w:rPr>
          <w:rFonts w:hint="eastAsia" w:ascii="宋体" w:hAnsi="宋体"/>
          <w:color w:val="auto"/>
          <w:highlight w:val="none"/>
          <w:u w:val="single"/>
        </w:rPr>
      </w:pPr>
      <w:r>
        <w:rPr>
          <w:rFonts w:hint="eastAsia"/>
          <w:color w:val="auto"/>
          <w:highlight w:val="none"/>
        </w:rPr>
        <w:t>各</w:t>
      </w:r>
      <w:r>
        <w:rPr>
          <w:rFonts w:hint="eastAsia"/>
          <w:color w:val="auto"/>
          <w:szCs w:val="21"/>
          <w:highlight w:val="none"/>
        </w:rPr>
        <w:t>投标人：</w:t>
      </w:r>
    </w:p>
    <w:p w14:paraId="283B8B98">
      <w:pPr>
        <w:spacing w:line="560" w:lineRule="atLeast"/>
        <w:ind w:firstLine="525" w:firstLineChars="250"/>
        <w:rPr>
          <w:rFonts w:hint="eastAsia" w:ascii="宋体" w:hAnsi="宋体"/>
          <w:color w:val="auto"/>
          <w:highlight w:val="none"/>
        </w:rPr>
      </w:pPr>
      <w:r>
        <w:rPr>
          <w:rFonts w:hint="eastAsia" w:ascii="宋体" w:hAnsi="宋体"/>
          <w:color w:val="auto"/>
          <w:highlight w:val="none"/>
        </w:rPr>
        <w:t>经研究，对</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（标段名称）工程总承包招标文件，作如下修改：</w:t>
      </w:r>
    </w:p>
    <w:p w14:paraId="2159FC64">
      <w:pPr>
        <w:spacing w:line="560" w:lineRule="atLeast"/>
        <w:ind w:firstLine="525" w:firstLineChars="250"/>
        <w:rPr>
          <w:color w:val="auto"/>
          <w:highlight w:val="none"/>
        </w:rPr>
      </w:pPr>
      <w:bookmarkStart w:id="1001" w:name="_Toc2963_WPSOffice_Level1"/>
      <w:bookmarkStart w:id="1002" w:name="_Toc18538_WPSOffice_Level1"/>
      <w:r>
        <w:rPr>
          <w:color w:val="auto"/>
          <w:highlight w:val="none"/>
        </w:rPr>
        <w:t>1</w:t>
      </w:r>
      <w:r>
        <w:rPr>
          <w:rFonts w:hint="eastAsia"/>
          <w:color w:val="auto"/>
          <w:szCs w:val="21"/>
          <w:highlight w:val="none"/>
        </w:rPr>
        <w:t>.……</w:t>
      </w:r>
      <w:bookmarkEnd w:id="1001"/>
      <w:bookmarkEnd w:id="1002"/>
    </w:p>
    <w:p w14:paraId="6450AF69">
      <w:pPr>
        <w:spacing w:line="560" w:lineRule="atLeast"/>
        <w:ind w:firstLine="525" w:firstLineChars="250"/>
        <w:rPr>
          <w:color w:val="auto"/>
          <w:highlight w:val="none"/>
        </w:rPr>
      </w:pPr>
      <w:bookmarkStart w:id="1003" w:name="_Toc15640_WPSOffice_Level1"/>
      <w:bookmarkStart w:id="1004" w:name="_Toc16072_WPSOffice_Level1"/>
      <w:r>
        <w:rPr>
          <w:color w:val="auto"/>
          <w:highlight w:val="none"/>
        </w:rPr>
        <w:t>2</w:t>
      </w:r>
      <w:r>
        <w:rPr>
          <w:rFonts w:hint="eastAsia"/>
          <w:color w:val="auto"/>
          <w:szCs w:val="21"/>
          <w:highlight w:val="none"/>
        </w:rPr>
        <w:t>.……</w:t>
      </w:r>
      <w:bookmarkEnd w:id="1003"/>
      <w:bookmarkEnd w:id="1004"/>
    </w:p>
    <w:p w14:paraId="5620481A">
      <w:pPr>
        <w:spacing w:line="560" w:lineRule="atLeast"/>
        <w:ind w:firstLine="525" w:firstLineChars="250"/>
        <w:rPr>
          <w:color w:val="auto"/>
          <w:highlight w:val="none"/>
        </w:rPr>
      </w:pPr>
      <w:r>
        <w:rPr>
          <w:color w:val="auto"/>
          <w:highlight w:val="none"/>
        </w:rPr>
        <w:t>………</w:t>
      </w:r>
    </w:p>
    <w:p w14:paraId="3D6D7393">
      <w:pPr>
        <w:spacing w:line="360" w:lineRule="auto"/>
        <w:ind w:firstLine="2415" w:firstLineChars="1150"/>
        <w:rPr>
          <w:rFonts w:hint="eastAsia"/>
          <w:color w:val="auto"/>
          <w:highlight w:val="none"/>
        </w:rPr>
      </w:pPr>
    </w:p>
    <w:p w14:paraId="7F27EF2E">
      <w:pPr>
        <w:spacing w:line="360" w:lineRule="auto"/>
        <w:ind w:firstLine="2415" w:firstLineChars="1150"/>
        <w:rPr>
          <w:rFonts w:hint="eastAsia"/>
          <w:color w:val="auto"/>
          <w:highlight w:val="none"/>
        </w:rPr>
      </w:pPr>
    </w:p>
    <w:p w14:paraId="648E4034">
      <w:pPr>
        <w:spacing w:line="360" w:lineRule="auto"/>
        <w:rPr>
          <w:rFonts w:hint="eastAsia"/>
          <w:color w:val="auto"/>
          <w:highlight w:val="none"/>
        </w:rPr>
      </w:pPr>
      <w:r>
        <w:rPr>
          <w:rFonts w:hint="eastAsia"/>
          <w:color w:val="auto"/>
          <w:highlight w:val="none"/>
        </w:rPr>
        <w:t xml:space="preserve">   </w:t>
      </w:r>
    </w:p>
    <w:p w14:paraId="4037765C">
      <w:pPr>
        <w:spacing w:line="360" w:lineRule="auto"/>
        <w:ind w:firstLine="2415" w:firstLineChars="1150"/>
        <w:jc w:val="right"/>
        <w:rPr>
          <w:rFonts w:hint="eastAsia"/>
          <w:color w:val="auto"/>
          <w:highlight w:val="none"/>
          <w:u w:val="single"/>
        </w:rPr>
      </w:pPr>
      <w:r>
        <w:rPr>
          <w:rFonts w:hint="eastAsia"/>
          <w:color w:val="auto"/>
          <w:highlight w:val="none"/>
        </w:rPr>
        <w:t>招标人：</w:t>
      </w:r>
      <w:r>
        <w:rPr>
          <w:rFonts w:hint="eastAsia"/>
          <w:color w:val="auto"/>
          <w:highlight w:val="none"/>
          <w:u w:val="single"/>
        </w:rPr>
        <w:t xml:space="preserve">                      </w:t>
      </w:r>
      <w:r>
        <w:rPr>
          <w:rFonts w:hint="eastAsia"/>
          <w:color w:val="auto"/>
          <w:highlight w:val="none"/>
        </w:rPr>
        <w:t>（盖单位章）</w:t>
      </w:r>
    </w:p>
    <w:p w14:paraId="27D5209A">
      <w:pPr>
        <w:spacing w:line="360" w:lineRule="auto"/>
        <w:ind w:firstLine="2415" w:firstLineChars="1150"/>
        <w:jc w:val="right"/>
        <w:rPr>
          <w:rFonts w:hint="eastAsia"/>
          <w:color w:val="auto"/>
          <w:highlight w:val="none"/>
        </w:rPr>
      </w:pPr>
    </w:p>
    <w:p w14:paraId="0538488B">
      <w:pPr>
        <w:spacing w:line="360" w:lineRule="auto"/>
        <w:ind w:firstLine="4095" w:firstLineChars="1950"/>
        <w:jc w:val="right"/>
        <w:rPr>
          <w:rFonts w:hint="eastAsia"/>
          <w:color w:val="auto"/>
          <w:highlight w:val="none"/>
        </w:rPr>
      </w:pP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 xml:space="preserve"> 月</w:t>
      </w:r>
      <w:r>
        <w:rPr>
          <w:rFonts w:hint="eastAsia"/>
          <w:color w:val="auto"/>
          <w:highlight w:val="none"/>
          <w:u w:val="single"/>
        </w:rPr>
        <w:t xml:space="preserve">     </w:t>
      </w:r>
      <w:r>
        <w:rPr>
          <w:rFonts w:hint="eastAsia"/>
          <w:color w:val="auto"/>
          <w:highlight w:val="none"/>
        </w:rPr>
        <w:t>日</w:t>
      </w:r>
    </w:p>
    <w:p w14:paraId="62A7696A">
      <w:pPr>
        <w:spacing w:line="360" w:lineRule="auto"/>
        <w:ind w:firstLine="2415" w:firstLineChars="1150"/>
        <w:rPr>
          <w:rFonts w:hint="eastAsia"/>
          <w:color w:val="auto"/>
          <w:highlight w:val="none"/>
        </w:rPr>
      </w:pPr>
    </w:p>
    <w:p w14:paraId="4E0D6346">
      <w:pPr>
        <w:spacing w:line="360" w:lineRule="auto"/>
        <w:ind w:firstLine="2415" w:firstLineChars="1150"/>
        <w:rPr>
          <w:rFonts w:hint="eastAsia"/>
          <w:color w:val="auto"/>
          <w:highlight w:val="none"/>
        </w:rPr>
      </w:pPr>
    </w:p>
    <w:p w14:paraId="0678FAAD">
      <w:pPr>
        <w:spacing w:line="360" w:lineRule="auto"/>
        <w:rPr>
          <w:rFonts w:hint="eastAsia" w:ascii="华文仿宋" w:hAnsi="华文仿宋" w:eastAsia="华文仿宋"/>
          <w:color w:val="auto"/>
          <w:highlight w:val="none"/>
        </w:rPr>
      </w:pPr>
    </w:p>
    <w:p w14:paraId="20AEF9E7">
      <w:pPr>
        <w:spacing w:line="360" w:lineRule="auto"/>
        <w:rPr>
          <w:rFonts w:hint="eastAsia" w:ascii="宋体" w:hAnsi="宋体" w:cs="宋体"/>
          <w:color w:val="auto"/>
          <w:highlight w:val="none"/>
        </w:rPr>
      </w:pPr>
      <w:r>
        <w:rPr>
          <w:rFonts w:hint="eastAsia" w:ascii="宋体" w:hAnsi="宋体" w:cs="宋体"/>
          <w:color w:val="auto"/>
          <w:highlight w:val="none"/>
        </w:rPr>
        <w:t>备注:招标人对招标文件修改时，适用于本格式。</w:t>
      </w:r>
    </w:p>
    <w:p w14:paraId="317C84FA">
      <w:pPr>
        <w:spacing w:line="360" w:lineRule="auto"/>
        <w:ind w:firstLine="2415" w:firstLineChars="1150"/>
        <w:rPr>
          <w:rFonts w:hint="eastAsia"/>
          <w:color w:val="auto"/>
          <w:highlight w:val="none"/>
        </w:rPr>
      </w:pPr>
    </w:p>
    <w:p w14:paraId="0800C83B">
      <w:pPr>
        <w:pStyle w:val="5"/>
        <w:spacing w:before="156"/>
        <w:rPr>
          <w:rFonts w:hint="eastAsia"/>
          <w:color w:val="auto"/>
          <w:sz w:val="24"/>
          <w:highlight w:val="none"/>
        </w:rPr>
      </w:pPr>
      <w:bookmarkStart w:id="1005" w:name="_Toc353544004"/>
      <w:bookmarkStart w:id="1006" w:name="_Toc23177"/>
      <w:bookmarkStart w:id="1007" w:name="_Toc24487"/>
      <w:bookmarkStart w:id="1008" w:name="_Toc426495817"/>
      <w:bookmarkStart w:id="1009" w:name="_Toc11583"/>
      <w:bookmarkStart w:id="1010" w:name="_Toc456173259"/>
      <w:bookmarkStart w:id="1011" w:name="_Toc519085337"/>
      <w:bookmarkStart w:id="1012" w:name="_Toc30879"/>
      <w:r>
        <w:rPr>
          <w:rFonts w:hint="eastAsia"/>
          <w:color w:val="auto"/>
          <w:highlight w:val="none"/>
        </w:rPr>
        <w:br w:type="page"/>
      </w:r>
      <w:bookmarkStart w:id="1013" w:name="_Toc3250"/>
      <w:bookmarkStart w:id="1014" w:name="_Toc9815"/>
      <w:bookmarkStart w:id="1015" w:name="_Toc27807_WPSOffice_Level2"/>
      <w:r>
        <w:rPr>
          <w:rFonts w:hint="eastAsia"/>
          <w:color w:val="auto"/>
          <w:sz w:val="24"/>
          <w:highlight w:val="none"/>
        </w:rPr>
        <w:t>附表四：投标人签到及投标文件递交签收凭证</w:t>
      </w:r>
      <w:bookmarkEnd w:id="1005"/>
      <w:bookmarkEnd w:id="1006"/>
      <w:bookmarkEnd w:id="1007"/>
      <w:bookmarkEnd w:id="1008"/>
      <w:bookmarkEnd w:id="1009"/>
      <w:bookmarkEnd w:id="1010"/>
      <w:bookmarkEnd w:id="1011"/>
      <w:bookmarkEnd w:id="1012"/>
      <w:bookmarkEnd w:id="1013"/>
      <w:bookmarkEnd w:id="1014"/>
      <w:bookmarkEnd w:id="1015"/>
    </w:p>
    <w:p w14:paraId="1FC3B75F">
      <w:pPr>
        <w:spacing w:before="312" w:beforeLines="100" w:after="312" w:afterLines="100" w:line="480" w:lineRule="exact"/>
        <w:jc w:val="center"/>
        <w:rPr>
          <w:rFonts w:hint="eastAsia" w:ascii="黑体" w:eastAsia="黑体"/>
          <w:color w:val="auto"/>
          <w:sz w:val="28"/>
          <w:szCs w:val="28"/>
          <w:highlight w:val="none"/>
        </w:rPr>
      </w:pPr>
      <w:bookmarkStart w:id="1016" w:name="_Toc26563_WPSOffice_Level1"/>
      <w:bookmarkStart w:id="1017" w:name="_Toc1_WPSOffice_Level1"/>
      <w:r>
        <w:rPr>
          <w:rFonts w:hint="eastAsia" w:ascii="黑体" w:eastAsia="黑体"/>
          <w:color w:val="auto"/>
          <w:sz w:val="28"/>
          <w:szCs w:val="28"/>
          <w:highlight w:val="none"/>
        </w:rPr>
        <w:t>投标人签到及投标文件递交签收凭证</w:t>
      </w:r>
      <w:bookmarkEnd w:id="1016"/>
      <w:bookmarkEnd w:id="1017"/>
    </w:p>
    <w:p w14:paraId="0F155D73">
      <w:pPr>
        <w:rPr>
          <w:rFonts w:hint="eastAsia" w:ascii="宋体" w:hAnsi="宋体" w:cs="宋体"/>
          <w:color w:val="auto"/>
          <w:kern w:val="0"/>
          <w:szCs w:val="21"/>
          <w:highlight w:val="none"/>
        </w:rPr>
      </w:pPr>
    </w:p>
    <w:p w14:paraId="3B4D2809">
      <w:pPr>
        <w:rPr>
          <w:rFonts w:hint="eastAsia" w:ascii="宋体" w:hAnsi="宋体"/>
          <w:color w:val="auto"/>
          <w:sz w:val="28"/>
          <w:szCs w:val="28"/>
          <w:highlight w:val="none"/>
        </w:rPr>
      </w:pPr>
      <w:r>
        <w:rPr>
          <w:rFonts w:hint="eastAsia" w:ascii="宋体" w:hAnsi="宋体"/>
          <w:color w:val="auto"/>
          <w:highlight w:val="none"/>
        </w:rPr>
        <w:t>交易登记号：</w:t>
      </w:r>
      <w:r>
        <w:rPr>
          <w:rFonts w:hint="eastAsia" w:ascii="宋体" w:hAnsi="宋体"/>
          <w:color w:val="auto"/>
          <w:highlight w:val="none"/>
          <w:u w:val="singl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667"/>
        <w:gridCol w:w="1340"/>
        <w:gridCol w:w="2139"/>
      </w:tblGrid>
      <w:tr w14:paraId="301E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6C3236E0">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工程名称</w:t>
            </w:r>
          </w:p>
        </w:tc>
        <w:tc>
          <w:tcPr>
            <w:tcW w:w="6146" w:type="dxa"/>
            <w:gridSpan w:val="3"/>
            <w:noWrap w:val="0"/>
            <w:vAlign w:val="center"/>
          </w:tcPr>
          <w:p w14:paraId="61965167">
            <w:pPr>
              <w:keepNext w:val="0"/>
              <w:keepLines w:val="0"/>
              <w:suppressLineNumbers w:val="0"/>
              <w:spacing w:before="0" w:beforeAutospacing="0" w:after="0" w:afterAutospacing="0"/>
              <w:ind w:left="0" w:right="0"/>
              <w:rPr>
                <w:rFonts w:hint="eastAsia" w:ascii="宋体" w:hAnsi="宋体" w:eastAsia="宋体" w:cs="Times New Roman"/>
                <w:color w:val="auto"/>
                <w:highlight w:val="none"/>
              </w:rPr>
            </w:pP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 xml:space="preserve"> （项目名称）</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标段</w:t>
            </w:r>
          </w:p>
        </w:tc>
      </w:tr>
      <w:tr w14:paraId="7BE7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46619276">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招标人</w:t>
            </w:r>
          </w:p>
        </w:tc>
        <w:tc>
          <w:tcPr>
            <w:tcW w:w="6146" w:type="dxa"/>
            <w:gridSpan w:val="3"/>
            <w:noWrap w:val="0"/>
            <w:vAlign w:val="center"/>
          </w:tcPr>
          <w:p w14:paraId="0083990E">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7A9B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18B3D36E">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招标代理机构</w:t>
            </w:r>
          </w:p>
        </w:tc>
        <w:tc>
          <w:tcPr>
            <w:tcW w:w="6146" w:type="dxa"/>
            <w:gridSpan w:val="3"/>
            <w:noWrap w:val="0"/>
            <w:vAlign w:val="center"/>
          </w:tcPr>
          <w:p w14:paraId="0A2CA073">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2148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6182C17F">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投标人</w:t>
            </w:r>
          </w:p>
        </w:tc>
        <w:tc>
          <w:tcPr>
            <w:tcW w:w="6146" w:type="dxa"/>
            <w:gridSpan w:val="3"/>
            <w:noWrap w:val="0"/>
            <w:vAlign w:val="center"/>
          </w:tcPr>
          <w:p w14:paraId="119DDCB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0BAC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4D381D4E">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投标文件递交时间</w:t>
            </w:r>
          </w:p>
        </w:tc>
        <w:tc>
          <w:tcPr>
            <w:tcW w:w="6146" w:type="dxa"/>
            <w:gridSpan w:val="3"/>
            <w:noWrap w:val="0"/>
            <w:vAlign w:val="center"/>
          </w:tcPr>
          <w:p w14:paraId="67354DA1">
            <w:pPr>
              <w:keepNext w:val="0"/>
              <w:keepLines w:val="0"/>
              <w:suppressLineNumbers w:val="0"/>
              <w:spacing w:before="0" w:beforeAutospacing="0" w:after="0" w:afterAutospacing="0"/>
              <w:ind w:left="0" w:right="0"/>
              <w:rPr>
                <w:rFonts w:hint="eastAsia" w:ascii="宋体" w:hAnsi="宋体" w:eastAsia="宋体" w:cs="Times New Roman"/>
                <w:color w:val="auto"/>
                <w:highlight w:val="none"/>
              </w:rPr>
            </w:pP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年</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月</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日</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时</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分</w:t>
            </w:r>
          </w:p>
        </w:tc>
      </w:tr>
      <w:tr w14:paraId="3917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1B5BDB74">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投标文件递交地点</w:t>
            </w:r>
          </w:p>
        </w:tc>
        <w:tc>
          <w:tcPr>
            <w:tcW w:w="6146" w:type="dxa"/>
            <w:gridSpan w:val="3"/>
            <w:noWrap w:val="0"/>
            <w:vAlign w:val="center"/>
          </w:tcPr>
          <w:p w14:paraId="2816431B">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4B2A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7CCCF501">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密封检查情况</w:t>
            </w:r>
          </w:p>
        </w:tc>
        <w:tc>
          <w:tcPr>
            <w:tcW w:w="2667" w:type="dxa"/>
            <w:noWrap w:val="0"/>
            <w:vAlign w:val="center"/>
          </w:tcPr>
          <w:p w14:paraId="462428C4">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是否符合招标文件要求</w:t>
            </w:r>
          </w:p>
        </w:tc>
        <w:tc>
          <w:tcPr>
            <w:tcW w:w="3479" w:type="dxa"/>
            <w:gridSpan w:val="2"/>
            <w:noWrap w:val="0"/>
            <w:vAlign w:val="center"/>
          </w:tcPr>
          <w:p w14:paraId="16665EAC">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Calibri" w:hAnsi="Calibri" w:eastAsia="宋体" w:cs="Times New Roman"/>
                <w:color w:val="auto"/>
                <w:highlight w:val="none"/>
              </w:rPr>
              <w:t>□符合   □不符合</w:t>
            </w:r>
          </w:p>
        </w:tc>
      </w:tr>
      <w:tr w14:paraId="2AC4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7DE76D77">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标识检查情况</w:t>
            </w:r>
          </w:p>
        </w:tc>
        <w:tc>
          <w:tcPr>
            <w:tcW w:w="2667" w:type="dxa"/>
            <w:noWrap w:val="0"/>
            <w:vAlign w:val="center"/>
          </w:tcPr>
          <w:p w14:paraId="2CCD16C1">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是否符合招标文件要求</w:t>
            </w:r>
          </w:p>
        </w:tc>
        <w:tc>
          <w:tcPr>
            <w:tcW w:w="3479" w:type="dxa"/>
            <w:gridSpan w:val="2"/>
            <w:noWrap w:val="0"/>
            <w:vAlign w:val="center"/>
          </w:tcPr>
          <w:p w14:paraId="5C1FF59C">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Calibri" w:hAnsi="Calibri" w:eastAsia="宋体" w:cs="Times New Roman"/>
                <w:color w:val="auto"/>
                <w:highlight w:val="none"/>
              </w:rPr>
              <w:t>□符合   □不符合</w:t>
            </w:r>
          </w:p>
        </w:tc>
      </w:tr>
      <w:tr w14:paraId="4AE5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27D376F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投标人法定代表人或其委托人</w:t>
            </w:r>
          </w:p>
        </w:tc>
        <w:tc>
          <w:tcPr>
            <w:tcW w:w="2667" w:type="dxa"/>
            <w:noWrap w:val="0"/>
            <w:vAlign w:val="center"/>
          </w:tcPr>
          <w:p w14:paraId="0B83F376">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 xml:space="preserve">              （签字）</w:t>
            </w:r>
          </w:p>
        </w:tc>
        <w:tc>
          <w:tcPr>
            <w:tcW w:w="1340" w:type="dxa"/>
            <w:noWrap w:val="0"/>
            <w:vAlign w:val="center"/>
          </w:tcPr>
          <w:p w14:paraId="096DE3F4">
            <w:pPr>
              <w:keepNext w:val="0"/>
              <w:keepLines w:val="0"/>
              <w:suppressLineNumbers w:val="0"/>
              <w:spacing w:before="0" w:beforeAutospacing="0" w:after="0" w:afterAutospacing="0"/>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联系方式</w:t>
            </w:r>
          </w:p>
        </w:tc>
        <w:tc>
          <w:tcPr>
            <w:tcW w:w="2139" w:type="dxa"/>
            <w:noWrap w:val="0"/>
            <w:vAlign w:val="center"/>
          </w:tcPr>
          <w:p w14:paraId="3D570248">
            <w:pPr>
              <w:keepNext w:val="0"/>
              <w:keepLines w:val="0"/>
              <w:suppressLineNumbers w:val="0"/>
              <w:spacing w:before="0" w:beforeAutospacing="0" w:after="0" w:afterAutospacing="0"/>
              <w:ind w:left="0" w:right="0"/>
              <w:jc w:val="center"/>
              <w:rPr>
                <w:rFonts w:hint="eastAsia" w:ascii="Calibri" w:hAnsi="Calibri" w:eastAsia="宋体" w:cs="Times New Roman"/>
                <w:color w:val="auto"/>
                <w:highlight w:val="none"/>
              </w:rPr>
            </w:pPr>
          </w:p>
        </w:tc>
      </w:tr>
      <w:tr w14:paraId="619E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76" w:type="dxa"/>
            <w:noWrap w:val="0"/>
            <w:vAlign w:val="center"/>
          </w:tcPr>
          <w:p w14:paraId="39432337">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招标人代表/招标代理机构代表</w:t>
            </w:r>
          </w:p>
        </w:tc>
        <w:tc>
          <w:tcPr>
            <w:tcW w:w="6146" w:type="dxa"/>
            <w:gridSpan w:val="3"/>
            <w:noWrap w:val="0"/>
            <w:vAlign w:val="center"/>
          </w:tcPr>
          <w:p w14:paraId="2A97345F">
            <w:pPr>
              <w:keepNext w:val="0"/>
              <w:keepLines w:val="0"/>
              <w:suppressLineNumbers w:val="0"/>
              <w:spacing w:before="0" w:beforeAutospacing="0" w:after="0" w:afterAutospacing="0"/>
              <w:ind w:left="0" w:right="0"/>
              <w:jc w:val="right"/>
              <w:rPr>
                <w:rFonts w:hint="eastAsia" w:ascii="宋体" w:hAnsi="宋体" w:eastAsia="宋体" w:cs="Times New Roman"/>
                <w:color w:val="auto"/>
                <w:highlight w:val="none"/>
              </w:rPr>
            </w:pPr>
          </w:p>
          <w:p w14:paraId="386F8169">
            <w:pPr>
              <w:keepNext w:val="0"/>
              <w:keepLines w:val="0"/>
              <w:suppressLineNumbers w:val="0"/>
              <w:spacing w:before="0" w:beforeAutospacing="0" w:after="0" w:afterAutospacing="0"/>
              <w:ind w:left="0" w:right="0"/>
              <w:jc w:val="right"/>
              <w:rPr>
                <w:rFonts w:ascii="宋体" w:hAnsi="宋体" w:eastAsia="宋体" w:cs="Times New Roman"/>
                <w:color w:val="auto"/>
                <w:highlight w:val="none"/>
              </w:rPr>
            </w:pPr>
            <w:r>
              <w:rPr>
                <w:rFonts w:hint="eastAsia" w:ascii="宋体" w:hAnsi="宋体" w:eastAsia="宋体" w:cs="Times New Roman"/>
                <w:color w:val="auto"/>
                <w:highlight w:val="none"/>
              </w:rPr>
              <w:t>（签字）</w:t>
            </w:r>
          </w:p>
          <w:p w14:paraId="6D6D9F9D">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bl>
    <w:p w14:paraId="069C0112">
      <w:pPr>
        <w:spacing w:before="93" w:beforeLines="30"/>
        <w:rPr>
          <w:rFonts w:hint="eastAsia" w:ascii="宋体" w:hAnsi="宋体"/>
          <w:color w:val="auto"/>
          <w:highlight w:val="none"/>
        </w:rPr>
      </w:pPr>
    </w:p>
    <w:p w14:paraId="6D47B33F">
      <w:pPr>
        <w:spacing w:before="93" w:beforeLines="30"/>
        <w:ind w:firstLine="4305" w:firstLineChars="2050"/>
        <w:rPr>
          <w:rFonts w:hint="eastAsia" w:ascii="宋体" w:hAnsi="宋体" w:cs="宋体"/>
          <w:color w:val="auto"/>
          <w:kern w:val="0"/>
          <w:szCs w:val="21"/>
          <w:highlight w:val="none"/>
        </w:rPr>
      </w:pPr>
    </w:p>
    <w:p w14:paraId="0E592A45">
      <w:pPr>
        <w:spacing w:before="93" w:beforeLines="30"/>
        <w:ind w:firstLine="4305" w:firstLineChars="2050"/>
        <w:rPr>
          <w:rFonts w:hint="eastAsia" w:ascii="宋体" w:hAnsi="宋体"/>
          <w:color w:val="auto"/>
          <w:highlight w:val="none"/>
        </w:rPr>
      </w:pPr>
    </w:p>
    <w:p w14:paraId="5943E718">
      <w:pPr>
        <w:spacing w:line="400" w:lineRule="exact"/>
        <w:rPr>
          <w:rFonts w:ascii="宋体" w:hAnsi="宋体"/>
          <w:color w:val="auto"/>
          <w:highlight w:val="none"/>
        </w:rPr>
      </w:pPr>
      <w:r>
        <w:rPr>
          <w:rFonts w:hint="eastAsia" w:ascii="宋体" w:hAnsi="宋体"/>
          <w:color w:val="auto"/>
          <w:highlight w:val="none"/>
        </w:rPr>
        <w:t>备注：</w:t>
      </w:r>
      <w:r>
        <w:rPr>
          <w:rFonts w:hint="eastAsia"/>
          <w:color w:val="auto"/>
          <w:highlight w:val="none"/>
        </w:rPr>
        <w:t>现场递交投标文件时使用，</w:t>
      </w:r>
      <w:r>
        <w:rPr>
          <w:rFonts w:hint="eastAsia" w:ascii="宋体" w:hAnsi="宋体"/>
          <w:color w:val="auto"/>
          <w:highlight w:val="none"/>
        </w:rPr>
        <w:t>本表一式两份，招标人和投标人各留存一份备查。</w:t>
      </w:r>
    </w:p>
    <w:p w14:paraId="38E81EE8">
      <w:pPr>
        <w:spacing w:before="93" w:beforeLines="30"/>
        <w:rPr>
          <w:rFonts w:hint="eastAsia" w:ascii="宋体" w:hAnsi="宋体"/>
          <w:color w:val="auto"/>
          <w:highlight w:val="none"/>
        </w:rPr>
      </w:pPr>
    </w:p>
    <w:p w14:paraId="71C88A46">
      <w:pPr>
        <w:rPr>
          <w:rFonts w:hint="eastAsia"/>
          <w:color w:val="auto"/>
          <w:highlight w:val="none"/>
          <w:u w:val="single"/>
        </w:rPr>
      </w:pPr>
    </w:p>
    <w:p w14:paraId="3C102168">
      <w:pPr>
        <w:pStyle w:val="119"/>
        <w:rPr>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pgNumType w:start="1"/>
          <w:cols w:space="720" w:num="1"/>
          <w:docGrid w:type="linesAndChars" w:linePitch="312" w:charSpace="0"/>
        </w:sectPr>
      </w:pPr>
    </w:p>
    <w:bookmarkEnd w:id="944"/>
    <w:bookmarkEnd w:id="945"/>
    <w:bookmarkEnd w:id="946"/>
    <w:bookmarkEnd w:id="947"/>
    <w:bookmarkEnd w:id="948"/>
    <w:p w14:paraId="56CB1508">
      <w:pPr>
        <w:pStyle w:val="5"/>
        <w:spacing w:before="159"/>
        <w:rPr>
          <w:color w:val="auto"/>
          <w:sz w:val="24"/>
          <w:highlight w:val="none"/>
        </w:rPr>
      </w:pPr>
      <w:bookmarkStart w:id="1018" w:name="_Toc17792"/>
      <w:bookmarkStart w:id="1019" w:name="_Toc519085338"/>
      <w:bookmarkStart w:id="1020" w:name="_Toc456173260"/>
      <w:bookmarkStart w:id="1021" w:name="_Toc20074"/>
      <w:bookmarkStart w:id="1022" w:name="_Toc7319"/>
      <w:bookmarkStart w:id="1023" w:name="_Toc16359_WPSOffice_Level1"/>
      <w:bookmarkStart w:id="1024" w:name="_Toc11993"/>
      <w:bookmarkStart w:id="1025" w:name="_Toc16708"/>
      <w:bookmarkStart w:id="1026" w:name="_Toc10524"/>
      <w:r>
        <w:rPr>
          <w:rFonts w:hint="eastAsia"/>
          <w:color w:val="auto"/>
          <w:sz w:val="24"/>
          <w:highlight w:val="none"/>
        </w:rPr>
        <w:t>附表五：开标记录表</w:t>
      </w:r>
      <w:bookmarkEnd w:id="1018"/>
      <w:bookmarkEnd w:id="1019"/>
      <w:bookmarkEnd w:id="1020"/>
      <w:bookmarkEnd w:id="1021"/>
      <w:bookmarkEnd w:id="1022"/>
      <w:bookmarkEnd w:id="1023"/>
      <w:bookmarkEnd w:id="1024"/>
      <w:bookmarkEnd w:id="1025"/>
      <w:bookmarkEnd w:id="1026"/>
    </w:p>
    <w:p w14:paraId="109664A7">
      <w:pPr>
        <w:spacing w:line="400" w:lineRule="exact"/>
        <w:jc w:val="center"/>
        <w:rPr>
          <w:rFonts w:ascii="黑体" w:eastAsia="黑体"/>
          <w:color w:val="auto"/>
          <w:sz w:val="28"/>
          <w:szCs w:val="28"/>
          <w:highlight w:val="none"/>
        </w:rPr>
      </w:pPr>
      <w:r>
        <w:rPr>
          <w:rFonts w:hint="eastAsia" w:ascii="宋体" w:hAnsi="宋体"/>
          <w:color w:val="auto"/>
          <w:highlight w:val="none"/>
          <w:u w:val="single"/>
        </w:rPr>
        <w:t xml:space="preserve"> </w:t>
      </w:r>
      <w:r>
        <w:rPr>
          <w:rFonts w:hint="eastAsia" w:ascii="黑体" w:eastAsia="黑体"/>
          <w:color w:val="auto"/>
          <w:sz w:val="28"/>
          <w:szCs w:val="28"/>
          <w:highlight w:val="none"/>
          <w:u w:val="single"/>
        </w:rPr>
        <w:t xml:space="preserve">      </w:t>
      </w:r>
      <w:bookmarkStart w:id="1027" w:name="_Toc11931_WPSOffice_Level1"/>
      <w:bookmarkStart w:id="1028" w:name="_Toc12871_WPSOffice_Level1"/>
      <w:r>
        <w:rPr>
          <w:rFonts w:hint="eastAsia" w:ascii="黑体" w:eastAsia="黑体"/>
          <w:color w:val="auto"/>
          <w:sz w:val="28"/>
          <w:szCs w:val="28"/>
          <w:highlight w:val="none"/>
        </w:rPr>
        <w:t>（项目名称）</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（标段名称）工程总承包招标开标记录表</w:t>
      </w:r>
      <w:bookmarkEnd w:id="1027"/>
      <w:bookmarkEnd w:id="1028"/>
    </w:p>
    <w:p w14:paraId="69A1E250">
      <w:pPr>
        <w:spacing w:line="400" w:lineRule="exact"/>
        <w:rPr>
          <w:color w:val="auto"/>
          <w:highlight w:val="none"/>
        </w:rPr>
      </w:pPr>
    </w:p>
    <w:p w14:paraId="0E7FE960">
      <w:pPr>
        <w:spacing w:line="400" w:lineRule="exact"/>
        <w:ind w:firstLine="105" w:firstLineChars="50"/>
        <w:rPr>
          <w:rFonts w:ascii="宋体" w:hAnsi="宋体"/>
          <w:color w:val="auto"/>
          <w:highlight w:val="none"/>
        </w:rPr>
      </w:pPr>
      <w:bookmarkStart w:id="1029" w:name="_Toc387753578"/>
      <w:bookmarkStart w:id="1030" w:name="_Toc519085339"/>
      <w:bookmarkStart w:id="1031" w:name="_Toc456173261"/>
      <w:bookmarkStart w:id="1032" w:name="_Toc152042359"/>
      <w:bookmarkStart w:id="1033" w:name="_Toc247527607"/>
      <w:bookmarkStart w:id="1034" w:name="_Toc152045582"/>
      <w:bookmarkStart w:id="1035" w:name="_Toc247514006"/>
      <w:bookmarkStart w:id="1036" w:name="_Toc144974549"/>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p>
    <w:tbl>
      <w:tblPr>
        <w:tblStyle w:val="39"/>
        <w:tblW w:w="14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482"/>
        <w:gridCol w:w="850"/>
        <w:gridCol w:w="1418"/>
        <w:gridCol w:w="1134"/>
        <w:gridCol w:w="1134"/>
        <w:gridCol w:w="1134"/>
        <w:gridCol w:w="850"/>
        <w:gridCol w:w="1132"/>
        <w:gridCol w:w="1276"/>
        <w:gridCol w:w="992"/>
        <w:gridCol w:w="1134"/>
      </w:tblGrid>
      <w:tr w14:paraId="50FD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7"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68AAAE">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序号</w:t>
            </w:r>
          </w:p>
        </w:tc>
        <w:tc>
          <w:tcPr>
            <w:tcW w:w="2482"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FE60DF">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投标人名称</w:t>
            </w:r>
          </w:p>
        </w:tc>
        <w:tc>
          <w:tcPr>
            <w:tcW w:w="850"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A07F3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w:t>
            </w:r>
          </w:p>
          <w:p w14:paraId="550B109F">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保证金</w:t>
            </w:r>
          </w:p>
        </w:tc>
        <w:tc>
          <w:tcPr>
            <w:tcW w:w="1418"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BD5434B">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投标报价（元）</w:t>
            </w:r>
          </w:p>
        </w:tc>
        <w:tc>
          <w:tcPr>
            <w:tcW w:w="1134"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93931E9">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工期</w:t>
            </w:r>
          </w:p>
          <w:p w14:paraId="426E0C9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（日历天）</w:t>
            </w:r>
          </w:p>
        </w:tc>
        <w:tc>
          <w:tcPr>
            <w:tcW w:w="1134"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top"/>
          </w:tcPr>
          <w:p w14:paraId="4B284FD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设计质量目标</w:t>
            </w:r>
          </w:p>
        </w:tc>
        <w:tc>
          <w:tcPr>
            <w:tcW w:w="1134"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F9953D">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施工质量</w:t>
            </w:r>
          </w:p>
          <w:p w14:paraId="6B428A2C">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目标</w:t>
            </w:r>
          </w:p>
        </w:tc>
        <w:tc>
          <w:tcPr>
            <w:tcW w:w="3258"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BA5D61">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项目负责人</w:t>
            </w:r>
          </w:p>
        </w:tc>
        <w:tc>
          <w:tcPr>
            <w:tcW w:w="992"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0CEB01A">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投标人</w:t>
            </w:r>
          </w:p>
          <w:p w14:paraId="4AA7FF0F">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代表</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3313408E">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联系电话</w:t>
            </w:r>
          </w:p>
        </w:tc>
      </w:tr>
      <w:tr w14:paraId="6354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14:paraId="1FF004D3">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2482" w:type="dxa"/>
            <w:vMerge w:val="continue"/>
            <w:tcBorders>
              <w:top w:val="single" w:color="auto" w:sz="4" w:space="0"/>
              <w:left w:val="single" w:color="auto" w:sz="4" w:space="0"/>
              <w:bottom w:val="single" w:color="auto" w:sz="4" w:space="0"/>
              <w:right w:val="single" w:color="auto" w:sz="4" w:space="0"/>
            </w:tcBorders>
            <w:noWrap w:val="0"/>
            <w:vAlign w:val="center"/>
          </w:tcPr>
          <w:p w14:paraId="12C3828E">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6821B42E">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04F7D8D8">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37D5276D">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left w:val="single" w:color="auto" w:sz="4" w:space="0"/>
              <w:bottom w:val="single" w:color="auto" w:sz="4" w:space="0"/>
              <w:right w:val="single" w:color="auto" w:sz="4" w:space="0"/>
            </w:tcBorders>
            <w:noWrap w:val="0"/>
            <w:vAlign w:val="top"/>
          </w:tcPr>
          <w:p w14:paraId="70E3D465">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27A9EB91">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7830D5A">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姓名</w:t>
            </w:r>
          </w:p>
        </w:tc>
        <w:tc>
          <w:tcPr>
            <w:tcW w:w="1132" w:type="dxa"/>
            <w:tcBorders>
              <w:top w:val="single" w:color="auto" w:sz="4" w:space="0"/>
              <w:left w:val="single" w:color="auto" w:sz="4" w:space="0"/>
              <w:bottom w:val="single" w:color="auto" w:sz="4" w:space="0"/>
              <w:right w:val="single" w:color="auto" w:sz="4" w:space="0"/>
            </w:tcBorders>
            <w:noWrap w:val="0"/>
            <w:vAlign w:val="center"/>
          </w:tcPr>
          <w:p w14:paraId="5F098E7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证书名称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F74DA0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证书编号</w:t>
            </w: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325E9EE0">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5CC366AB">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r>
      <w:tr w14:paraId="1E8F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B23F9F4">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5228BE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C1E8BAC">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0A73D5C">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7D563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222ECBF6">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E83696">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F1A526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1CE9FD7E">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32D5E5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4E7B12">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B93FF5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r>
      <w:tr w14:paraId="1065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360264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70A91A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82B768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11645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DD8FE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2FA4E40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8D0948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20E4B6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1A6AE8A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E31C79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71FE4E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F94397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0A3A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66A4A6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B8E16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6BE87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9DBC7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D94D7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29BCA4C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3D93E2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BD3092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720933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A89229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FD9EDD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63E1E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3207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7B56E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4F1936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59AEC6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E1983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26C253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302BE93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FA4E5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B2D13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029139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B67F02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C0F828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BA76E9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083E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B292C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4D7A34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ED2DB3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581F2E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45424A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4D4F160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15AD3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50EFA9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1773178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5B3AF4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8C7871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9C27A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0AE5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A2B8EB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6AFE88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831AB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C0B7F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DF7755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2C79EEC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55EFBC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D0679C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31224A9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D82E0B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64100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E85629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52E0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D8A63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67EF5D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0D98AB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35546A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B27768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15C02E9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EA83D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B84B40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34B4329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21DC3B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1DC2E9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B31EF7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1CD4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3B6150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A5B51B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3743C7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3C4024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32676B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4C2EDC8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14FA3B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39C9D4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1A8A7CD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6F08B8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828020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EF321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23EB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9"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E5C7E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r>
              <w:rPr>
                <w:rFonts w:hint="eastAsia" w:ascii="Calibri" w:hAnsi="Calibri" w:eastAsia="宋体" w:cs="Times New Roman"/>
                <w:color w:val="auto"/>
                <w:highlight w:val="none"/>
              </w:rPr>
              <w:t>最高投标限价</w:t>
            </w:r>
            <w:r>
              <w:rPr>
                <w:rFonts w:hint="eastAsia" w:ascii="宋体" w:hAnsi="宋体" w:eastAsia="宋体" w:cs="Times New Roman"/>
                <w:color w:val="auto"/>
                <w:highlight w:val="none"/>
              </w:rPr>
              <w:t>（元）</w:t>
            </w:r>
          </w:p>
        </w:tc>
        <w:tc>
          <w:tcPr>
            <w:tcW w:w="11054" w:type="dxa"/>
            <w:gridSpan w:val="10"/>
            <w:tcBorders>
              <w:top w:val="single" w:color="auto" w:sz="4" w:space="0"/>
              <w:left w:val="single" w:color="auto" w:sz="4" w:space="0"/>
              <w:bottom w:val="single" w:color="auto" w:sz="4" w:space="0"/>
              <w:right w:val="single" w:color="auto" w:sz="4" w:space="0"/>
            </w:tcBorders>
            <w:noWrap w:val="0"/>
            <w:vAlign w:val="top"/>
          </w:tcPr>
          <w:p w14:paraId="3547605D">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tc>
      </w:tr>
      <w:tr w14:paraId="1B76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9"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D56973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r>
              <w:rPr>
                <w:rFonts w:hint="eastAsia" w:ascii="Calibri" w:hAnsi="Calibri" w:eastAsia="宋体" w:cs="Times New Roman"/>
                <w:color w:val="auto"/>
                <w:szCs w:val="21"/>
                <w:highlight w:val="none"/>
              </w:rPr>
              <w:t>开标过程需记录的其他事项</w:t>
            </w:r>
          </w:p>
        </w:tc>
        <w:tc>
          <w:tcPr>
            <w:tcW w:w="11054" w:type="dxa"/>
            <w:gridSpan w:val="10"/>
            <w:tcBorders>
              <w:top w:val="single" w:color="auto" w:sz="4" w:space="0"/>
              <w:left w:val="single" w:color="auto" w:sz="4" w:space="0"/>
              <w:bottom w:val="single" w:color="auto" w:sz="4" w:space="0"/>
              <w:right w:val="single" w:color="auto" w:sz="4" w:space="0"/>
            </w:tcBorders>
            <w:noWrap w:val="0"/>
            <w:vAlign w:val="top"/>
          </w:tcPr>
          <w:p w14:paraId="1B35B765">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p w14:paraId="7C84DBFC">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tc>
      </w:tr>
    </w:tbl>
    <w:p w14:paraId="10577BEF">
      <w:pPr>
        <w:spacing w:line="400" w:lineRule="exact"/>
        <w:rPr>
          <w:rFonts w:hint="eastAsia" w:ascii="宋体" w:hAnsi="宋体"/>
          <w:color w:val="auto"/>
          <w:highlight w:val="none"/>
          <w:u w:val="single"/>
        </w:rPr>
      </w:pP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381751F3">
      <w:pPr>
        <w:pStyle w:val="114"/>
        <w:spacing w:before="63"/>
        <w:rPr>
          <w:rFonts w:hint="eastAsia"/>
          <w:color w:val="auto"/>
          <w:highlight w:val="none"/>
        </w:rPr>
        <w:sectPr>
          <w:footerReference r:id="rId7" w:type="default"/>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 w:linePitch="319" w:charSpace="0"/>
        </w:sectPr>
      </w:pPr>
    </w:p>
    <w:p w14:paraId="7FB1E2B4">
      <w:pPr>
        <w:pStyle w:val="5"/>
        <w:spacing w:before="159"/>
        <w:rPr>
          <w:rFonts w:hint="eastAsia"/>
          <w:color w:val="auto"/>
          <w:sz w:val="24"/>
          <w:highlight w:val="none"/>
        </w:rPr>
      </w:pPr>
      <w:bookmarkStart w:id="1037" w:name="_Toc2579"/>
      <w:bookmarkStart w:id="1038" w:name="_Toc21572"/>
      <w:bookmarkStart w:id="1039" w:name="_Toc16692"/>
      <w:bookmarkStart w:id="1040" w:name="_Toc19449"/>
      <w:bookmarkStart w:id="1041" w:name="_Toc24036"/>
      <w:bookmarkStart w:id="1042" w:name="_Toc22112"/>
      <w:bookmarkStart w:id="1043" w:name="_Toc9315_WPSOffice_Level2"/>
      <w:r>
        <w:rPr>
          <w:color w:val="auto"/>
          <w:sz w:val="24"/>
          <w:highlight w:val="none"/>
        </w:rPr>
        <w:t>附</w:t>
      </w:r>
      <w:r>
        <w:rPr>
          <w:rFonts w:hint="eastAsia"/>
          <w:color w:val="auto"/>
          <w:sz w:val="24"/>
          <w:highlight w:val="none"/>
        </w:rPr>
        <w:t>表六</w:t>
      </w:r>
      <w:r>
        <w:rPr>
          <w:color w:val="auto"/>
          <w:sz w:val="24"/>
          <w:highlight w:val="none"/>
        </w:rPr>
        <w:t>：</w:t>
      </w:r>
      <w:bookmarkEnd w:id="1029"/>
      <w:r>
        <w:rPr>
          <w:rFonts w:hint="eastAsia"/>
          <w:color w:val="auto"/>
          <w:sz w:val="24"/>
          <w:highlight w:val="none"/>
        </w:rPr>
        <w:t>投标文件澄清通知</w:t>
      </w:r>
      <w:bookmarkEnd w:id="1030"/>
      <w:bookmarkEnd w:id="1031"/>
      <w:bookmarkEnd w:id="1037"/>
      <w:bookmarkEnd w:id="1038"/>
      <w:bookmarkEnd w:id="1039"/>
      <w:bookmarkEnd w:id="1040"/>
      <w:bookmarkEnd w:id="1041"/>
      <w:bookmarkEnd w:id="1042"/>
      <w:bookmarkEnd w:id="1043"/>
    </w:p>
    <w:p w14:paraId="5D3CC1E5">
      <w:pPr>
        <w:spacing w:line="440" w:lineRule="exact"/>
        <w:rPr>
          <w:rFonts w:hint="eastAsia"/>
          <w:color w:val="auto"/>
          <w:szCs w:val="21"/>
          <w:highlight w:val="none"/>
        </w:rPr>
      </w:pPr>
      <w:r>
        <w:rPr>
          <w:color w:val="auto"/>
          <w:szCs w:val="21"/>
          <w:highlight w:val="none"/>
        </w:rPr>
        <w:t xml:space="preserve">                              </w:t>
      </w:r>
    </w:p>
    <w:p w14:paraId="5AFB5B41">
      <w:pPr>
        <w:spacing w:before="319" w:beforeLines="100" w:after="319" w:afterLines="100" w:line="480" w:lineRule="exact"/>
        <w:jc w:val="center"/>
        <w:rPr>
          <w:rFonts w:hint="eastAsia" w:ascii="黑体" w:eastAsia="黑体"/>
          <w:color w:val="auto"/>
          <w:sz w:val="28"/>
          <w:szCs w:val="28"/>
          <w:highlight w:val="none"/>
        </w:rPr>
      </w:pPr>
      <w:bookmarkStart w:id="1044" w:name="_Toc226_WPSOffice_Level1"/>
      <w:bookmarkStart w:id="1045" w:name="_Toc5127_WPSOffice_Level1"/>
      <w:r>
        <w:rPr>
          <w:rFonts w:hint="eastAsia" w:ascii="黑体" w:eastAsia="黑体"/>
          <w:color w:val="auto"/>
          <w:sz w:val="28"/>
          <w:szCs w:val="28"/>
          <w:highlight w:val="none"/>
        </w:rPr>
        <w:t>投标文件</w:t>
      </w:r>
      <w:r>
        <w:rPr>
          <w:rFonts w:eastAsia="黑体"/>
          <w:color w:val="auto"/>
          <w:sz w:val="28"/>
          <w:szCs w:val="28"/>
          <w:highlight w:val="none"/>
        </w:rPr>
        <w:t>问题</w:t>
      </w:r>
      <w:r>
        <w:rPr>
          <w:rFonts w:hint="eastAsia" w:ascii="黑体" w:eastAsia="黑体"/>
          <w:color w:val="auto"/>
          <w:sz w:val="28"/>
          <w:szCs w:val="28"/>
          <w:highlight w:val="none"/>
        </w:rPr>
        <w:t>澄清通知</w:t>
      </w:r>
      <w:bookmarkEnd w:id="1044"/>
      <w:bookmarkEnd w:id="1045"/>
    </w:p>
    <w:p w14:paraId="622438B1">
      <w:pPr>
        <w:spacing w:line="440" w:lineRule="exact"/>
        <w:jc w:val="center"/>
        <w:rPr>
          <w:color w:val="auto"/>
          <w:szCs w:val="21"/>
          <w:highlight w:val="none"/>
        </w:rPr>
      </w:pPr>
      <w:r>
        <w:rPr>
          <w:rFonts w:hint="eastAsia"/>
          <w:color w:val="auto"/>
          <w:szCs w:val="21"/>
          <w:highlight w:val="none"/>
        </w:rPr>
        <w:t xml:space="preserve">                                            </w:t>
      </w:r>
      <w:bookmarkStart w:id="1046" w:name="_Toc19999_WPSOffice_Level2"/>
      <w:bookmarkStart w:id="1047" w:name="_Toc7952_WPSOffice_Level2"/>
      <w:r>
        <w:rPr>
          <w:rFonts w:hint="eastAsia"/>
          <w:color w:val="auto"/>
          <w:szCs w:val="21"/>
          <w:highlight w:val="none"/>
        </w:rPr>
        <w:t>交易登记</w:t>
      </w:r>
      <w:r>
        <w:rPr>
          <w:color w:val="auto"/>
          <w:szCs w:val="21"/>
          <w:highlight w:val="none"/>
        </w:rPr>
        <w:t>号：</w:t>
      </w:r>
      <w:bookmarkEnd w:id="1046"/>
      <w:bookmarkEnd w:id="1047"/>
    </w:p>
    <w:p w14:paraId="3D8EE076">
      <w:pPr>
        <w:spacing w:line="440" w:lineRule="exact"/>
        <w:jc w:val="center"/>
        <w:rPr>
          <w:color w:val="auto"/>
          <w:szCs w:val="21"/>
          <w:highlight w:val="none"/>
        </w:rPr>
      </w:pPr>
    </w:p>
    <w:p w14:paraId="59BEE2F5">
      <w:pPr>
        <w:spacing w:line="440" w:lineRule="exact"/>
        <w:rPr>
          <w:rFonts w:ascii="宋体" w:hAnsi="宋体"/>
          <w:color w:val="auto"/>
          <w:szCs w:val="21"/>
          <w:highlight w:val="none"/>
        </w:rPr>
      </w:pPr>
      <w:r>
        <w:rPr>
          <w:color w:val="auto"/>
          <w:szCs w:val="21"/>
          <w:highlight w:val="none"/>
        </w:rPr>
        <w:t xml:space="preserve"> </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投标人名称</w:t>
      </w:r>
      <w:r>
        <w:rPr>
          <w:rFonts w:ascii="宋体" w:hAnsi="宋体"/>
          <w:color w:val="auto"/>
          <w:szCs w:val="21"/>
          <w:highlight w:val="none"/>
        </w:rPr>
        <w:t>）：</w:t>
      </w:r>
    </w:p>
    <w:p w14:paraId="3F10C8BF">
      <w:pPr>
        <w:spacing w:line="440" w:lineRule="exact"/>
        <w:rPr>
          <w:rFonts w:ascii="宋体" w:hAnsi="宋体"/>
          <w:color w:val="auto"/>
          <w:szCs w:val="21"/>
          <w:highlight w:val="none"/>
        </w:rPr>
      </w:pPr>
    </w:p>
    <w:p w14:paraId="46B101E9">
      <w:pPr>
        <w:spacing w:line="480" w:lineRule="exact"/>
        <w:ind w:firstLine="525" w:firstLineChars="250"/>
        <w:rPr>
          <w:rFonts w:hint="eastAsia"/>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（标段名称）工程总承包招标的</w:t>
      </w:r>
      <w:r>
        <w:rPr>
          <w:rFonts w:ascii="宋体" w:hAnsi="宋体"/>
          <w:color w:val="auto"/>
          <w:szCs w:val="21"/>
          <w:highlight w:val="none"/>
        </w:rPr>
        <w:t>评标委员会</w:t>
      </w:r>
      <w:r>
        <w:rPr>
          <w:rFonts w:hint="eastAsia" w:ascii="宋体" w:hAnsi="宋体"/>
          <w:color w:val="auto"/>
          <w:szCs w:val="21"/>
          <w:highlight w:val="none"/>
        </w:rPr>
        <w:t>，</w:t>
      </w:r>
      <w:r>
        <w:rPr>
          <w:rFonts w:hint="eastAsia"/>
          <w:color w:val="auto"/>
          <w:highlight w:val="none"/>
        </w:rPr>
        <w:t>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时前，通过“市电子交易平台”“投标文件澄清”菜单提交给本评标委员会。</w:t>
      </w:r>
    </w:p>
    <w:p w14:paraId="28C10FF0">
      <w:pPr>
        <w:spacing w:line="440" w:lineRule="exact"/>
        <w:ind w:firstLine="420" w:firstLineChars="200"/>
        <w:rPr>
          <w:color w:val="auto"/>
          <w:highlight w:val="none"/>
        </w:rPr>
      </w:pPr>
      <w:bookmarkStart w:id="1048" w:name="_Toc8695_WPSOffice_Level1"/>
      <w:bookmarkStart w:id="1049" w:name="_Toc13313_WPSOffice_Level1"/>
      <w:r>
        <w:rPr>
          <w:color w:val="auto"/>
          <w:highlight w:val="none"/>
        </w:rPr>
        <w:t>1</w:t>
      </w:r>
      <w:r>
        <w:rPr>
          <w:rFonts w:hint="eastAsia"/>
          <w:color w:val="auto"/>
          <w:highlight w:val="none"/>
        </w:rPr>
        <w:t>、</w:t>
      </w:r>
      <w:r>
        <w:rPr>
          <w:color w:val="auto"/>
          <w:highlight w:val="none"/>
        </w:rPr>
        <w:t xml:space="preserve"> ......</w:t>
      </w:r>
      <w:bookmarkEnd w:id="1048"/>
      <w:bookmarkEnd w:id="1049"/>
    </w:p>
    <w:p w14:paraId="4C85A31A">
      <w:pPr>
        <w:spacing w:line="440" w:lineRule="exact"/>
        <w:rPr>
          <w:color w:val="auto"/>
          <w:highlight w:val="none"/>
        </w:rPr>
      </w:pPr>
      <w:r>
        <w:rPr>
          <w:color w:val="auto"/>
          <w:highlight w:val="none"/>
        </w:rPr>
        <w:t xml:space="preserve">    </w:t>
      </w:r>
      <w:bookmarkStart w:id="1050" w:name="_Toc22039_WPSOffice_Level1"/>
      <w:bookmarkStart w:id="1051" w:name="_Toc30797_WPSOffice_Level1"/>
      <w:r>
        <w:rPr>
          <w:color w:val="auto"/>
          <w:highlight w:val="none"/>
        </w:rPr>
        <w:t>2</w:t>
      </w:r>
      <w:r>
        <w:rPr>
          <w:rFonts w:hint="eastAsia"/>
          <w:color w:val="auto"/>
          <w:highlight w:val="none"/>
        </w:rPr>
        <w:t>、</w:t>
      </w:r>
      <w:r>
        <w:rPr>
          <w:color w:val="auto"/>
          <w:highlight w:val="none"/>
        </w:rPr>
        <w:t xml:space="preserve"> ......</w:t>
      </w:r>
      <w:bookmarkEnd w:id="1050"/>
      <w:bookmarkEnd w:id="1051"/>
    </w:p>
    <w:p w14:paraId="60821C44">
      <w:pPr>
        <w:spacing w:line="440" w:lineRule="exact"/>
        <w:rPr>
          <w:color w:val="auto"/>
          <w:highlight w:val="none"/>
        </w:rPr>
      </w:pPr>
      <w:r>
        <w:rPr>
          <w:color w:val="auto"/>
          <w:highlight w:val="none"/>
        </w:rPr>
        <w:t xml:space="preserve">     ......   </w:t>
      </w:r>
    </w:p>
    <w:p w14:paraId="7E43F23C">
      <w:pPr>
        <w:spacing w:line="440" w:lineRule="exact"/>
        <w:rPr>
          <w:rFonts w:ascii="宋体" w:hAnsi="宋体"/>
          <w:color w:val="auto"/>
          <w:szCs w:val="21"/>
          <w:highlight w:val="none"/>
        </w:rPr>
      </w:pPr>
    </w:p>
    <w:p w14:paraId="2BB62E2C">
      <w:pPr>
        <w:spacing w:line="440" w:lineRule="exact"/>
        <w:rPr>
          <w:rFonts w:hint="eastAsia" w:ascii="宋体" w:hAnsi="宋体"/>
          <w:color w:val="auto"/>
          <w:szCs w:val="21"/>
          <w:highlight w:val="none"/>
        </w:rPr>
      </w:pPr>
    </w:p>
    <w:p w14:paraId="3EE7B0BD">
      <w:pPr>
        <w:spacing w:line="440" w:lineRule="exact"/>
        <w:rPr>
          <w:rFonts w:hint="eastAsia" w:ascii="宋体" w:hAnsi="宋体"/>
          <w:color w:val="auto"/>
          <w:szCs w:val="21"/>
          <w:highlight w:val="none"/>
        </w:rPr>
      </w:pPr>
    </w:p>
    <w:p w14:paraId="65F4865C">
      <w:pPr>
        <w:spacing w:line="440" w:lineRule="exact"/>
        <w:rPr>
          <w:rFonts w:hint="eastAsia" w:ascii="宋体" w:hAnsi="宋体"/>
          <w:color w:val="auto"/>
          <w:szCs w:val="21"/>
          <w:highlight w:val="none"/>
        </w:rPr>
      </w:pPr>
    </w:p>
    <w:p w14:paraId="572FD548">
      <w:pPr>
        <w:spacing w:line="440" w:lineRule="exact"/>
        <w:rPr>
          <w:rFonts w:hint="eastAsia" w:ascii="宋体" w:hAnsi="宋体"/>
          <w:color w:val="auto"/>
          <w:szCs w:val="21"/>
          <w:highlight w:val="none"/>
        </w:rPr>
      </w:pPr>
    </w:p>
    <w:p w14:paraId="26B3685B">
      <w:pPr>
        <w:spacing w:line="44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ascii="宋体" w:hAnsi="宋体"/>
          <w:color w:val="auto"/>
          <w:szCs w:val="21"/>
          <w:highlight w:val="none"/>
        </w:rPr>
        <w:t>评标委员会</w:t>
      </w:r>
    </w:p>
    <w:p w14:paraId="3BDD85FC">
      <w:pPr>
        <w:spacing w:line="440" w:lineRule="exact"/>
        <w:ind w:firstLine="1890" w:firstLineChars="900"/>
        <w:rPr>
          <w:rFonts w:hint="eastAsia"/>
          <w:color w:val="auto"/>
          <w:szCs w:val="21"/>
          <w:highlight w:val="none"/>
        </w:rPr>
      </w:pPr>
      <w:r>
        <w:rPr>
          <w:rFonts w:hint="eastAsia"/>
          <w:color w:val="auto"/>
          <w:highlight w:val="none"/>
        </w:rPr>
        <w:t>（经评标委员会授权的评标委员会组长签字）：</w:t>
      </w:r>
      <w:r>
        <w:rPr>
          <w:rFonts w:hint="eastAsia"/>
          <w:color w:val="auto"/>
          <w:highlight w:val="none"/>
          <w:u w:val="single"/>
        </w:rPr>
        <w:t xml:space="preserve">                      </w:t>
      </w:r>
    </w:p>
    <w:p w14:paraId="5E3687B0">
      <w:pPr>
        <w:spacing w:line="440" w:lineRule="exact"/>
        <w:jc w:val="right"/>
        <w:rPr>
          <w:rFonts w:hint="eastAsia" w:ascii="宋体" w:hAnsi="宋体"/>
          <w:color w:val="auto"/>
          <w:szCs w:val="21"/>
          <w:highlight w:val="none"/>
        </w:rPr>
      </w:pPr>
    </w:p>
    <w:p w14:paraId="40EB66F1">
      <w:pPr>
        <w:spacing w:line="440" w:lineRule="exact"/>
        <w:jc w:val="right"/>
        <w:rPr>
          <w:rFonts w:ascii="宋体" w:hAnsi="宋体"/>
          <w:color w:val="auto"/>
          <w:szCs w:val="21"/>
          <w:highlight w:val="none"/>
        </w:rPr>
      </w:pP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年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月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w:t>
      </w:r>
    </w:p>
    <w:p w14:paraId="5D09E636">
      <w:pPr>
        <w:spacing w:line="400" w:lineRule="exact"/>
        <w:jc w:val="right"/>
        <w:rPr>
          <w:rFonts w:hint="eastAsia"/>
          <w:color w:val="auto"/>
          <w:highlight w:val="none"/>
        </w:rPr>
      </w:pPr>
    </w:p>
    <w:p w14:paraId="30A869DE">
      <w:pPr>
        <w:spacing w:line="400" w:lineRule="exact"/>
        <w:jc w:val="left"/>
        <w:rPr>
          <w:color w:val="auto"/>
          <w:szCs w:val="21"/>
          <w:highlight w:val="none"/>
        </w:rPr>
      </w:pPr>
      <w:r>
        <w:rPr>
          <w:rFonts w:hint="eastAsia"/>
          <w:color w:val="auto"/>
          <w:szCs w:val="21"/>
          <w:highlight w:val="none"/>
        </w:rPr>
        <w:t>备注：评标委员会要求投标人澄清投标文件有关问题时，适用于本格式。</w:t>
      </w:r>
    </w:p>
    <w:p w14:paraId="7436BFA5">
      <w:pPr>
        <w:spacing w:line="400" w:lineRule="exact"/>
        <w:jc w:val="left"/>
        <w:rPr>
          <w:rFonts w:hint="eastAsia"/>
          <w:color w:val="auto"/>
          <w:highlight w:val="none"/>
        </w:rPr>
      </w:pPr>
    </w:p>
    <w:p w14:paraId="40DE7401">
      <w:pPr>
        <w:pStyle w:val="5"/>
        <w:spacing w:before="159"/>
        <w:rPr>
          <w:rFonts w:hint="eastAsia"/>
          <w:color w:val="auto"/>
          <w:sz w:val="24"/>
          <w:highlight w:val="none"/>
        </w:rPr>
      </w:pPr>
      <w:bookmarkStart w:id="1052" w:name="_Toc387753579"/>
      <w:bookmarkStart w:id="1053" w:name="_Toc519085340"/>
      <w:bookmarkStart w:id="1054" w:name="_Toc456173262"/>
      <w:bookmarkStart w:id="1055" w:name="_Toc867"/>
      <w:bookmarkStart w:id="1056" w:name="_Toc15840"/>
      <w:bookmarkStart w:id="1057" w:name="_Toc15332"/>
      <w:bookmarkStart w:id="1058" w:name="_Toc20079"/>
      <w:r>
        <w:rPr>
          <w:rFonts w:hint="eastAsia"/>
          <w:color w:val="auto"/>
          <w:highlight w:val="none"/>
        </w:rPr>
        <w:br w:type="page"/>
      </w:r>
      <w:bookmarkStart w:id="1059" w:name="_Toc24431"/>
      <w:bookmarkStart w:id="1060" w:name="_Toc21187"/>
      <w:bookmarkStart w:id="1061" w:name="_Toc29250_WPSOffice_Level2"/>
      <w:r>
        <w:rPr>
          <w:rFonts w:hint="eastAsia"/>
          <w:color w:val="auto"/>
          <w:sz w:val="24"/>
          <w:highlight w:val="none"/>
        </w:rPr>
        <w:t>附表七：</w:t>
      </w:r>
      <w:bookmarkEnd w:id="1052"/>
      <w:r>
        <w:rPr>
          <w:rFonts w:hint="eastAsia"/>
          <w:color w:val="auto"/>
          <w:sz w:val="24"/>
          <w:highlight w:val="none"/>
        </w:rPr>
        <w:t>投标文件问题的澄清</w:t>
      </w:r>
      <w:bookmarkEnd w:id="1053"/>
      <w:bookmarkEnd w:id="1054"/>
      <w:bookmarkEnd w:id="1055"/>
      <w:bookmarkEnd w:id="1056"/>
      <w:bookmarkEnd w:id="1057"/>
      <w:bookmarkEnd w:id="1058"/>
      <w:bookmarkEnd w:id="1059"/>
      <w:bookmarkEnd w:id="1060"/>
      <w:bookmarkEnd w:id="1061"/>
    </w:p>
    <w:p w14:paraId="4E6EDDC9">
      <w:pPr>
        <w:spacing w:line="400" w:lineRule="exact"/>
        <w:jc w:val="center"/>
        <w:rPr>
          <w:rFonts w:hint="eastAsia" w:ascii="黑体" w:eastAsia="黑体"/>
          <w:color w:val="auto"/>
          <w:sz w:val="24"/>
          <w:highlight w:val="none"/>
        </w:rPr>
      </w:pPr>
    </w:p>
    <w:p w14:paraId="12EB968D">
      <w:pPr>
        <w:spacing w:before="319" w:beforeLines="100" w:after="319" w:afterLines="100" w:line="480" w:lineRule="exact"/>
        <w:jc w:val="center"/>
        <w:rPr>
          <w:rFonts w:hint="eastAsia" w:ascii="黑体" w:eastAsia="黑体"/>
          <w:color w:val="auto"/>
          <w:sz w:val="28"/>
          <w:szCs w:val="28"/>
          <w:highlight w:val="none"/>
        </w:rPr>
      </w:pPr>
      <w:bookmarkStart w:id="1062" w:name="_Toc30153_WPSOffice_Level1"/>
      <w:bookmarkStart w:id="1063" w:name="_Toc23512_WPSOffice_Level1"/>
      <w:r>
        <w:rPr>
          <w:rFonts w:hint="eastAsia" w:ascii="黑体" w:eastAsia="黑体"/>
          <w:color w:val="auto"/>
          <w:sz w:val="28"/>
          <w:szCs w:val="28"/>
          <w:highlight w:val="none"/>
        </w:rPr>
        <w:t>投标文件问题的澄清</w:t>
      </w:r>
      <w:bookmarkEnd w:id="1062"/>
      <w:bookmarkEnd w:id="1063"/>
    </w:p>
    <w:p w14:paraId="02096762">
      <w:pPr>
        <w:spacing w:line="440" w:lineRule="exact"/>
        <w:jc w:val="center"/>
        <w:rPr>
          <w:color w:val="auto"/>
          <w:szCs w:val="21"/>
          <w:highlight w:val="none"/>
        </w:rPr>
      </w:pPr>
      <w:r>
        <w:rPr>
          <w:rFonts w:hint="eastAsia"/>
          <w:color w:val="auto"/>
          <w:szCs w:val="21"/>
          <w:highlight w:val="none"/>
        </w:rPr>
        <w:t xml:space="preserve">                                            </w:t>
      </w:r>
      <w:bookmarkStart w:id="1064" w:name="_Toc1329_WPSOffice_Level2"/>
      <w:bookmarkStart w:id="1065" w:name="_Toc13462_WPSOffice_Level2"/>
      <w:r>
        <w:rPr>
          <w:rFonts w:hint="eastAsia"/>
          <w:color w:val="auto"/>
          <w:szCs w:val="21"/>
          <w:highlight w:val="none"/>
        </w:rPr>
        <w:t>交易登记</w:t>
      </w:r>
      <w:r>
        <w:rPr>
          <w:color w:val="auto"/>
          <w:szCs w:val="21"/>
          <w:highlight w:val="none"/>
        </w:rPr>
        <w:t>号：</w:t>
      </w:r>
      <w:bookmarkEnd w:id="1064"/>
      <w:bookmarkEnd w:id="1065"/>
    </w:p>
    <w:p w14:paraId="19A3F564">
      <w:pPr>
        <w:spacing w:line="400" w:lineRule="exact"/>
        <w:rPr>
          <w:color w:val="auto"/>
          <w:szCs w:val="21"/>
          <w:highlight w:val="none"/>
        </w:rPr>
      </w:pPr>
    </w:p>
    <w:p w14:paraId="39DCD9FF">
      <w:pPr>
        <w:spacing w:line="560" w:lineRule="exact"/>
        <w:rPr>
          <w:rFonts w:ascii="宋体" w:hAnsi="宋体"/>
          <w:color w:val="auto"/>
          <w:szCs w:val="21"/>
          <w:highlight w:val="none"/>
        </w:rPr>
      </w:pP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ascii="宋体" w:hAnsi="宋体"/>
          <w:color w:val="auto"/>
          <w:szCs w:val="21"/>
          <w:highlight w:val="none"/>
        </w:rPr>
        <w:t>评标委员会：</w:t>
      </w:r>
    </w:p>
    <w:p w14:paraId="71271D39">
      <w:pPr>
        <w:spacing w:line="560" w:lineRule="exact"/>
        <w:rPr>
          <w:rFonts w:ascii="宋体" w:hAnsi="宋体"/>
          <w:color w:val="auto"/>
          <w:szCs w:val="21"/>
          <w:highlight w:val="none"/>
        </w:rPr>
      </w:pPr>
    </w:p>
    <w:p w14:paraId="154B8CEE">
      <w:pPr>
        <w:spacing w:line="560" w:lineRule="exact"/>
        <w:rPr>
          <w:rFonts w:ascii="宋体" w:hAnsi="宋体"/>
          <w:color w:val="auto"/>
          <w:szCs w:val="21"/>
          <w:highlight w:val="none"/>
        </w:rPr>
      </w:pPr>
      <w:r>
        <w:rPr>
          <w:rFonts w:ascii="宋体" w:hAnsi="宋体"/>
          <w:color w:val="auto"/>
          <w:szCs w:val="21"/>
          <w:highlight w:val="none"/>
        </w:rPr>
        <w:t>　　</w:t>
      </w:r>
      <w:r>
        <w:rPr>
          <w:rFonts w:hint="eastAsia" w:ascii="宋体" w:hAnsi="宋体"/>
          <w:color w:val="auto"/>
          <w:szCs w:val="21"/>
          <w:highlight w:val="none"/>
        </w:rPr>
        <w:t>投标文件问题澄清</w:t>
      </w:r>
      <w:r>
        <w:rPr>
          <w:rFonts w:ascii="宋体" w:hAnsi="宋体"/>
          <w:color w:val="auto"/>
          <w:szCs w:val="21"/>
          <w:highlight w:val="none"/>
        </w:rPr>
        <w:t>通知（编号：</w:t>
      </w:r>
      <w:r>
        <w:rPr>
          <w:rFonts w:ascii="宋体" w:hAnsi="宋体"/>
          <w:color w:val="auto"/>
          <w:szCs w:val="21"/>
          <w:highlight w:val="none"/>
          <w:u w:val="single"/>
        </w:rPr>
        <w:t xml:space="preserve">        </w:t>
      </w:r>
      <w:r>
        <w:rPr>
          <w:rFonts w:ascii="宋体" w:hAnsi="宋体"/>
          <w:color w:val="auto"/>
          <w:szCs w:val="21"/>
          <w:highlight w:val="none"/>
        </w:rPr>
        <w:t>）已收悉，现</w:t>
      </w:r>
      <w:r>
        <w:rPr>
          <w:color w:val="auto"/>
          <w:szCs w:val="21"/>
          <w:highlight w:val="none"/>
        </w:rPr>
        <w:t>澄清</w:t>
      </w:r>
      <w:r>
        <w:rPr>
          <w:rFonts w:hint="eastAsia"/>
          <w:color w:val="auto"/>
          <w:highlight w:val="none"/>
        </w:rPr>
        <w:t>、说明或者补正</w:t>
      </w:r>
      <w:r>
        <w:rPr>
          <w:color w:val="auto"/>
          <w:szCs w:val="21"/>
          <w:highlight w:val="none"/>
        </w:rPr>
        <w:t>如下</w:t>
      </w:r>
      <w:r>
        <w:rPr>
          <w:rFonts w:ascii="宋体" w:hAnsi="宋体"/>
          <w:color w:val="auto"/>
          <w:szCs w:val="21"/>
          <w:highlight w:val="none"/>
        </w:rPr>
        <w:t>：</w:t>
      </w:r>
    </w:p>
    <w:p w14:paraId="29A5F653">
      <w:pPr>
        <w:spacing w:line="360" w:lineRule="auto"/>
        <w:rPr>
          <w:color w:val="auto"/>
          <w:szCs w:val="21"/>
          <w:highlight w:val="none"/>
        </w:rPr>
      </w:pPr>
      <w:r>
        <w:rPr>
          <w:color w:val="auto"/>
          <w:szCs w:val="21"/>
          <w:highlight w:val="none"/>
        </w:rPr>
        <w:t xml:space="preserve">　    </w:t>
      </w:r>
      <w:bookmarkStart w:id="1066" w:name="_Toc32367_WPSOffice_Level1"/>
      <w:bookmarkStart w:id="1067" w:name="_Toc15007_WPSOffice_Level1"/>
      <w:r>
        <w:rPr>
          <w:color w:val="auto"/>
          <w:szCs w:val="21"/>
          <w:highlight w:val="none"/>
        </w:rPr>
        <w:t>1.</w:t>
      </w:r>
      <w:bookmarkEnd w:id="1066"/>
      <w:bookmarkEnd w:id="1067"/>
    </w:p>
    <w:p w14:paraId="704E187A">
      <w:pPr>
        <w:spacing w:line="360" w:lineRule="auto"/>
        <w:rPr>
          <w:rFonts w:hint="eastAsia"/>
          <w:color w:val="auto"/>
          <w:szCs w:val="21"/>
          <w:highlight w:val="none"/>
        </w:rPr>
      </w:pPr>
      <w:r>
        <w:rPr>
          <w:color w:val="auto"/>
          <w:szCs w:val="21"/>
          <w:highlight w:val="none"/>
        </w:rPr>
        <w:t xml:space="preserve">　    </w:t>
      </w:r>
      <w:bookmarkStart w:id="1068" w:name="_Toc31750_WPSOffice_Level1"/>
      <w:bookmarkStart w:id="1069" w:name="_Toc23340_WPSOffice_Level1"/>
      <w:r>
        <w:rPr>
          <w:color w:val="auto"/>
          <w:szCs w:val="21"/>
          <w:highlight w:val="none"/>
        </w:rPr>
        <w:t>2.</w:t>
      </w:r>
      <w:bookmarkEnd w:id="1068"/>
      <w:bookmarkEnd w:id="1069"/>
    </w:p>
    <w:p w14:paraId="76F7E5CB">
      <w:pPr>
        <w:spacing w:line="360" w:lineRule="auto"/>
        <w:rPr>
          <w:color w:val="auto"/>
          <w:szCs w:val="21"/>
          <w:highlight w:val="none"/>
        </w:rPr>
      </w:pPr>
      <w:r>
        <w:rPr>
          <w:color w:val="auto"/>
          <w:szCs w:val="21"/>
          <w:highlight w:val="none"/>
        </w:rPr>
        <w:t>　    .....</w:t>
      </w:r>
    </w:p>
    <w:p w14:paraId="35DCC149">
      <w:pPr>
        <w:spacing w:line="360" w:lineRule="auto"/>
        <w:rPr>
          <w:rFonts w:hint="eastAsia"/>
          <w:color w:val="auto"/>
          <w:szCs w:val="21"/>
          <w:highlight w:val="none"/>
        </w:rPr>
      </w:pPr>
    </w:p>
    <w:p w14:paraId="3D809528">
      <w:pPr>
        <w:spacing w:line="360" w:lineRule="auto"/>
        <w:ind w:firstLine="420" w:firstLineChars="200"/>
        <w:rPr>
          <w:rFonts w:hint="eastAsia"/>
          <w:color w:val="auto"/>
          <w:szCs w:val="21"/>
          <w:highlight w:val="none"/>
        </w:rPr>
      </w:pPr>
      <w:r>
        <w:rPr>
          <w:rFonts w:hint="eastAsia"/>
          <w:color w:val="auto"/>
          <w:szCs w:val="21"/>
          <w:highlight w:val="none"/>
        </w:rPr>
        <w:t>附件（如有）：</w:t>
      </w:r>
    </w:p>
    <w:p w14:paraId="26369863">
      <w:pPr>
        <w:spacing w:line="360" w:lineRule="auto"/>
        <w:ind w:firstLine="735" w:firstLineChars="350"/>
        <w:rPr>
          <w:color w:val="auto"/>
          <w:szCs w:val="21"/>
          <w:highlight w:val="none"/>
        </w:rPr>
      </w:pPr>
      <w:bookmarkStart w:id="1070" w:name="_Toc30519_WPSOffice_Level1"/>
      <w:bookmarkStart w:id="1071" w:name="_Toc26679_WPSOffice_Level1"/>
      <w:r>
        <w:rPr>
          <w:color w:val="auto"/>
          <w:szCs w:val="21"/>
          <w:highlight w:val="none"/>
        </w:rPr>
        <w:t>1.</w:t>
      </w:r>
      <w:bookmarkEnd w:id="1070"/>
      <w:bookmarkEnd w:id="1071"/>
    </w:p>
    <w:p w14:paraId="5146CA3B">
      <w:pPr>
        <w:spacing w:line="360" w:lineRule="auto"/>
        <w:rPr>
          <w:color w:val="auto"/>
          <w:szCs w:val="21"/>
          <w:highlight w:val="none"/>
        </w:rPr>
      </w:pPr>
      <w:r>
        <w:rPr>
          <w:color w:val="auto"/>
          <w:szCs w:val="21"/>
          <w:highlight w:val="none"/>
        </w:rPr>
        <w:t xml:space="preserve">　     </w:t>
      </w:r>
      <w:bookmarkStart w:id="1072" w:name="_Toc10478_WPSOffice_Level1"/>
      <w:bookmarkStart w:id="1073" w:name="_Toc20979_WPSOffice_Level1"/>
      <w:r>
        <w:rPr>
          <w:color w:val="auto"/>
          <w:szCs w:val="21"/>
          <w:highlight w:val="none"/>
        </w:rPr>
        <w:t>2.</w:t>
      </w:r>
      <w:bookmarkEnd w:id="1072"/>
      <w:bookmarkEnd w:id="1073"/>
    </w:p>
    <w:p w14:paraId="6C27A12E">
      <w:pPr>
        <w:spacing w:line="360" w:lineRule="auto"/>
        <w:ind w:firstLine="735" w:firstLineChars="350"/>
        <w:rPr>
          <w:color w:val="auto"/>
          <w:szCs w:val="21"/>
          <w:highlight w:val="none"/>
        </w:rPr>
      </w:pPr>
      <w:r>
        <w:rPr>
          <w:color w:val="auto"/>
          <w:szCs w:val="21"/>
          <w:highlight w:val="none"/>
        </w:rPr>
        <w:t>.....</w:t>
      </w:r>
    </w:p>
    <w:p w14:paraId="57D12921">
      <w:pPr>
        <w:spacing w:line="560" w:lineRule="exact"/>
        <w:rPr>
          <w:rFonts w:hint="eastAsia"/>
          <w:color w:val="auto"/>
          <w:szCs w:val="21"/>
          <w:highlight w:val="none"/>
        </w:rPr>
      </w:pPr>
      <w:r>
        <w:rPr>
          <w:color w:val="auto"/>
          <w:szCs w:val="21"/>
          <w:highlight w:val="none"/>
        </w:rPr>
        <w:t xml:space="preserve">                       </w:t>
      </w:r>
    </w:p>
    <w:p w14:paraId="467DE15E">
      <w:pPr>
        <w:spacing w:line="440" w:lineRule="exact"/>
        <w:rPr>
          <w:color w:val="auto"/>
          <w:szCs w:val="21"/>
          <w:highlight w:val="none"/>
        </w:rPr>
      </w:pPr>
    </w:p>
    <w:p w14:paraId="4D4F8938">
      <w:pPr>
        <w:spacing w:line="440" w:lineRule="exact"/>
        <w:rPr>
          <w:color w:val="auto"/>
          <w:szCs w:val="21"/>
          <w:highlight w:val="none"/>
        </w:rPr>
      </w:pPr>
    </w:p>
    <w:p w14:paraId="1204F3CA">
      <w:pPr>
        <w:spacing w:line="44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rPr>
        <w:t>投标人：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14:paraId="02BA2AFE">
      <w:pPr>
        <w:spacing w:line="44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3AAFDA97">
      <w:pPr>
        <w:spacing w:line="440" w:lineRule="exact"/>
        <w:jc w:val="right"/>
        <w:rPr>
          <w:color w:val="auto"/>
          <w:szCs w:val="21"/>
          <w:highlight w:val="none"/>
        </w:rPr>
      </w:pPr>
      <w:r>
        <w:rPr>
          <w:color w:val="auto"/>
          <w:szCs w:val="21"/>
          <w:highlight w:val="none"/>
        </w:rPr>
        <w:t>　　　　　　　　　　　　　　　</w:t>
      </w:r>
    </w:p>
    <w:p w14:paraId="6EA5A7E9">
      <w:pPr>
        <w:spacing w:line="440" w:lineRule="exact"/>
        <w:jc w:val="right"/>
        <w:rPr>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76B4D39C">
      <w:pPr>
        <w:spacing w:line="400" w:lineRule="exact"/>
        <w:rPr>
          <w:rFonts w:hint="eastAsia"/>
          <w:color w:val="auto"/>
          <w:highlight w:val="none"/>
        </w:rPr>
      </w:pPr>
    </w:p>
    <w:p w14:paraId="60BA631D">
      <w:pPr>
        <w:spacing w:line="400" w:lineRule="exact"/>
        <w:rPr>
          <w:rFonts w:hint="eastAsia"/>
          <w:color w:val="auto"/>
          <w:highlight w:val="none"/>
        </w:rPr>
      </w:pPr>
      <w:r>
        <w:rPr>
          <w:rFonts w:hint="eastAsia"/>
          <w:color w:val="auto"/>
          <w:szCs w:val="21"/>
          <w:highlight w:val="none"/>
        </w:rPr>
        <w:t>备注：投标人应评标委员会要求对投标文件有关问题澄清时，适用本格式。</w:t>
      </w:r>
    </w:p>
    <w:p w14:paraId="4B6E5E91">
      <w:pPr>
        <w:pStyle w:val="5"/>
        <w:spacing w:before="159"/>
        <w:rPr>
          <w:rFonts w:hint="eastAsia"/>
          <w:color w:val="auto"/>
          <w:sz w:val="24"/>
          <w:highlight w:val="none"/>
        </w:rPr>
      </w:pPr>
      <w:bookmarkStart w:id="1074" w:name="_Toc23202"/>
      <w:bookmarkStart w:id="1075" w:name="_Toc12854"/>
      <w:bookmarkStart w:id="1076" w:name="_Toc519085341"/>
      <w:bookmarkStart w:id="1077" w:name="_Toc20142"/>
      <w:bookmarkStart w:id="1078" w:name="_Toc30742"/>
      <w:bookmarkStart w:id="1079" w:name="_Toc456173263"/>
      <w:r>
        <w:rPr>
          <w:rFonts w:hint="eastAsia"/>
          <w:color w:val="auto"/>
          <w:highlight w:val="none"/>
        </w:rPr>
        <w:br w:type="page"/>
      </w:r>
      <w:bookmarkStart w:id="1080" w:name="_Toc12866_WPSOffice_Level2"/>
      <w:bookmarkStart w:id="1081" w:name="_Toc14860"/>
      <w:bookmarkStart w:id="1082" w:name="_Toc19272"/>
      <w:r>
        <w:rPr>
          <w:rFonts w:hint="eastAsia"/>
          <w:color w:val="auto"/>
          <w:sz w:val="24"/>
          <w:highlight w:val="none"/>
        </w:rPr>
        <w:t>附表八：</w:t>
      </w:r>
      <w:bookmarkStart w:id="1083" w:name="_Toc221950336"/>
      <w:r>
        <w:rPr>
          <w:rFonts w:hint="eastAsia"/>
          <w:color w:val="auto"/>
          <w:sz w:val="24"/>
          <w:highlight w:val="none"/>
        </w:rPr>
        <w:t>中标通知书</w:t>
      </w:r>
      <w:bookmarkEnd w:id="1074"/>
      <w:bookmarkEnd w:id="1075"/>
      <w:bookmarkEnd w:id="1076"/>
      <w:bookmarkEnd w:id="1077"/>
      <w:bookmarkEnd w:id="1078"/>
      <w:bookmarkEnd w:id="1079"/>
      <w:bookmarkEnd w:id="1080"/>
      <w:bookmarkEnd w:id="1081"/>
      <w:bookmarkEnd w:id="1082"/>
      <w:bookmarkEnd w:id="1083"/>
    </w:p>
    <w:p w14:paraId="18C3BEB6">
      <w:pPr>
        <w:spacing w:line="400" w:lineRule="exact"/>
        <w:jc w:val="center"/>
        <w:rPr>
          <w:rFonts w:hint="eastAsia" w:ascii="宋体" w:hAnsi="宋体"/>
          <w:color w:val="auto"/>
          <w:sz w:val="24"/>
          <w:highlight w:val="none"/>
        </w:rPr>
      </w:pPr>
    </w:p>
    <w:p w14:paraId="4B17427A">
      <w:pPr>
        <w:spacing w:before="319" w:beforeLines="100" w:after="319" w:afterLines="100" w:line="480" w:lineRule="exact"/>
        <w:jc w:val="center"/>
        <w:rPr>
          <w:rFonts w:hint="eastAsia" w:ascii="黑体" w:eastAsia="黑体"/>
          <w:color w:val="auto"/>
          <w:sz w:val="28"/>
          <w:szCs w:val="28"/>
          <w:highlight w:val="none"/>
        </w:rPr>
      </w:pPr>
      <w:bookmarkStart w:id="1084" w:name="_Toc20820_WPSOffice_Level1"/>
      <w:bookmarkStart w:id="1085" w:name="_Toc32640_WPSOffice_Level1"/>
      <w:r>
        <w:rPr>
          <w:rFonts w:hint="eastAsia" w:ascii="黑体" w:eastAsia="黑体"/>
          <w:color w:val="auto"/>
          <w:sz w:val="28"/>
          <w:szCs w:val="28"/>
          <w:highlight w:val="none"/>
        </w:rPr>
        <w:t>中标通知书</w:t>
      </w:r>
      <w:bookmarkEnd w:id="1084"/>
      <w:bookmarkEnd w:id="1085"/>
    </w:p>
    <w:p w14:paraId="7D55BFA4">
      <w:pPr>
        <w:spacing w:line="440" w:lineRule="exact"/>
        <w:jc w:val="center"/>
        <w:rPr>
          <w:color w:val="auto"/>
          <w:szCs w:val="21"/>
          <w:highlight w:val="none"/>
        </w:rPr>
      </w:pPr>
      <w:r>
        <w:rPr>
          <w:rFonts w:hint="eastAsia"/>
          <w:color w:val="auto"/>
          <w:szCs w:val="21"/>
          <w:highlight w:val="none"/>
        </w:rPr>
        <w:t xml:space="preserve">                                            </w:t>
      </w:r>
      <w:bookmarkStart w:id="1086" w:name="_Toc14647_WPSOffice_Level2"/>
      <w:bookmarkStart w:id="1087" w:name="_Toc26131_WPSOffice_Level2"/>
      <w:r>
        <w:rPr>
          <w:rFonts w:hint="eastAsia"/>
          <w:color w:val="auto"/>
          <w:szCs w:val="21"/>
          <w:highlight w:val="none"/>
        </w:rPr>
        <w:t>交易登记</w:t>
      </w:r>
      <w:r>
        <w:rPr>
          <w:color w:val="auto"/>
          <w:szCs w:val="21"/>
          <w:highlight w:val="none"/>
        </w:rPr>
        <w:t>号：</w:t>
      </w:r>
      <w:bookmarkEnd w:id="1086"/>
      <w:bookmarkEnd w:id="1087"/>
    </w:p>
    <w:p w14:paraId="4D54DD26">
      <w:pPr>
        <w:spacing w:line="400" w:lineRule="exact"/>
        <w:rPr>
          <w:color w:val="auto"/>
          <w:highlight w:val="none"/>
        </w:rPr>
      </w:pPr>
      <w:r>
        <w:rPr>
          <w:color w:val="auto"/>
          <w:highlight w:val="none"/>
        </w:rPr>
        <w:t xml:space="preserve">                              </w:t>
      </w:r>
    </w:p>
    <w:p w14:paraId="60F6EB10">
      <w:pPr>
        <w:spacing w:line="560" w:lineRule="exact"/>
        <w:rPr>
          <w:color w:val="auto"/>
          <w:szCs w:val="21"/>
          <w:highlight w:val="none"/>
        </w:rPr>
      </w:pPr>
      <w:r>
        <w:rPr>
          <w:color w:val="auto"/>
          <w:szCs w:val="21"/>
          <w:highlight w:val="none"/>
          <w:u w:val="single"/>
        </w:rPr>
        <w:t xml:space="preserve">                   </w:t>
      </w:r>
      <w:bookmarkStart w:id="1088" w:name="_Toc221950337"/>
      <w:r>
        <w:rPr>
          <w:color w:val="auto"/>
          <w:szCs w:val="21"/>
          <w:highlight w:val="none"/>
        </w:rPr>
        <w:t>（中标人名称）：</w:t>
      </w:r>
      <w:bookmarkEnd w:id="1088"/>
    </w:p>
    <w:p w14:paraId="78086736">
      <w:pPr>
        <w:spacing w:line="560" w:lineRule="exact"/>
        <w:rPr>
          <w:color w:val="auto"/>
          <w:szCs w:val="21"/>
          <w:highlight w:val="none"/>
        </w:rPr>
      </w:pPr>
    </w:p>
    <w:p w14:paraId="27D1B320">
      <w:pPr>
        <w:spacing w:line="560" w:lineRule="exact"/>
        <w:rPr>
          <w:rFonts w:ascii="宋体" w:hAnsi="宋体"/>
          <w:color w:val="auto"/>
          <w:szCs w:val="21"/>
          <w:highlight w:val="none"/>
        </w:rPr>
      </w:pPr>
      <w:r>
        <w:rPr>
          <w:color w:val="auto"/>
          <w:szCs w:val="21"/>
          <w:highlight w:val="none"/>
        </w:rPr>
        <w:t>　</w:t>
      </w:r>
      <w:r>
        <w:rPr>
          <w:rFonts w:ascii="宋体" w:hAnsi="宋体"/>
          <w:color w:val="auto"/>
          <w:szCs w:val="21"/>
          <w:highlight w:val="none"/>
        </w:rPr>
        <w:t>　</w:t>
      </w:r>
      <w:bookmarkStart w:id="1089" w:name="_Toc221950338"/>
      <w:r>
        <w:rPr>
          <w:rFonts w:ascii="宋体" w:hAnsi="宋体"/>
          <w:color w:val="auto"/>
          <w:szCs w:val="21"/>
          <w:highlight w:val="none"/>
        </w:rPr>
        <w:t>你方于</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投标日期</w:t>
      </w:r>
      <w:r>
        <w:rPr>
          <w:rFonts w:ascii="宋体" w:hAnsi="宋体"/>
          <w:color w:val="auto"/>
          <w:szCs w:val="21"/>
          <w:highlight w:val="none"/>
        </w:rPr>
        <w:t>）所递交的</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hint="eastAsia"/>
          <w:color w:val="auto"/>
          <w:szCs w:val="21"/>
          <w:highlight w:val="none"/>
        </w:rPr>
        <w:t>的</w:t>
      </w:r>
      <w:r>
        <w:rPr>
          <w:color w:val="auto"/>
          <w:szCs w:val="21"/>
          <w:highlight w:val="none"/>
        </w:rPr>
        <w:t>投标</w:t>
      </w:r>
      <w:r>
        <w:rPr>
          <w:rFonts w:hint="eastAsia"/>
          <w:color w:val="auto"/>
          <w:szCs w:val="21"/>
          <w:highlight w:val="none"/>
        </w:rPr>
        <w:t>文件</w:t>
      </w:r>
      <w:r>
        <w:rPr>
          <w:rFonts w:ascii="宋体" w:hAnsi="宋体"/>
          <w:color w:val="auto"/>
          <w:szCs w:val="21"/>
          <w:highlight w:val="none"/>
        </w:rPr>
        <w:t>已被我方接受，被确定为中标人。</w:t>
      </w:r>
      <w:bookmarkEnd w:id="1089"/>
    </w:p>
    <w:p w14:paraId="3F24415D">
      <w:pPr>
        <w:spacing w:line="560" w:lineRule="exact"/>
        <w:rPr>
          <w:rFonts w:ascii="宋体" w:hAnsi="宋体"/>
          <w:color w:val="auto"/>
          <w:szCs w:val="21"/>
          <w:highlight w:val="none"/>
        </w:rPr>
      </w:pPr>
      <w:r>
        <w:rPr>
          <w:rFonts w:ascii="宋体" w:hAnsi="宋体"/>
          <w:color w:val="auto"/>
          <w:szCs w:val="21"/>
          <w:highlight w:val="none"/>
        </w:rPr>
        <w:t>　　</w:t>
      </w:r>
      <w:bookmarkStart w:id="1090" w:name="_Toc221950339"/>
      <w:r>
        <w:rPr>
          <w:rFonts w:ascii="宋体" w:hAnsi="宋体"/>
          <w:color w:val="auto"/>
          <w:szCs w:val="21"/>
          <w:highlight w:val="none"/>
        </w:rPr>
        <w:t>中标价：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元。</w:t>
      </w:r>
      <w:bookmarkEnd w:id="1090"/>
    </w:p>
    <w:p w14:paraId="099E7B57">
      <w:pPr>
        <w:spacing w:line="560" w:lineRule="exact"/>
        <w:rPr>
          <w:rFonts w:ascii="宋体" w:hAnsi="宋体"/>
          <w:color w:val="auto"/>
          <w:szCs w:val="21"/>
          <w:highlight w:val="none"/>
        </w:rPr>
      </w:pPr>
      <w:r>
        <w:rPr>
          <w:rFonts w:ascii="宋体" w:hAnsi="宋体"/>
          <w:color w:val="auto"/>
          <w:szCs w:val="21"/>
          <w:highlight w:val="none"/>
        </w:rPr>
        <w:t>　　</w:t>
      </w:r>
      <w:bookmarkStart w:id="1091" w:name="_Toc221950340"/>
      <w:r>
        <w:rPr>
          <w:rFonts w:ascii="宋体" w:hAnsi="宋体"/>
          <w:color w:val="auto"/>
          <w:szCs w:val="21"/>
          <w:highlight w:val="none"/>
        </w:rPr>
        <w:t>工期：</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日历天。</w:t>
      </w:r>
      <w:bookmarkEnd w:id="1091"/>
    </w:p>
    <w:p w14:paraId="2A9B8F72">
      <w:pPr>
        <w:spacing w:line="560" w:lineRule="exact"/>
        <w:rPr>
          <w:rFonts w:ascii="宋体" w:hAnsi="宋体"/>
          <w:color w:val="auto"/>
          <w:szCs w:val="21"/>
          <w:highlight w:val="none"/>
        </w:rPr>
      </w:pPr>
      <w:r>
        <w:rPr>
          <w:rFonts w:ascii="宋体" w:hAnsi="宋体"/>
          <w:color w:val="auto"/>
          <w:szCs w:val="21"/>
          <w:highlight w:val="none"/>
        </w:rPr>
        <w:t xml:space="preserve">　  </w:t>
      </w:r>
      <w:bookmarkStart w:id="1092" w:name="_Toc221950341"/>
      <w:r>
        <w:rPr>
          <w:rFonts w:ascii="宋体" w:hAnsi="宋体"/>
          <w:color w:val="auto"/>
          <w:szCs w:val="21"/>
          <w:highlight w:val="none"/>
        </w:rPr>
        <w:t>质量标准：</w:t>
      </w:r>
      <w:r>
        <w:rPr>
          <w:rFonts w:ascii="宋体" w:hAnsi="宋体"/>
          <w:color w:val="auto"/>
          <w:szCs w:val="21"/>
          <w:highlight w:val="none"/>
          <w:u w:val="single"/>
        </w:rPr>
        <w:t xml:space="preserve">                      </w:t>
      </w:r>
      <w:r>
        <w:rPr>
          <w:rFonts w:ascii="宋体" w:hAnsi="宋体"/>
          <w:color w:val="auto"/>
          <w:szCs w:val="21"/>
          <w:highlight w:val="none"/>
        </w:rPr>
        <w:t>。</w:t>
      </w:r>
      <w:bookmarkEnd w:id="1092"/>
    </w:p>
    <w:p w14:paraId="13BA8A65">
      <w:pPr>
        <w:spacing w:line="560" w:lineRule="exact"/>
        <w:rPr>
          <w:rFonts w:ascii="宋体" w:hAnsi="宋体"/>
          <w:color w:val="auto"/>
          <w:szCs w:val="21"/>
          <w:highlight w:val="none"/>
        </w:rPr>
      </w:pPr>
      <w:r>
        <w:rPr>
          <w:rFonts w:ascii="宋体" w:hAnsi="宋体"/>
          <w:color w:val="auto"/>
          <w:szCs w:val="21"/>
          <w:highlight w:val="none"/>
        </w:rPr>
        <w:t>　　</w:t>
      </w:r>
      <w:bookmarkStart w:id="1093" w:name="_Toc221950342"/>
      <w:r>
        <w:rPr>
          <w:rFonts w:ascii="宋体" w:hAnsi="宋体"/>
          <w:color w:val="auto"/>
          <w:szCs w:val="21"/>
          <w:highlight w:val="none"/>
        </w:rPr>
        <w:t>项目负责人：</w:t>
      </w:r>
      <w:r>
        <w:rPr>
          <w:rFonts w:ascii="宋体" w:hAnsi="宋体"/>
          <w:color w:val="auto"/>
          <w:szCs w:val="21"/>
          <w:highlight w:val="none"/>
          <w:u w:val="single"/>
        </w:rPr>
        <w:t xml:space="preserve">              </w:t>
      </w:r>
      <w:r>
        <w:rPr>
          <w:rFonts w:ascii="宋体" w:hAnsi="宋体"/>
          <w:color w:val="auto"/>
          <w:szCs w:val="21"/>
          <w:highlight w:val="none"/>
        </w:rPr>
        <w:t>（姓名）。</w:t>
      </w:r>
      <w:bookmarkEnd w:id="1093"/>
    </w:p>
    <w:p w14:paraId="5A5058DC">
      <w:pPr>
        <w:spacing w:line="560" w:lineRule="exact"/>
        <w:rPr>
          <w:rFonts w:ascii="宋体" w:hAnsi="宋体"/>
          <w:color w:val="auto"/>
          <w:szCs w:val="21"/>
          <w:highlight w:val="none"/>
        </w:rPr>
      </w:pPr>
      <w:r>
        <w:rPr>
          <w:rFonts w:ascii="宋体" w:hAnsi="宋体"/>
          <w:color w:val="auto"/>
          <w:szCs w:val="21"/>
          <w:highlight w:val="none"/>
        </w:rPr>
        <w:t>　　</w:t>
      </w:r>
      <w:bookmarkStart w:id="1094" w:name="_Toc221950343"/>
      <w:r>
        <w:rPr>
          <w:rFonts w:ascii="宋体" w:hAnsi="宋体"/>
          <w:color w:val="auto"/>
          <w:szCs w:val="21"/>
          <w:highlight w:val="none"/>
        </w:rPr>
        <w:t>请你方在接到本通知书后的</w:t>
      </w:r>
      <w:r>
        <w:rPr>
          <w:rFonts w:ascii="宋体" w:hAnsi="宋体"/>
          <w:color w:val="auto"/>
          <w:szCs w:val="21"/>
          <w:highlight w:val="none"/>
          <w:u w:val="single"/>
        </w:rPr>
        <w:t xml:space="preserve">     </w:t>
      </w:r>
      <w:r>
        <w:rPr>
          <w:rFonts w:ascii="宋体" w:hAnsi="宋体"/>
          <w:color w:val="auto"/>
          <w:szCs w:val="21"/>
          <w:highlight w:val="none"/>
        </w:rPr>
        <w:t>日内到</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指定地点</w:t>
      </w:r>
      <w:r>
        <w:rPr>
          <w:rFonts w:ascii="宋体" w:hAnsi="宋体"/>
          <w:color w:val="auto"/>
          <w:szCs w:val="21"/>
          <w:highlight w:val="none"/>
        </w:rPr>
        <w:t>）与我方签订</w:t>
      </w:r>
      <w:r>
        <w:rPr>
          <w:rFonts w:hint="eastAsia" w:ascii="宋体" w:hAnsi="宋体"/>
          <w:color w:val="auto"/>
          <w:szCs w:val="21"/>
          <w:highlight w:val="none"/>
        </w:rPr>
        <w:t>工程总承包</w:t>
      </w:r>
      <w:r>
        <w:rPr>
          <w:rFonts w:ascii="宋体" w:hAnsi="宋体"/>
          <w:color w:val="auto"/>
          <w:szCs w:val="21"/>
          <w:highlight w:val="none"/>
        </w:rPr>
        <w:t>合同，在此之前按招标文件第</w:t>
      </w:r>
      <w:r>
        <w:rPr>
          <w:rFonts w:hint="eastAsia"/>
          <w:color w:val="auto"/>
          <w:szCs w:val="21"/>
          <w:highlight w:val="none"/>
        </w:rPr>
        <w:t>2</w:t>
      </w:r>
      <w:r>
        <w:rPr>
          <w:rFonts w:ascii="宋体" w:hAnsi="宋体"/>
          <w:color w:val="auto"/>
          <w:szCs w:val="21"/>
          <w:highlight w:val="none"/>
        </w:rPr>
        <w:t>章</w:t>
      </w:r>
      <w:r>
        <w:rPr>
          <w:rFonts w:hint="eastAsia" w:ascii="宋体" w:hAnsi="宋体"/>
          <w:color w:val="auto"/>
          <w:szCs w:val="21"/>
          <w:highlight w:val="none"/>
        </w:rPr>
        <w:t>“</w:t>
      </w:r>
      <w:r>
        <w:rPr>
          <w:rFonts w:ascii="宋体" w:hAnsi="宋体"/>
          <w:color w:val="auto"/>
          <w:szCs w:val="21"/>
          <w:highlight w:val="none"/>
        </w:rPr>
        <w:t>投标人须知</w:t>
      </w:r>
      <w:r>
        <w:rPr>
          <w:rFonts w:hint="eastAsia" w:ascii="宋体" w:hAnsi="宋体"/>
          <w:color w:val="auto"/>
          <w:szCs w:val="21"/>
          <w:highlight w:val="none"/>
        </w:rPr>
        <w:t>”第</w:t>
      </w:r>
      <w:r>
        <w:rPr>
          <w:rFonts w:hint="eastAsia"/>
          <w:color w:val="auto"/>
          <w:szCs w:val="21"/>
          <w:highlight w:val="none"/>
        </w:rPr>
        <w:t>7</w:t>
      </w:r>
      <w:r>
        <w:rPr>
          <w:rFonts w:hint="eastAsia" w:ascii="宋体" w:hAnsi="宋体"/>
          <w:color w:val="auto"/>
          <w:szCs w:val="21"/>
          <w:highlight w:val="none"/>
        </w:rPr>
        <w:t>.</w:t>
      </w:r>
      <w:r>
        <w:rPr>
          <w:rFonts w:hint="eastAsia"/>
          <w:color w:val="auto"/>
          <w:szCs w:val="21"/>
          <w:highlight w:val="none"/>
        </w:rPr>
        <w:t>3</w:t>
      </w:r>
      <w:r>
        <w:rPr>
          <w:rFonts w:hint="eastAsia" w:ascii="宋体" w:hAnsi="宋体"/>
          <w:color w:val="auto"/>
          <w:szCs w:val="21"/>
          <w:highlight w:val="none"/>
        </w:rPr>
        <w:t>款</w:t>
      </w:r>
      <w:r>
        <w:rPr>
          <w:rFonts w:ascii="宋体" w:hAnsi="宋体"/>
          <w:color w:val="auto"/>
          <w:szCs w:val="21"/>
          <w:highlight w:val="none"/>
        </w:rPr>
        <w:t>规定向我方提交履约</w:t>
      </w:r>
      <w:r>
        <w:rPr>
          <w:rFonts w:hint="eastAsia" w:ascii="宋体" w:hAnsi="宋体"/>
          <w:color w:val="auto"/>
          <w:szCs w:val="21"/>
          <w:highlight w:val="none"/>
        </w:rPr>
        <w:t>保证金</w:t>
      </w:r>
      <w:r>
        <w:rPr>
          <w:rFonts w:ascii="宋体" w:hAnsi="宋体"/>
          <w:color w:val="auto"/>
          <w:szCs w:val="21"/>
          <w:highlight w:val="none"/>
        </w:rPr>
        <w:t>。</w:t>
      </w:r>
      <w:bookmarkEnd w:id="1094"/>
    </w:p>
    <w:p w14:paraId="22D243E2">
      <w:pPr>
        <w:spacing w:line="560" w:lineRule="exact"/>
        <w:rPr>
          <w:rFonts w:hint="eastAsia"/>
          <w:color w:val="auto"/>
          <w:highlight w:val="none"/>
        </w:rPr>
      </w:pPr>
      <w:r>
        <w:rPr>
          <w:rFonts w:ascii="宋体" w:hAnsi="宋体"/>
          <w:color w:val="auto"/>
          <w:szCs w:val="21"/>
          <w:highlight w:val="none"/>
        </w:rPr>
        <w:t>　　</w:t>
      </w:r>
      <w:r>
        <w:rPr>
          <w:rFonts w:hint="eastAsia"/>
          <w:color w:val="auto"/>
          <w:highlight w:val="none"/>
        </w:rPr>
        <w:t>随附澄清、说明、补正事项纪要，是本中标通知书的组成部分。</w:t>
      </w:r>
    </w:p>
    <w:p w14:paraId="4CF53BE2">
      <w:pPr>
        <w:spacing w:line="560" w:lineRule="exact"/>
        <w:ind w:firstLine="420" w:firstLineChars="200"/>
        <w:rPr>
          <w:rFonts w:hint="eastAsia"/>
          <w:color w:val="auto"/>
          <w:highlight w:val="none"/>
        </w:rPr>
      </w:pPr>
      <w:r>
        <w:rPr>
          <w:rFonts w:hint="eastAsia"/>
          <w:color w:val="auto"/>
          <w:highlight w:val="none"/>
        </w:rPr>
        <w:t>特此通知。</w:t>
      </w:r>
    </w:p>
    <w:p w14:paraId="60063EC8">
      <w:pPr>
        <w:spacing w:line="560" w:lineRule="exact"/>
        <w:ind w:firstLine="420" w:firstLineChars="200"/>
        <w:rPr>
          <w:color w:val="auto"/>
          <w:szCs w:val="21"/>
          <w:highlight w:val="none"/>
        </w:rPr>
      </w:pPr>
      <w:r>
        <w:rPr>
          <w:color w:val="auto"/>
          <w:highlight w:val="none"/>
        </w:rPr>
        <w:t>附：澄清、说明、补正事项纪要</w:t>
      </w:r>
    </w:p>
    <w:p w14:paraId="16B46B20">
      <w:pPr>
        <w:spacing w:line="540" w:lineRule="exact"/>
        <w:ind w:firstLine="3238" w:firstLineChars="1542"/>
        <w:jc w:val="right"/>
        <w:rPr>
          <w:rFonts w:hint="eastAsia"/>
          <w:color w:val="auto"/>
          <w:szCs w:val="21"/>
          <w:highlight w:val="none"/>
        </w:rPr>
      </w:pPr>
      <w:bookmarkStart w:id="1095" w:name="_Toc221950345"/>
      <w:r>
        <w:rPr>
          <w:color w:val="auto"/>
          <w:szCs w:val="21"/>
          <w:highlight w:val="none"/>
        </w:rPr>
        <w:t>招标人：</w:t>
      </w:r>
      <w:r>
        <w:rPr>
          <w:color w:val="auto"/>
          <w:szCs w:val="21"/>
          <w:highlight w:val="none"/>
          <w:u w:val="single"/>
        </w:rPr>
        <w:t xml:space="preserve">            </w:t>
      </w:r>
      <w:r>
        <w:rPr>
          <w:color w:val="auto"/>
          <w:szCs w:val="21"/>
          <w:highlight w:val="none"/>
        </w:rPr>
        <w:t>（盖单位章）</w:t>
      </w:r>
      <w:bookmarkEnd w:id="1095"/>
      <w:bookmarkStart w:id="1096" w:name="_Toc221950346"/>
    </w:p>
    <w:p w14:paraId="19F1AC15">
      <w:pPr>
        <w:spacing w:line="540" w:lineRule="exact"/>
        <w:ind w:firstLine="3238" w:firstLineChars="1542"/>
        <w:jc w:val="right"/>
        <w:rPr>
          <w:color w:val="auto"/>
          <w:szCs w:val="21"/>
          <w:highlight w:val="none"/>
        </w:rPr>
      </w:pPr>
      <w:r>
        <w:rPr>
          <w:color w:val="auto"/>
          <w:szCs w:val="21"/>
          <w:highlight w:val="none"/>
        </w:rPr>
        <w:t>法定代表人：</w:t>
      </w:r>
      <w:r>
        <w:rPr>
          <w:color w:val="auto"/>
          <w:szCs w:val="21"/>
          <w:highlight w:val="none"/>
          <w:u w:val="single"/>
        </w:rPr>
        <w:t xml:space="preserve">            </w:t>
      </w:r>
      <w:r>
        <w:rPr>
          <w:color w:val="auto"/>
          <w:szCs w:val="21"/>
          <w:highlight w:val="none"/>
        </w:rPr>
        <w:t>（签字）</w:t>
      </w:r>
      <w:bookmarkEnd w:id="1096"/>
    </w:p>
    <w:p w14:paraId="7A70F443">
      <w:pPr>
        <w:wordWrap w:val="0"/>
        <w:spacing w:line="540" w:lineRule="exact"/>
        <w:ind w:firstLine="3548" w:firstLineChars="1690"/>
        <w:jc w:val="right"/>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bookmarkStart w:id="1097" w:name="_Toc221950347"/>
      <w:r>
        <w:rPr>
          <w:color w:val="auto"/>
          <w:szCs w:val="21"/>
          <w:highlight w:val="none"/>
        </w:rPr>
        <w:t>年</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color w:val="auto"/>
          <w:szCs w:val="21"/>
          <w:highlight w:val="none"/>
        </w:rPr>
        <w:t xml:space="preserve"> 日</w:t>
      </w:r>
      <w:bookmarkEnd w:id="1097"/>
    </w:p>
    <w:p w14:paraId="73A1C47C">
      <w:pPr>
        <w:spacing w:line="540" w:lineRule="exact"/>
        <w:ind w:right="210"/>
        <w:rPr>
          <w:rFonts w:hint="eastAsia"/>
          <w:color w:val="auto"/>
          <w:highlight w:val="none"/>
        </w:rPr>
      </w:pPr>
      <w:r>
        <w:rPr>
          <w:rFonts w:hint="eastAsia"/>
          <w:color w:val="auto"/>
          <w:highlight w:val="none"/>
        </w:rPr>
        <w:t>备注：行政主管部门对中标通知书有备案管理程序的，从其规定。</w:t>
      </w:r>
      <w:bookmarkStart w:id="1098" w:name="_Toc168475700"/>
      <w:bookmarkStart w:id="1099" w:name="_Toc387753572"/>
      <w:bookmarkStart w:id="1100" w:name="_Toc221950348"/>
      <w:bookmarkStart w:id="1101" w:name="_Toc168476103"/>
      <w:bookmarkStart w:id="1102" w:name="_Toc22662"/>
      <w:bookmarkStart w:id="1103" w:name="_Toc456173264"/>
      <w:bookmarkStart w:id="1104" w:name="_Toc2428"/>
      <w:bookmarkStart w:id="1105" w:name="_Toc25477"/>
      <w:bookmarkStart w:id="1106" w:name="_Toc519085342"/>
      <w:bookmarkStart w:id="1107" w:name="_Toc16571"/>
    </w:p>
    <w:p w14:paraId="7E9D2A07">
      <w:pPr>
        <w:pStyle w:val="5"/>
        <w:spacing w:before="159"/>
        <w:rPr>
          <w:rFonts w:hint="eastAsia"/>
          <w:color w:val="auto"/>
          <w:sz w:val="24"/>
          <w:highlight w:val="none"/>
        </w:rPr>
      </w:pPr>
      <w:r>
        <w:rPr>
          <w:rFonts w:hint="eastAsia"/>
          <w:color w:val="auto"/>
          <w:highlight w:val="none"/>
        </w:rPr>
        <w:br w:type="page"/>
      </w:r>
      <w:bookmarkStart w:id="1108" w:name="_Toc9199_WPSOffice_Level2"/>
      <w:bookmarkStart w:id="1109" w:name="_Toc30250"/>
      <w:bookmarkStart w:id="1110" w:name="_Toc10941"/>
      <w:r>
        <w:rPr>
          <w:rFonts w:hint="eastAsia"/>
          <w:color w:val="auto"/>
          <w:sz w:val="24"/>
          <w:highlight w:val="none"/>
        </w:rPr>
        <w:t>附表九：</w:t>
      </w:r>
      <w:bookmarkEnd w:id="1098"/>
      <w:bookmarkEnd w:id="1099"/>
      <w:bookmarkEnd w:id="1100"/>
      <w:bookmarkEnd w:id="1101"/>
      <w:bookmarkStart w:id="1111" w:name="_Toc221950349"/>
      <w:r>
        <w:rPr>
          <w:rFonts w:hint="eastAsia"/>
          <w:color w:val="auto"/>
          <w:sz w:val="24"/>
          <w:highlight w:val="none"/>
        </w:rPr>
        <w:t>中标结果通知书</w:t>
      </w:r>
      <w:bookmarkEnd w:id="1102"/>
      <w:bookmarkEnd w:id="1103"/>
      <w:bookmarkEnd w:id="1104"/>
      <w:bookmarkEnd w:id="1105"/>
      <w:bookmarkEnd w:id="1106"/>
      <w:bookmarkEnd w:id="1107"/>
      <w:bookmarkEnd w:id="1108"/>
      <w:bookmarkEnd w:id="1109"/>
      <w:bookmarkEnd w:id="1110"/>
      <w:bookmarkEnd w:id="1111"/>
    </w:p>
    <w:p w14:paraId="7645CB12">
      <w:pPr>
        <w:spacing w:before="319" w:beforeLines="100" w:after="319" w:afterLines="100" w:line="480" w:lineRule="exact"/>
        <w:jc w:val="center"/>
        <w:rPr>
          <w:rFonts w:hint="eastAsia" w:ascii="黑体" w:eastAsia="黑体"/>
          <w:color w:val="auto"/>
          <w:sz w:val="28"/>
          <w:szCs w:val="28"/>
          <w:highlight w:val="none"/>
        </w:rPr>
      </w:pPr>
      <w:bookmarkStart w:id="1112" w:name="_Toc8393_WPSOffice_Level1"/>
      <w:bookmarkStart w:id="1113" w:name="_Toc26530_WPSOffice_Level1"/>
      <w:r>
        <w:rPr>
          <w:rFonts w:hint="eastAsia" w:ascii="黑体" w:eastAsia="黑体"/>
          <w:color w:val="auto"/>
          <w:sz w:val="28"/>
          <w:szCs w:val="28"/>
          <w:highlight w:val="none"/>
        </w:rPr>
        <w:t>中标结果通知书</w:t>
      </w:r>
      <w:bookmarkEnd w:id="1112"/>
      <w:bookmarkEnd w:id="1113"/>
    </w:p>
    <w:p w14:paraId="7A2A368F">
      <w:pPr>
        <w:spacing w:line="440" w:lineRule="exact"/>
        <w:jc w:val="center"/>
        <w:rPr>
          <w:color w:val="auto"/>
          <w:szCs w:val="21"/>
          <w:highlight w:val="none"/>
        </w:rPr>
      </w:pPr>
      <w:r>
        <w:rPr>
          <w:rFonts w:hint="eastAsia"/>
          <w:color w:val="auto"/>
          <w:szCs w:val="21"/>
          <w:highlight w:val="none"/>
        </w:rPr>
        <w:t xml:space="preserve">                                            </w:t>
      </w:r>
      <w:bookmarkStart w:id="1114" w:name="_Toc29265_WPSOffice_Level2"/>
      <w:bookmarkStart w:id="1115" w:name="_Toc28325_WPSOffice_Level2"/>
      <w:r>
        <w:rPr>
          <w:rFonts w:hint="eastAsia"/>
          <w:color w:val="auto"/>
          <w:szCs w:val="21"/>
          <w:highlight w:val="none"/>
        </w:rPr>
        <w:t>交易登记</w:t>
      </w:r>
      <w:r>
        <w:rPr>
          <w:color w:val="auto"/>
          <w:szCs w:val="21"/>
          <w:highlight w:val="none"/>
        </w:rPr>
        <w:t>号：</w:t>
      </w:r>
      <w:bookmarkEnd w:id="1114"/>
      <w:bookmarkEnd w:id="1115"/>
    </w:p>
    <w:p w14:paraId="1296B3BD">
      <w:pPr>
        <w:spacing w:line="400" w:lineRule="exact"/>
        <w:rPr>
          <w:color w:val="auto"/>
          <w:highlight w:val="none"/>
        </w:rPr>
      </w:pPr>
    </w:p>
    <w:p w14:paraId="3D0DBD2E">
      <w:pPr>
        <w:spacing w:line="440" w:lineRule="exact"/>
        <w:rPr>
          <w:color w:val="auto"/>
          <w:szCs w:val="21"/>
          <w:highlight w:val="none"/>
        </w:rPr>
      </w:pPr>
      <w:r>
        <w:rPr>
          <w:color w:val="auto"/>
          <w:szCs w:val="21"/>
          <w:highlight w:val="none"/>
          <w:u w:val="single"/>
        </w:rPr>
        <w:t xml:space="preserve">                  </w:t>
      </w:r>
      <w:bookmarkStart w:id="1116" w:name="_Toc221950350"/>
      <w:r>
        <w:rPr>
          <w:color w:val="auto"/>
          <w:szCs w:val="21"/>
          <w:highlight w:val="none"/>
        </w:rPr>
        <w:t>（未中标人名称）：</w:t>
      </w:r>
      <w:bookmarkEnd w:id="1116"/>
    </w:p>
    <w:p w14:paraId="07D75881">
      <w:pPr>
        <w:spacing w:line="440" w:lineRule="exact"/>
        <w:rPr>
          <w:color w:val="auto"/>
          <w:szCs w:val="21"/>
          <w:highlight w:val="none"/>
        </w:rPr>
      </w:pPr>
      <w:r>
        <w:rPr>
          <w:color w:val="auto"/>
          <w:szCs w:val="21"/>
          <w:highlight w:val="none"/>
        </w:rPr>
        <w:t xml:space="preserve">    </w:t>
      </w:r>
    </w:p>
    <w:p w14:paraId="6D734F02">
      <w:pPr>
        <w:spacing w:line="440" w:lineRule="exact"/>
        <w:rPr>
          <w:rFonts w:ascii="宋体" w:hAnsi="宋体"/>
          <w:color w:val="auto"/>
          <w:szCs w:val="21"/>
          <w:highlight w:val="none"/>
        </w:rPr>
      </w:pPr>
      <w:r>
        <w:rPr>
          <w:rFonts w:ascii="宋体" w:hAnsi="宋体"/>
          <w:color w:val="auto"/>
          <w:szCs w:val="21"/>
          <w:highlight w:val="none"/>
        </w:rPr>
        <w:t>　　</w:t>
      </w:r>
      <w:bookmarkStart w:id="1117" w:name="_Toc221950351"/>
      <w:r>
        <w:rPr>
          <w:rFonts w:ascii="宋体" w:hAnsi="宋体"/>
          <w:color w:val="auto"/>
          <w:szCs w:val="21"/>
          <w:highlight w:val="none"/>
        </w:rPr>
        <w:t>我方已接受</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中标人名称</w:t>
      </w:r>
      <w:r>
        <w:rPr>
          <w:rFonts w:ascii="宋体" w:hAnsi="宋体"/>
          <w:color w:val="auto"/>
          <w:szCs w:val="21"/>
          <w:highlight w:val="none"/>
        </w:rPr>
        <w:t>）于</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投标日期</w:t>
      </w:r>
      <w:r>
        <w:rPr>
          <w:rFonts w:ascii="宋体" w:hAnsi="宋体"/>
          <w:color w:val="auto"/>
          <w:szCs w:val="21"/>
          <w:highlight w:val="none"/>
        </w:rPr>
        <w:t>）所递交的</w:t>
      </w:r>
      <w:r>
        <w:rPr>
          <w:rFonts w:ascii="宋体" w:hAnsi="宋体"/>
          <w:color w:val="auto"/>
          <w:szCs w:val="21"/>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工程总承包的</w:t>
      </w:r>
      <w:r>
        <w:rPr>
          <w:rFonts w:ascii="宋体" w:hAnsi="宋体"/>
          <w:color w:val="auto"/>
          <w:szCs w:val="21"/>
          <w:highlight w:val="none"/>
        </w:rPr>
        <w:t>投标文件，确定</w:t>
      </w:r>
      <w:r>
        <w:rPr>
          <w:rFonts w:hint="eastAsia" w:ascii="宋体" w:hAnsi="宋体"/>
          <w:color w:val="auto"/>
          <w:szCs w:val="21"/>
          <w:highlight w:val="none"/>
        </w:rPr>
        <w:t>其</w:t>
      </w:r>
      <w:r>
        <w:rPr>
          <w:rFonts w:ascii="宋体" w:hAnsi="宋体"/>
          <w:color w:val="auto"/>
          <w:szCs w:val="21"/>
          <w:highlight w:val="none"/>
        </w:rPr>
        <w:t>为中标人。</w:t>
      </w:r>
      <w:bookmarkEnd w:id="1117"/>
    </w:p>
    <w:p w14:paraId="27F3109D">
      <w:pPr>
        <w:spacing w:line="440" w:lineRule="exact"/>
        <w:rPr>
          <w:rFonts w:ascii="宋体" w:hAnsi="宋体"/>
          <w:color w:val="auto"/>
          <w:szCs w:val="21"/>
          <w:highlight w:val="none"/>
        </w:rPr>
      </w:pPr>
      <w:r>
        <w:rPr>
          <w:rFonts w:ascii="宋体" w:hAnsi="宋体"/>
          <w:color w:val="auto"/>
          <w:szCs w:val="21"/>
          <w:highlight w:val="none"/>
        </w:rPr>
        <w:t>　　</w:t>
      </w:r>
    </w:p>
    <w:p w14:paraId="46071453">
      <w:pPr>
        <w:spacing w:line="440" w:lineRule="exact"/>
        <w:rPr>
          <w:rFonts w:ascii="宋体" w:hAnsi="宋体"/>
          <w:color w:val="auto"/>
          <w:szCs w:val="21"/>
          <w:highlight w:val="none"/>
        </w:rPr>
      </w:pPr>
      <w:r>
        <w:rPr>
          <w:rFonts w:ascii="宋体" w:hAnsi="宋体"/>
          <w:color w:val="auto"/>
          <w:szCs w:val="21"/>
          <w:highlight w:val="none"/>
        </w:rPr>
        <w:t>　　</w:t>
      </w:r>
      <w:bookmarkStart w:id="1118" w:name="_Toc221950352"/>
      <w:r>
        <w:rPr>
          <w:rFonts w:ascii="宋体" w:hAnsi="宋体"/>
          <w:color w:val="auto"/>
          <w:szCs w:val="21"/>
          <w:highlight w:val="none"/>
        </w:rPr>
        <w:t>感谢你单位对我们工作的大力支持！</w:t>
      </w:r>
      <w:bookmarkEnd w:id="1118"/>
    </w:p>
    <w:p w14:paraId="7068AF73">
      <w:pPr>
        <w:spacing w:line="440" w:lineRule="exact"/>
        <w:rPr>
          <w:color w:val="auto"/>
          <w:szCs w:val="21"/>
          <w:highlight w:val="none"/>
        </w:rPr>
      </w:pPr>
    </w:p>
    <w:p w14:paraId="3D6F54DB">
      <w:pPr>
        <w:spacing w:line="440" w:lineRule="exact"/>
        <w:rPr>
          <w:rFonts w:hint="eastAsia"/>
          <w:color w:val="auto"/>
          <w:szCs w:val="21"/>
          <w:highlight w:val="none"/>
        </w:rPr>
      </w:pPr>
    </w:p>
    <w:p w14:paraId="4C616660">
      <w:pPr>
        <w:spacing w:line="440" w:lineRule="exact"/>
        <w:rPr>
          <w:rFonts w:hint="eastAsia"/>
          <w:color w:val="auto"/>
          <w:szCs w:val="21"/>
          <w:highlight w:val="none"/>
        </w:rPr>
      </w:pPr>
    </w:p>
    <w:p w14:paraId="4B2E330D">
      <w:pPr>
        <w:spacing w:line="440" w:lineRule="exact"/>
        <w:rPr>
          <w:rFonts w:hint="eastAsia"/>
          <w:color w:val="auto"/>
          <w:szCs w:val="21"/>
          <w:highlight w:val="none"/>
        </w:rPr>
      </w:pPr>
    </w:p>
    <w:p w14:paraId="7C6622B2">
      <w:pPr>
        <w:spacing w:line="440" w:lineRule="exact"/>
        <w:jc w:val="right"/>
        <w:rPr>
          <w:rFonts w:hint="eastAsia"/>
          <w:color w:val="auto"/>
          <w:szCs w:val="21"/>
          <w:highlight w:val="none"/>
        </w:rPr>
      </w:pPr>
      <w:r>
        <w:rPr>
          <w:color w:val="auto"/>
          <w:szCs w:val="21"/>
          <w:highlight w:val="none"/>
        </w:rPr>
        <w:t xml:space="preserve">                                </w:t>
      </w:r>
      <w:bookmarkStart w:id="1119" w:name="_Toc221950353"/>
      <w:r>
        <w:rPr>
          <w:color w:val="auto"/>
          <w:szCs w:val="21"/>
          <w:highlight w:val="none"/>
        </w:rPr>
        <w:t>招标人：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（盖单位章）</w:t>
      </w:r>
      <w:bookmarkEnd w:id="1119"/>
    </w:p>
    <w:p w14:paraId="1B8DCA2A">
      <w:pPr>
        <w:spacing w:line="440" w:lineRule="exact"/>
        <w:jc w:val="right"/>
        <w:rPr>
          <w:rFonts w:hint="eastAsia"/>
          <w:color w:val="auto"/>
          <w:szCs w:val="21"/>
          <w:highlight w:val="none"/>
        </w:rPr>
      </w:pPr>
      <w:r>
        <w:rPr>
          <w:color w:val="auto"/>
          <w:szCs w:val="21"/>
          <w:highlight w:val="none"/>
        </w:rPr>
        <w:t xml:space="preserve">                                </w:t>
      </w:r>
      <w:bookmarkStart w:id="1120" w:name="_Toc221950354"/>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（签字）</w:t>
      </w:r>
      <w:bookmarkEnd w:id="1120"/>
    </w:p>
    <w:p w14:paraId="186494BC">
      <w:pPr>
        <w:wordWrap w:val="0"/>
        <w:spacing w:line="440" w:lineRule="exact"/>
        <w:jc w:val="right"/>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bookmarkStart w:id="1121" w:name="_Toc221950355"/>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bookmarkEnd w:id="1121"/>
    </w:p>
    <w:p w14:paraId="0D195AA3">
      <w:pPr>
        <w:spacing w:line="440" w:lineRule="exact"/>
        <w:jc w:val="right"/>
        <w:rPr>
          <w:rFonts w:hint="eastAsia"/>
          <w:color w:val="auto"/>
          <w:szCs w:val="21"/>
          <w:highlight w:val="none"/>
        </w:rPr>
      </w:pPr>
    </w:p>
    <w:p w14:paraId="7F39B78D">
      <w:pPr>
        <w:spacing w:line="440" w:lineRule="exact"/>
        <w:jc w:val="right"/>
        <w:rPr>
          <w:rFonts w:hint="eastAsia"/>
          <w:color w:val="auto"/>
          <w:szCs w:val="21"/>
          <w:highlight w:val="none"/>
        </w:rPr>
      </w:pPr>
    </w:p>
    <w:p w14:paraId="20947967">
      <w:pPr>
        <w:spacing w:line="440" w:lineRule="exact"/>
        <w:jc w:val="right"/>
        <w:rPr>
          <w:rFonts w:hint="eastAsia"/>
          <w:color w:val="auto"/>
          <w:szCs w:val="21"/>
          <w:highlight w:val="none"/>
        </w:rPr>
      </w:pPr>
    </w:p>
    <w:p w14:paraId="654A993A">
      <w:pPr>
        <w:spacing w:line="440" w:lineRule="exact"/>
        <w:jc w:val="right"/>
        <w:rPr>
          <w:rFonts w:hint="eastAsia"/>
          <w:color w:val="auto"/>
          <w:szCs w:val="21"/>
          <w:highlight w:val="none"/>
        </w:rPr>
      </w:pPr>
    </w:p>
    <w:p w14:paraId="5FE5F835">
      <w:pPr>
        <w:spacing w:line="440" w:lineRule="exact"/>
        <w:jc w:val="right"/>
        <w:rPr>
          <w:rFonts w:hint="eastAsia"/>
          <w:color w:val="auto"/>
          <w:szCs w:val="21"/>
          <w:highlight w:val="none"/>
        </w:rPr>
      </w:pPr>
    </w:p>
    <w:p w14:paraId="204F29CF">
      <w:pPr>
        <w:spacing w:line="440" w:lineRule="exact"/>
        <w:jc w:val="right"/>
        <w:rPr>
          <w:rFonts w:hint="eastAsia"/>
          <w:color w:val="auto"/>
          <w:szCs w:val="21"/>
          <w:highlight w:val="none"/>
        </w:rPr>
      </w:pPr>
    </w:p>
    <w:p w14:paraId="5680A6AA">
      <w:pPr>
        <w:spacing w:line="440" w:lineRule="exact"/>
        <w:jc w:val="right"/>
        <w:rPr>
          <w:rFonts w:hint="eastAsia"/>
          <w:color w:val="auto"/>
          <w:szCs w:val="21"/>
          <w:highlight w:val="none"/>
        </w:rPr>
      </w:pPr>
    </w:p>
    <w:p w14:paraId="64C6D85E">
      <w:pPr>
        <w:spacing w:line="440" w:lineRule="exact"/>
        <w:jc w:val="right"/>
        <w:rPr>
          <w:rFonts w:hint="eastAsia"/>
          <w:color w:val="auto"/>
          <w:szCs w:val="21"/>
          <w:highlight w:val="none"/>
        </w:rPr>
      </w:pPr>
    </w:p>
    <w:p w14:paraId="1A7BE7AE">
      <w:pPr>
        <w:spacing w:line="440" w:lineRule="exact"/>
        <w:jc w:val="right"/>
        <w:rPr>
          <w:rFonts w:hint="eastAsia"/>
          <w:color w:val="auto"/>
          <w:szCs w:val="21"/>
          <w:highlight w:val="none"/>
        </w:rPr>
      </w:pPr>
    </w:p>
    <w:p w14:paraId="4150ECEE">
      <w:pPr>
        <w:pStyle w:val="5"/>
        <w:spacing w:before="159"/>
        <w:rPr>
          <w:rFonts w:hint="eastAsia"/>
          <w:color w:val="auto"/>
          <w:sz w:val="24"/>
          <w:highlight w:val="none"/>
        </w:rPr>
      </w:pPr>
      <w:bookmarkStart w:id="1122" w:name="_Toc30541"/>
      <w:bookmarkStart w:id="1123" w:name="_Toc456173265"/>
      <w:bookmarkStart w:id="1124" w:name="_Toc12206"/>
      <w:bookmarkStart w:id="1125" w:name="_Toc32459"/>
      <w:bookmarkStart w:id="1126" w:name="_Toc519085343"/>
      <w:bookmarkStart w:id="1127" w:name="_Toc426495824"/>
      <w:bookmarkStart w:id="1128" w:name="_Toc12514"/>
      <w:r>
        <w:rPr>
          <w:rFonts w:hint="eastAsia"/>
          <w:color w:val="auto"/>
          <w:highlight w:val="none"/>
        </w:rPr>
        <w:br w:type="page"/>
      </w:r>
      <w:bookmarkStart w:id="1129" w:name="_Toc21412"/>
      <w:bookmarkStart w:id="1130" w:name="_Toc2615_WPSOffice_Level2"/>
      <w:bookmarkStart w:id="1131" w:name="_Toc13761"/>
      <w:r>
        <w:rPr>
          <w:rFonts w:hint="eastAsia"/>
          <w:color w:val="auto"/>
          <w:sz w:val="24"/>
          <w:highlight w:val="none"/>
        </w:rPr>
        <w:t>附表十：异议函</w:t>
      </w:r>
      <w:bookmarkEnd w:id="1122"/>
      <w:bookmarkEnd w:id="1123"/>
      <w:bookmarkEnd w:id="1124"/>
      <w:bookmarkEnd w:id="1125"/>
      <w:bookmarkEnd w:id="1126"/>
      <w:bookmarkEnd w:id="1127"/>
      <w:bookmarkEnd w:id="1128"/>
      <w:bookmarkEnd w:id="1129"/>
      <w:bookmarkEnd w:id="1130"/>
      <w:bookmarkEnd w:id="1131"/>
    </w:p>
    <w:p w14:paraId="76F9657A">
      <w:pPr>
        <w:spacing w:line="720" w:lineRule="auto"/>
        <w:jc w:val="center"/>
        <w:rPr>
          <w:rFonts w:hint="eastAsia" w:ascii="仿宋_GB2312" w:eastAsia="仿宋_GB2312"/>
          <w:b/>
          <w:color w:val="auto"/>
          <w:sz w:val="28"/>
          <w:szCs w:val="28"/>
          <w:highlight w:val="none"/>
        </w:rPr>
      </w:pPr>
    </w:p>
    <w:p w14:paraId="50C6CF72">
      <w:pPr>
        <w:spacing w:before="319" w:beforeLines="100" w:after="319" w:afterLines="100" w:line="480" w:lineRule="exact"/>
        <w:jc w:val="center"/>
        <w:rPr>
          <w:rFonts w:hint="eastAsia" w:ascii="黑体" w:eastAsia="黑体"/>
          <w:color w:val="auto"/>
          <w:sz w:val="28"/>
          <w:szCs w:val="28"/>
          <w:highlight w:val="none"/>
        </w:rPr>
      </w:pPr>
      <w:bookmarkStart w:id="1132" w:name="_Toc28902_WPSOffice_Level1"/>
      <w:bookmarkStart w:id="1133" w:name="_Toc25619_WPSOffice_Level1"/>
      <w:r>
        <w:rPr>
          <w:rFonts w:hint="eastAsia" w:ascii="黑体" w:eastAsia="黑体"/>
          <w:color w:val="auto"/>
          <w:sz w:val="28"/>
          <w:szCs w:val="28"/>
          <w:highlight w:val="none"/>
        </w:rPr>
        <w:t>异议函</w:t>
      </w:r>
      <w:bookmarkEnd w:id="1132"/>
      <w:bookmarkEnd w:id="1133"/>
    </w:p>
    <w:p w14:paraId="4C1D8CE6">
      <w:pPr>
        <w:spacing w:line="360" w:lineRule="auto"/>
        <w:ind w:firstLine="420"/>
        <w:rPr>
          <w:rFonts w:hint="eastAsia" w:ascii="宋体" w:hAnsi="宋体"/>
          <w:color w:val="auto"/>
          <w:szCs w:val="21"/>
          <w:highlight w:val="none"/>
        </w:rPr>
      </w:pPr>
    </w:p>
    <w:p w14:paraId="70918D74">
      <w:pPr>
        <w:spacing w:line="440" w:lineRule="exact"/>
        <w:jc w:val="center"/>
        <w:rPr>
          <w:color w:val="auto"/>
          <w:szCs w:val="21"/>
          <w:highlight w:val="none"/>
        </w:rPr>
      </w:pPr>
      <w:r>
        <w:rPr>
          <w:rFonts w:hint="eastAsia"/>
          <w:color w:val="auto"/>
          <w:szCs w:val="21"/>
          <w:highlight w:val="none"/>
        </w:rPr>
        <w:t xml:space="preserve">                                            </w:t>
      </w:r>
      <w:bookmarkStart w:id="1134" w:name="_Toc28442_WPSOffice_Level2"/>
      <w:bookmarkStart w:id="1135" w:name="_Toc6008_WPSOffice_Level2"/>
      <w:r>
        <w:rPr>
          <w:rFonts w:hint="eastAsia"/>
          <w:color w:val="auto"/>
          <w:szCs w:val="21"/>
          <w:highlight w:val="none"/>
        </w:rPr>
        <w:t>交易登记</w:t>
      </w:r>
      <w:r>
        <w:rPr>
          <w:color w:val="auto"/>
          <w:szCs w:val="21"/>
          <w:highlight w:val="none"/>
        </w:rPr>
        <w:t>号：</w:t>
      </w:r>
      <w:bookmarkEnd w:id="1134"/>
      <w:bookmarkEnd w:id="1135"/>
    </w:p>
    <w:p w14:paraId="31EFB20C">
      <w:pPr>
        <w:spacing w:line="360" w:lineRule="auto"/>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5C6C2AC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我方已研究（看到）你方发出的</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工程总承包招标文件（或中标公示），现对下列问题提出异议，请予以解释：</w:t>
      </w:r>
    </w:p>
    <w:p w14:paraId="0A975AC2">
      <w:pPr>
        <w:spacing w:line="360" w:lineRule="auto"/>
        <w:ind w:firstLine="420"/>
        <w:rPr>
          <w:color w:val="auto"/>
          <w:szCs w:val="21"/>
          <w:highlight w:val="none"/>
        </w:rPr>
      </w:pPr>
      <w:r>
        <w:rPr>
          <w:color w:val="auto"/>
          <w:szCs w:val="21"/>
          <w:highlight w:val="none"/>
        </w:rPr>
        <w:t>　　</w:t>
      </w:r>
      <w:bookmarkStart w:id="1136" w:name="_Toc2409_WPSOffice_Level1"/>
      <w:bookmarkStart w:id="1137" w:name="_Toc616_WPSOffice_Level1"/>
      <w:r>
        <w:rPr>
          <w:color w:val="auto"/>
          <w:szCs w:val="21"/>
          <w:highlight w:val="none"/>
        </w:rPr>
        <w:t>1</w:t>
      </w:r>
      <w:r>
        <w:rPr>
          <w:rFonts w:hint="eastAsia"/>
          <w:color w:val="auto"/>
          <w:szCs w:val="21"/>
          <w:highlight w:val="none"/>
        </w:rPr>
        <w:t>.……</w:t>
      </w:r>
      <w:bookmarkEnd w:id="1136"/>
      <w:bookmarkEnd w:id="1137"/>
    </w:p>
    <w:p w14:paraId="4E9CF395">
      <w:pPr>
        <w:spacing w:line="360" w:lineRule="auto"/>
        <w:ind w:firstLine="420"/>
        <w:rPr>
          <w:color w:val="auto"/>
          <w:szCs w:val="21"/>
          <w:highlight w:val="none"/>
        </w:rPr>
      </w:pPr>
      <w:r>
        <w:rPr>
          <w:color w:val="auto"/>
          <w:szCs w:val="21"/>
          <w:highlight w:val="none"/>
        </w:rPr>
        <w:t>　　</w:t>
      </w:r>
      <w:bookmarkStart w:id="1138" w:name="_Toc28844_WPSOffice_Level1"/>
      <w:bookmarkStart w:id="1139" w:name="_Toc2538_WPSOffice_Level1"/>
      <w:r>
        <w:rPr>
          <w:color w:val="auto"/>
          <w:szCs w:val="21"/>
          <w:highlight w:val="none"/>
        </w:rPr>
        <w:t>2</w:t>
      </w:r>
      <w:r>
        <w:rPr>
          <w:rFonts w:hint="eastAsia"/>
          <w:color w:val="auto"/>
          <w:szCs w:val="21"/>
          <w:highlight w:val="none"/>
        </w:rPr>
        <w:t>.……</w:t>
      </w:r>
      <w:bookmarkEnd w:id="1138"/>
      <w:bookmarkEnd w:id="1139"/>
    </w:p>
    <w:p w14:paraId="6B5BD40A">
      <w:pPr>
        <w:spacing w:line="360" w:lineRule="auto"/>
        <w:ind w:firstLine="420"/>
        <w:rPr>
          <w:rFonts w:hint="eastAsia" w:ascii="宋体" w:hAnsi="宋体"/>
          <w:color w:val="auto"/>
          <w:szCs w:val="21"/>
          <w:highlight w:val="none"/>
        </w:rPr>
      </w:pPr>
    </w:p>
    <w:p w14:paraId="596FFA44">
      <w:pPr>
        <w:spacing w:line="360" w:lineRule="auto"/>
        <w:ind w:firstLine="420"/>
        <w:rPr>
          <w:rFonts w:hint="eastAsia" w:ascii="宋体" w:hAnsi="宋体"/>
          <w:color w:val="auto"/>
          <w:szCs w:val="21"/>
          <w:highlight w:val="none"/>
        </w:rPr>
      </w:pPr>
    </w:p>
    <w:p w14:paraId="104FC850">
      <w:pPr>
        <w:spacing w:line="360" w:lineRule="auto"/>
        <w:rPr>
          <w:rFonts w:hint="eastAsia" w:ascii="宋体" w:hAnsi="宋体"/>
          <w:color w:val="auto"/>
          <w:szCs w:val="21"/>
          <w:highlight w:val="none"/>
        </w:rPr>
      </w:pPr>
    </w:p>
    <w:p w14:paraId="3155A2E7">
      <w:pPr>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投标人或利害关系人：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6DF22311">
      <w:pPr>
        <w:wordWrap w:val="0"/>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法定代表人：</w:t>
      </w:r>
      <w:r>
        <w:rPr>
          <w:rFonts w:hint="eastAsia" w:ascii="宋体" w:hAnsi="宋体"/>
          <w:color w:val="auto"/>
          <w:szCs w:val="21"/>
          <w:highlight w:val="none"/>
          <w:u w:val="single"/>
        </w:rPr>
        <w:t>　　             　　　　　</w:t>
      </w:r>
      <w:r>
        <w:rPr>
          <w:rFonts w:hint="eastAsia" w:ascii="宋体" w:hAnsi="宋体"/>
          <w:color w:val="auto"/>
          <w:szCs w:val="21"/>
          <w:highlight w:val="none"/>
        </w:rPr>
        <w:t>(签字)</w:t>
      </w:r>
    </w:p>
    <w:p w14:paraId="6EF8C489">
      <w:pPr>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w:t>
      </w:r>
      <w:r>
        <w:rPr>
          <w:rFonts w:hint="eastAsia" w:ascii="宋体" w:hAnsi="宋体"/>
          <w:color w:val="auto"/>
          <w:szCs w:val="21"/>
          <w:highlight w:val="none"/>
        </w:rPr>
        <w:t>年</w:t>
      </w:r>
      <w:r>
        <w:rPr>
          <w:rFonts w:hint="eastAsia" w:ascii="宋体" w:hAnsi="宋体"/>
          <w:color w:val="auto"/>
          <w:szCs w:val="21"/>
          <w:highlight w:val="none"/>
          <w:u w:val="single"/>
        </w:rPr>
        <w:t>　　</w:t>
      </w:r>
      <w:r>
        <w:rPr>
          <w:rFonts w:hint="eastAsia" w:ascii="宋体" w:hAnsi="宋体"/>
          <w:color w:val="auto"/>
          <w:szCs w:val="21"/>
          <w:highlight w:val="none"/>
        </w:rPr>
        <w:t>月</w:t>
      </w:r>
      <w:r>
        <w:rPr>
          <w:rFonts w:hint="eastAsia" w:ascii="宋体" w:hAnsi="宋体"/>
          <w:color w:val="auto"/>
          <w:szCs w:val="21"/>
          <w:highlight w:val="none"/>
          <w:u w:val="single"/>
        </w:rPr>
        <w:t>　　</w:t>
      </w:r>
      <w:r>
        <w:rPr>
          <w:rFonts w:hint="eastAsia" w:ascii="宋体" w:hAnsi="宋体"/>
          <w:color w:val="auto"/>
          <w:szCs w:val="21"/>
          <w:highlight w:val="none"/>
        </w:rPr>
        <w:t>日</w:t>
      </w:r>
    </w:p>
    <w:p w14:paraId="52DAF96F">
      <w:pPr>
        <w:spacing w:line="560" w:lineRule="exact"/>
        <w:rPr>
          <w:rFonts w:hint="eastAsia"/>
          <w:color w:val="auto"/>
          <w:szCs w:val="21"/>
          <w:highlight w:val="none"/>
        </w:rPr>
      </w:pPr>
    </w:p>
    <w:p w14:paraId="30D0BBD7">
      <w:pPr>
        <w:ind w:firstLine="420"/>
        <w:jc w:val="right"/>
        <w:rPr>
          <w:rFonts w:hint="eastAsia" w:ascii="仿宋_GB2312" w:eastAsia="仿宋_GB2312"/>
          <w:color w:val="auto"/>
          <w:szCs w:val="21"/>
          <w:highlight w:val="none"/>
        </w:rPr>
      </w:pPr>
    </w:p>
    <w:p w14:paraId="5FBCAFCF">
      <w:pPr>
        <w:ind w:firstLine="420"/>
        <w:jc w:val="right"/>
        <w:rPr>
          <w:rFonts w:hint="eastAsia" w:ascii="仿宋_GB2312" w:eastAsia="仿宋_GB2312"/>
          <w:color w:val="auto"/>
          <w:szCs w:val="21"/>
          <w:highlight w:val="none"/>
        </w:rPr>
      </w:pPr>
    </w:p>
    <w:p w14:paraId="123D8481">
      <w:pPr>
        <w:ind w:firstLine="420"/>
        <w:jc w:val="right"/>
        <w:rPr>
          <w:rFonts w:hint="eastAsia" w:ascii="仿宋_GB2312" w:eastAsia="仿宋_GB2312"/>
          <w:color w:val="auto"/>
          <w:szCs w:val="21"/>
          <w:highlight w:val="none"/>
        </w:rPr>
      </w:pPr>
    </w:p>
    <w:p w14:paraId="53E5C298">
      <w:pPr>
        <w:ind w:firstLine="420"/>
        <w:jc w:val="right"/>
        <w:rPr>
          <w:rFonts w:hint="eastAsia" w:ascii="仿宋_GB2312" w:eastAsia="仿宋_GB2312"/>
          <w:color w:val="auto"/>
          <w:szCs w:val="21"/>
          <w:highlight w:val="none"/>
        </w:rPr>
      </w:pPr>
    </w:p>
    <w:p w14:paraId="07609277">
      <w:pPr>
        <w:ind w:firstLine="420"/>
        <w:jc w:val="right"/>
        <w:rPr>
          <w:rFonts w:hint="eastAsia" w:ascii="仿宋_GB2312" w:eastAsia="仿宋_GB2312"/>
          <w:color w:val="auto"/>
          <w:szCs w:val="21"/>
          <w:highlight w:val="none"/>
        </w:rPr>
      </w:pPr>
    </w:p>
    <w:p w14:paraId="5906FB6F">
      <w:pPr>
        <w:ind w:left="630" w:hanging="630" w:hangingChars="300"/>
        <w:rPr>
          <w:rFonts w:hint="eastAsia"/>
          <w:color w:val="auto"/>
          <w:szCs w:val="21"/>
          <w:highlight w:val="none"/>
        </w:rPr>
      </w:pPr>
      <w:r>
        <w:rPr>
          <w:rFonts w:hint="eastAsia" w:ascii="宋体" w:hAnsi="宋体"/>
          <w:color w:val="auto"/>
          <w:szCs w:val="21"/>
          <w:highlight w:val="none"/>
        </w:rPr>
        <w:t>备注</w:t>
      </w:r>
      <w:r>
        <w:rPr>
          <w:rFonts w:hint="eastAsia"/>
          <w:color w:val="auto"/>
          <w:highlight w:val="none"/>
        </w:rPr>
        <w:t>：</w:t>
      </w:r>
      <w:r>
        <w:rPr>
          <w:rFonts w:hint="eastAsia"/>
          <w:color w:val="auto"/>
          <w:szCs w:val="21"/>
          <w:highlight w:val="none"/>
        </w:rPr>
        <w:t>投标人或利害关系人对招标文件的内容或对</w:t>
      </w:r>
      <w:r>
        <w:rPr>
          <w:rFonts w:hint="eastAsia"/>
          <w:color w:val="auto"/>
          <w:highlight w:val="none"/>
        </w:rPr>
        <w:t>评标结果有异议，</w:t>
      </w:r>
      <w:r>
        <w:rPr>
          <w:rFonts w:hint="eastAsia"/>
          <w:color w:val="auto"/>
          <w:szCs w:val="21"/>
          <w:highlight w:val="none"/>
        </w:rPr>
        <w:t>要求招标人解释的，适用本格式。</w:t>
      </w:r>
    </w:p>
    <w:p w14:paraId="7FC3A4D2">
      <w:pPr>
        <w:rPr>
          <w:rFonts w:hint="eastAsia"/>
          <w:color w:val="auto"/>
          <w:szCs w:val="21"/>
          <w:highlight w:val="none"/>
        </w:rPr>
      </w:pPr>
      <w:r>
        <w:rPr>
          <w:rFonts w:hint="eastAsia"/>
          <w:color w:val="auto"/>
          <w:szCs w:val="21"/>
          <w:highlight w:val="none"/>
        </w:rPr>
        <w:br w:type="page"/>
      </w:r>
    </w:p>
    <w:p w14:paraId="6B87484D">
      <w:pPr>
        <w:pStyle w:val="5"/>
        <w:spacing w:before="159"/>
        <w:rPr>
          <w:rFonts w:hint="eastAsia"/>
          <w:color w:val="auto"/>
          <w:sz w:val="24"/>
          <w:highlight w:val="none"/>
        </w:rPr>
      </w:pPr>
      <w:bookmarkStart w:id="1140" w:name="_Toc456173266"/>
      <w:bookmarkStart w:id="1141" w:name="_Toc3718"/>
      <w:bookmarkStart w:id="1142" w:name="_Toc9672"/>
      <w:bookmarkStart w:id="1143" w:name="_Toc8541"/>
      <w:bookmarkStart w:id="1144" w:name="_Toc30602_WPSOffice_Level2"/>
      <w:bookmarkStart w:id="1145" w:name="_Toc426495825"/>
      <w:bookmarkStart w:id="1146" w:name="_Toc353544011"/>
      <w:bookmarkStart w:id="1147" w:name="_Toc24384"/>
      <w:bookmarkStart w:id="1148" w:name="_Toc519085344"/>
      <w:r>
        <w:rPr>
          <w:rFonts w:hint="eastAsia"/>
          <w:color w:val="auto"/>
          <w:sz w:val="24"/>
          <w:highlight w:val="none"/>
        </w:rPr>
        <w:t>附表十一：异议答复函</w:t>
      </w:r>
      <w:bookmarkEnd w:id="1140"/>
      <w:bookmarkEnd w:id="1141"/>
      <w:bookmarkEnd w:id="1142"/>
      <w:bookmarkEnd w:id="1143"/>
      <w:bookmarkEnd w:id="1144"/>
      <w:bookmarkEnd w:id="1145"/>
      <w:bookmarkEnd w:id="1146"/>
      <w:bookmarkEnd w:id="1147"/>
      <w:bookmarkEnd w:id="1148"/>
    </w:p>
    <w:p w14:paraId="7E9DB3CD">
      <w:pPr>
        <w:jc w:val="center"/>
        <w:rPr>
          <w:rFonts w:hint="eastAsia" w:hAnsi="黑体" w:eastAsia="黑体"/>
          <w:b/>
          <w:color w:val="auto"/>
          <w:sz w:val="28"/>
          <w:szCs w:val="28"/>
          <w:highlight w:val="none"/>
        </w:rPr>
      </w:pPr>
    </w:p>
    <w:p w14:paraId="444CA701">
      <w:pPr>
        <w:jc w:val="center"/>
        <w:rPr>
          <w:rFonts w:hint="eastAsia" w:hAnsi="黑体" w:eastAsia="黑体"/>
          <w:b/>
          <w:color w:val="auto"/>
          <w:sz w:val="28"/>
          <w:szCs w:val="28"/>
          <w:highlight w:val="none"/>
        </w:rPr>
      </w:pPr>
    </w:p>
    <w:p w14:paraId="710091EC">
      <w:pPr>
        <w:jc w:val="center"/>
        <w:rPr>
          <w:rFonts w:hint="eastAsia" w:hAnsi="黑体" w:eastAsia="黑体"/>
          <w:b/>
          <w:color w:val="auto"/>
          <w:sz w:val="28"/>
          <w:szCs w:val="28"/>
          <w:highlight w:val="none"/>
        </w:rPr>
      </w:pPr>
    </w:p>
    <w:p w14:paraId="3EACF8BA">
      <w:pPr>
        <w:spacing w:before="319" w:beforeLines="100" w:after="319" w:afterLines="100" w:line="480" w:lineRule="exact"/>
        <w:jc w:val="center"/>
        <w:rPr>
          <w:rFonts w:hint="eastAsia" w:ascii="黑体" w:eastAsia="黑体"/>
          <w:color w:val="auto"/>
          <w:sz w:val="28"/>
          <w:szCs w:val="28"/>
          <w:highlight w:val="none"/>
        </w:rPr>
      </w:pPr>
      <w:bookmarkStart w:id="1149" w:name="_Toc23634_WPSOffice_Level1"/>
      <w:bookmarkStart w:id="1150" w:name="_Toc20322_WPSOffice_Level1"/>
      <w:r>
        <w:rPr>
          <w:rFonts w:hint="eastAsia" w:ascii="黑体" w:eastAsia="黑体"/>
          <w:color w:val="auto"/>
          <w:sz w:val="28"/>
          <w:szCs w:val="28"/>
          <w:highlight w:val="none"/>
        </w:rPr>
        <w:t>异议答复函</w:t>
      </w:r>
      <w:bookmarkEnd w:id="1149"/>
      <w:bookmarkEnd w:id="1150"/>
    </w:p>
    <w:p w14:paraId="2EF13086">
      <w:pPr>
        <w:spacing w:line="360" w:lineRule="auto"/>
        <w:ind w:firstLine="420"/>
        <w:rPr>
          <w:rFonts w:hint="eastAsia" w:ascii="宋体" w:hAnsi="宋体"/>
          <w:color w:val="auto"/>
          <w:szCs w:val="21"/>
          <w:highlight w:val="none"/>
        </w:rPr>
      </w:pPr>
    </w:p>
    <w:p w14:paraId="0F13BFFE">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 xml:space="preserve">                                                          编号：</w:t>
      </w:r>
      <w:r>
        <w:rPr>
          <w:rFonts w:hint="eastAsia" w:ascii="宋体" w:hAnsi="宋体"/>
          <w:color w:val="auto"/>
          <w:szCs w:val="21"/>
          <w:highlight w:val="none"/>
          <w:u w:val="single"/>
        </w:rPr>
        <w:t>　        　</w:t>
      </w:r>
    </w:p>
    <w:p w14:paraId="1B6500D2">
      <w:pPr>
        <w:spacing w:line="360" w:lineRule="auto"/>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(投标人或利害关系人名称)：</w:t>
      </w:r>
    </w:p>
    <w:p w14:paraId="480DB2F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你方提出的有关</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工程总承包招标文件（或评标结果公示）的异议</w:t>
      </w:r>
      <w:r>
        <w:rPr>
          <w:rFonts w:ascii="宋体" w:hAnsi="宋体"/>
          <w:color w:val="auto"/>
          <w:szCs w:val="21"/>
          <w:highlight w:val="none"/>
        </w:rPr>
        <w:t>已收悉</w:t>
      </w:r>
      <w:r>
        <w:rPr>
          <w:rFonts w:hint="eastAsia" w:ascii="宋体" w:hAnsi="宋体"/>
          <w:color w:val="auto"/>
          <w:szCs w:val="21"/>
          <w:highlight w:val="none"/>
        </w:rPr>
        <w:t>，</w:t>
      </w:r>
      <w:r>
        <w:rPr>
          <w:rFonts w:ascii="宋体" w:hAnsi="宋体"/>
          <w:color w:val="auto"/>
          <w:szCs w:val="21"/>
          <w:highlight w:val="none"/>
        </w:rPr>
        <w:t>现</w:t>
      </w:r>
      <w:r>
        <w:rPr>
          <w:rFonts w:hint="eastAsia" w:ascii="宋体" w:hAnsi="宋体"/>
          <w:color w:val="auto"/>
          <w:szCs w:val="21"/>
          <w:highlight w:val="none"/>
        </w:rPr>
        <w:t>答复如下：</w:t>
      </w:r>
    </w:p>
    <w:p w14:paraId="59B54F82">
      <w:pPr>
        <w:spacing w:line="360" w:lineRule="auto"/>
        <w:ind w:firstLine="420"/>
        <w:rPr>
          <w:rFonts w:hint="eastAsia" w:ascii="宋体" w:hAnsi="宋体"/>
          <w:color w:val="auto"/>
          <w:szCs w:val="21"/>
          <w:highlight w:val="none"/>
        </w:rPr>
      </w:pPr>
      <w:bookmarkStart w:id="1151" w:name="_Toc7728_WPSOffice_Level1"/>
      <w:bookmarkStart w:id="1152" w:name="_Toc23289_WPSOffice_Level1"/>
      <w:r>
        <w:rPr>
          <w:rFonts w:hint="eastAsia"/>
          <w:color w:val="auto"/>
          <w:szCs w:val="21"/>
          <w:highlight w:val="none"/>
        </w:rPr>
        <w:t>1</w:t>
      </w:r>
      <w:r>
        <w:rPr>
          <w:rFonts w:hint="eastAsia" w:ascii="宋体" w:hAnsi="宋体"/>
          <w:color w:val="auto"/>
          <w:szCs w:val="21"/>
          <w:highlight w:val="none"/>
        </w:rPr>
        <w:t>.……</w:t>
      </w:r>
      <w:bookmarkEnd w:id="1151"/>
      <w:bookmarkEnd w:id="1152"/>
    </w:p>
    <w:p w14:paraId="1A33D363">
      <w:pPr>
        <w:spacing w:line="360" w:lineRule="auto"/>
        <w:ind w:firstLine="420"/>
        <w:rPr>
          <w:rFonts w:hint="eastAsia" w:ascii="宋体" w:hAnsi="宋体"/>
          <w:color w:val="auto"/>
          <w:szCs w:val="21"/>
          <w:highlight w:val="none"/>
        </w:rPr>
      </w:pPr>
      <w:bookmarkStart w:id="1153" w:name="_Toc7092_WPSOffice_Level1"/>
      <w:bookmarkStart w:id="1154" w:name="_Toc30236_WPSOffice_Level1"/>
      <w:r>
        <w:rPr>
          <w:rFonts w:hint="eastAsia"/>
          <w:color w:val="auto"/>
          <w:szCs w:val="21"/>
          <w:highlight w:val="none"/>
        </w:rPr>
        <w:t>2</w:t>
      </w:r>
      <w:r>
        <w:rPr>
          <w:rFonts w:hint="eastAsia" w:ascii="宋体" w:hAnsi="宋体"/>
          <w:color w:val="auto"/>
          <w:szCs w:val="21"/>
          <w:highlight w:val="none"/>
        </w:rPr>
        <w:t>.……</w:t>
      </w:r>
      <w:bookmarkEnd w:id="1153"/>
      <w:bookmarkEnd w:id="1154"/>
    </w:p>
    <w:p w14:paraId="54E0F17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w:t>
      </w:r>
    </w:p>
    <w:p w14:paraId="6993D8B1">
      <w:pPr>
        <w:spacing w:line="360" w:lineRule="auto"/>
        <w:ind w:firstLine="420"/>
        <w:rPr>
          <w:rFonts w:hint="eastAsia" w:ascii="宋体" w:hAnsi="宋体"/>
          <w:color w:val="auto"/>
          <w:szCs w:val="21"/>
          <w:highlight w:val="none"/>
        </w:rPr>
      </w:pPr>
    </w:p>
    <w:p w14:paraId="1C3CB209">
      <w:pPr>
        <w:spacing w:line="360" w:lineRule="auto"/>
        <w:ind w:firstLine="420"/>
        <w:rPr>
          <w:rFonts w:hint="eastAsia" w:ascii="宋体" w:hAnsi="宋体"/>
          <w:color w:val="auto"/>
          <w:szCs w:val="21"/>
          <w:highlight w:val="none"/>
        </w:rPr>
      </w:pPr>
    </w:p>
    <w:p w14:paraId="1FB869F9">
      <w:pPr>
        <w:spacing w:line="360" w:lineRule="auto"/>
        <w:ind w:firstLine="420"/>
        <w:rPr>
          <w:rFonts w:hint="eastAsia" w:ascii="宋体" w:hAnsi="宋体"/>
          <w:color w:val="auto"/>
          <w:szCs w:val="21"/>
          <w:highlight w:val="none"/>
        </w:rPr>
      </w:pPr>
    </w:p>
    <w:p w14:paraId="10B62EDE">
      <w:pPr>
        <w:spacing w:line="360" w:lineRule="auto"/>
        <w:ind w:firstLine="420"/>
        <w:rPr>
          <w:rFonts w:hint="eastAsia" w:ascii="宋体" w:hAnsi="宋体"/>
          <w:color w:val="auto"/>
          <w:szCs w:val="21"/>
          <w:highlight w:val="none"/>
        </w:rPr>
      </w:pPr>
    </w:p>
    <w:p w14:paraId="234E8F1A">
      <w:pPr>
        <w:spacing w:line="360" w:lineRule="auto"/>
        <w:ind w:firstLine="420"/>
        <w:rPr>
          <w:rFonts w:hint="eastAsia" w:ascii="宋体" w:hAnsi="宋体"/>
          <w:color w:val="auto"/>
          <w:szCs w:val="21"/>
          <w:highlight w:val="none"/>
        </w:rPr>
      </w:pPr>
    </w:p>
    <w:p w14:paraId="3488B03D">
      <w:pPr>
        <w:spacing w:line="360" w:lineRule="auto"/>
        <w:ind w:firstLine="420"/>
        <w:rPr>
          <w:rFonts w:ascii="宋体" w:hAnsi="宋体"/>
          <w:color w:val="auto"/>
          <w:szCs w:val="21"/>
          <w:highlight w:val="none"/>
        </w:rPr>
      </w:pPr>
    </w:p>
    <w:p w14:paraId="6DEB8A32">
      <w:pPr>
        <w:spacing w:line="360" w:lineRule="auto"/>
        <w:ind w:firstLine="420"/>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招标人：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（盖单位章）</w:t>
      </w:r>
    </w:p>
    <w:p w14:paraId="73CD5A1F">
      <w:pPr>
        <w:spacing w:line="360" w:lineRule="auto"/>
        <w:ind w:firstLine="420"/>
        <w:rPr>
          <w:rFonts w:ascii="宋体" w:hAnsi="宋体"/>
          <w:color w:val="auto"/>
          <w:szCs w:val="21"/>
          <w:highlight w:val="none"/>
        </w:rPr>
      </w:pPr>
    </w:p>
    <w:p w14:paraId="40AE85E5">
      <w:pPr>
        <w:spacing w:line="360" w:lineRule="auto"/>
        <w:ind w:firstLine="420"/>
        <w:rPr>
          <w:rFonts w:hint="eastAsia"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w:t>
      </w:r>
      <w:r>
        <w:rPr>
          <w:rFonts w:hint="eastAsia" w:ascii="宋体" w:hAnsi="宋体"/>
          <w:color w:val="auto"/>
          <w:szCs w:val="21"/>
          <w:highlight w:val="none"/>
        </w:rPr>
        <w:t xml:space="preserve"> </w:t>
      </w:r>
    </w:p>
    <w:bookmarkEnd w:id="1032"/>
    <w:bookmarkEnd w:id="1033"/>
    <w:bookmarkEnd w:id="1034"/>
    <w:bookmarkEnd w:id="1035"/>
    <w:bookmarkEnd w:id="1036"/>
    <w:p w14:paraId="479DD9DC">
      <w:pPr>
        <w:spacing w:line="400" w:lineRule="exact"/>
        <w:rPr>
          <w:rFonts w:hint="eastAsia"/>
          <w:color w:val="auto"/>
          <w:highlight w:val="none"/>
        </w:rPr>
      </w:pPr>
    </w:p>
    <w:p w14:paraId="5C3FE6E6">
      <w:pPr>
        <w:spacing w:line="400" w:lineRule="exact"/>
        <w:rPr>
          <w:rFonts w:hint="eastAsia"/>
          <w:color w:val="auto"/>
          <w:highlight w:val="none"/>
        </w:rPr>
      </w:pPr>
    </w:p>
    <w:p w14:paraId="10734185">
      <w:pPr>
        <w:pStyle w:val="5"/>
        <w:spacing w:before="159"/>
        <w:rPr>
          <w:color w:val="auto"/>
          <w:sz w:val="24"/>
          <w:highlight w:val="none"/>
        </w:rPr>
      </w:pPr>
      <w:r>
        <w:rPr>
          <w:color w:val="auto"/>
          <w:highlight w:val="none"/>
        </w:rPr>
        <w:br w:type="page"/>
      </w:r>
      <w:bookmarkStart w:id="1155" w:name="_Toc3265"/>
      <w:bookmarkStart w:id="1156" w:name="_Toc29659"/>
      <w:bookmarkStart w:id="1157" w:name="_Toc24211_WPSOffice_Level2"/>
      <w:bookmarkStart w:id="1158" w:name="_Toc25895"/>
      <w:bookmarkStart w:id="1159" w:name="_Toc23261"/>
      <w:r>
        <w:rPr>
          <w:rFonts w:hint="eastAsia" w:cs="黑体"/>
          <w:color w:val="auto"/>
          <w:sz w:val="24"/>
          <w:highlight w:val="none"/>
        </w:rPr>
        <w:t>附表十二：授权委托书</w:t>
      </w:r>
      <w:bookmarkEnd w:id="1155"/>
      <w:bookmarkEnd w:id="1156"/>
      <w:bookmarkEnd w:id="1157"/>
      <w:bookmarkEnd w:id="1158"/>
      <w:bookmarkEnd w:id="1159"/>
    </w:p>
    <w:p w14:paraId="72E14E15">
      <w:pPr>
        <w:spacing w:line="420" w:lineRule="exact"/>
        <w:jc w:val="center"/>
        <w:rPr>
          <w:rFonts w:hint="eastAsia" w:ascii="楷体_GB2312" w:eastAsia="楷体_GB2312" w:cs="楷体_GB2312"/>
          <w:color w:val="auto"/>
          <w:highlight w:val="none"/>
        </w:rPr>
      </w:pPr>
    </w:p>
    <w:p w14:paraId="628660F3">
      <w:pPr>
        <w:spacing w:before="319" w:beforeLines="100" w:after="319" w:afterLines="100" w:line="480" w:lineRule="exact"/>
        <w:jc w:val="center"/>
        <w:rPr>
          <w:rFonts w:hint="eastAsia" w:ascii="黑体" w:eastAsia="黑体" w:cs="黑体"/>
          <w:color w:val="auto"/>
          <w:sz w:val="28"/>
          <w:szCs w:val="28"/>
          <w:highlight w:val="none"/>
        </w:rPr>
      </w:pPr>
      <w:bookmarkStart w:id="1160" w:name="_Toc23477_WPSOffice_Level1"/>
      <w:bookmarkStart w:id="1161" w:name="_Toc493254945"/>
      <w:bookmarkStart w:id="1162" w:name="_Toc14374_WPSOffice_Level1"/>
      <w:r>
        <w:rPr>
          <w:rFonts w:hint="eastAsia" w:ascii="黑体" w:eastAsia="黑体" w:cs="黑体"/>
          <w:color w:val="auto"/>
          <w:sz w:val="28"/>
          <w:szCs w:val="28"/>
          <w:highlight w:val="none"/>
          <w:lang w:bidi="ar"/>
        </w:rPr>
        <w:t>授权委托书</w:t>
      </w:r>
      <w:bookmarkEnd w:id="1160"/>
      <w:bookmarkEnd w:id="1161"/>
      <w:bookmarkEnd w:id="1162"/>
    </w:p>
    <w:p w14:paraId="112A53D8">
      <w:pPr>
        <w:spacing w:before="319" w:beforeLines="100" w:after="319" w:afterLines="100" w:line="480" w:lineRule="exact"/>
        <w:jc w:val="center"/>
        <w:rPr>
          <w:rFonts w:hint="eastAsia" w:ascii="黑体" w:hAnsi="宋体" w:cs="黑体"/>
          <w:color w:val="auto"/>
          <w:szCs w:val="28"/>
          <w:highlight w:val="none"/>
        </w:rPr>
      </w:pPr>
    </w:p>
    <w:p w14:paraId="0701B914">
      <w:pPr>
        <w:topLinePunct/>
        <w:spacing w:line="440" w:lineRule="exact"/>
        <w:ind w:firstLine="420" w:firstLineChars="200"/>
        <w:rPr>
          <w:color w:val="auto"/>
          <w:szCs w:val="21"/>
          <w:highlight w:val="none"/>
        </w:rPr>
      </w:pPr>
      <w:r>
        <w:rPr>
          <w:color w:val="auto"/>
          <w:szCs w:val="21"/>
          <w:highlight w:val="none"/>
        </w:rPr>
        <w:t>本人</w:t>
      </w:r>
      <w:r>
        <w:rPr>
          <w:color w:val="auto"/>
          <w:szCs w:val="21"/>
          <w:highlight w:val="none"/>
          <w:u w:val="single"/>
        </w:rPr>
        <w:t xml:space="preserve">       </w:t>
      </w:r>
      <w:r>
        <w:rPr>
          <w:color w:val="auto"/>
          <w:szCs w:val="21"/>
          <w:highlight w:val="none"/>
        </w:rPr>
        <w:t>（姓名）系</w:t>
      </w:r>
      <w:r>
        <w:rPr>
          <w:color w:val="auto"/>
          <w:szCs w:val="21"/>
          <w:highlight w:val="none"/>
          <w:u w:val="single"/>
        </w:rPr>
        <w:t xml:space="preserve">        </w:t>
      </w:r>
      <w:r>
        <w:rPr>
          <w:color w:val="auto"/>
          <w:szCs w:val="21"/>
          <w:highlight w:val="none"/>
        </w:rPr>
        <w:t>（投标人名称）的法定代表人，现委托</w:t>
      </w:r>
      <w:r>
        <w:rPr>
          <w:color w:val="auto"/>
          <w:szCs w:val="21"/>
          <w:highlight w:val="none"/>
          <w:u w:val="single"/>
        </w:rPr>
        <w:t xml:space="preserve">        </w:t>
      </w:r>
      <w:r>
        <w:rPr>
          <w:color w:val="auto"/>
          <w:szCs w:val="21"/>
          <w:highlight w:val="none"/>
        </w:rPr>
        <w:t>（姓名）为我方代理人。代理人根据授权，以我方名义签署、澄清</w:t>
      </w:r>
      <w:r>
        <w:rPr>
          <w:rFonts w:hint="eastAsia"/>
          <w:color w:val="auto"/>
          <w:szCs w:val="21"/>
          <w:highlight w:val="none"/>
        </w:rPr>
        <w:t>、说明、补正</w:t>
      </w:r>
      <w:r>
        <w:rPr>
          <w:color w:val="auto"/>
          <w:szCs w:val="21"/>
          <w:highlight w:val="none"/>
        </w:rPr>
        <w:t>、递交、撤回、修改</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rFonts w:hint="eastAsia"/>
          <w:color w:val="auto"/>
          <w:szCs w:val="21"/>
          <w:highlight w:val="none"/>
        </w:rPr>
        <w:t>（标段名称）</w:t>
      </w:r>
      <w:r>
        <w:rPr>
          <w:color w:val="auto"/>
          <w:szCs w:val="21"/>
          <w:highlight w:val="none"/>
        </w:rPr>
        <w:t>投标文件、签订合同和处理有关事宜，其法律后果由我方承担。</w:t>
      </w:r>
    </w:p>
    <w:p w14:paraId="7BE7D0A9">
      <w:pPr>
        <w:spacing w:line="440" w:lineRule="exact"/>
        <w:rPr>
          <w:color w:val="auto"/>
          <w:szCs w:val="21"/>
          <w:highlight w:val="none"/>
        </w:rPr>
      </w:pPr>
      <w:r>
        <w:rPr>
          <w:color w:val="auto"/>
          <w:szCs w:val="21"/>
          <w:highlight w:val="none"/>
        </w:rPr>
        <w:t xml:space="preserve">    委托期限：</w:t>
      </w:r>
      <w:r>
        <w:rPr>
          <w:color w:val="auto"/>
          <w:szCs w:val="21"/>
          <w:highlight w:val="none"/>
          <w:u w:val="single"/>
        </w:rPr>
        <w:t xml:space="preserve">             </w:t>
      </w:r>
      <w:r>
        <w:rPr>
          <w:rFonts w:hint="eastAsia"/>
          <w:color w:val="auto"/>
          <w:szCs w:val="21"/>
          <w:highlight w:val="none"/>
        </w:rPr>
        <w:t>。</w:t>
      </w:r>
    </w:p>
    <w:p w14:paraId="0B888ADA">
      <w:pPr>
        <w:spacing w:line="440" w:lineRule="exact"/>
        <w:ind w:firstLine="420" w:firstLineChars="200"/>
        <w:rPr>
          <w:rFonts w:hint="eastAsia"/>
          <w:color w:val="auto"/>
          <w:szCs w:val="21"/>
          <w:highlight w:val="none"/>
        </w:rPr>
      </w:pPr>
      <w:r>
        <w:rPr>
          <w:color w:val="auto"/>
          <w:szCs w:val="21"/>
          <w:highlight w:val="none"/>
        </w:rPr>
        <w:t>代理人无转委托权。</w:t>
      </w:r>
    </w:p>
    <w:p w14:paraId="6453DC6C">
      <w:pPr>
        <w:spacing w:line="440" w:lineRule="exact"/>
        <w:ind w:firstLine="420" w:firstLineChars="200"/>
        <w:rPr>
          <w:rFonts w:hint="eastAsia"/>
          <w:color w:val="auto"/>
          <w:szCs w:val="21"/>
          <w:highlight w:val="none"/>
        </w:rPr>
      </w:pPr>
    </w:p>
    <w:p w14:paraId="0F37C3EA">
      <w:pPr>
        <w:spacing w:line="440" w:lineRule="exact"/>
        <w:ind w:firstLine="420" w:firstLineChars="200"/>
        <w:rPr>
          <w:rFonts w:hint="eastAsia"/>
          <w:color w:val="auto"/>
          <w:szCs w:val="21"/>
          <w:highlight w:val="none"/>
        </w:rPr>
      </w:pPr>
      <w:bookmarkStart w:id="1163" w:name="_Toc1929_WPSOffice_Level1"/>
      <w:bookmarkStart w:id="1164" w:name="_Toc32698_WPSOffice_Level1"/>
      <w:r>
        <w:rPr>
          <w:rFonts w:hint="eastAsia"/>
          <w:color w:val="auto"/>
          <w:szCs w:val="21"/>
          <w:highlight w:val="none"/>
        </w:rPr>
        <w:t>附：1</w:t>
      </w:r>
      <w:r>
        <w:rPr>
          <w:rFonts w:hint="eastAsia" w:ascii="宋体" w:hAnsi="宋体"/>
          <w:bCs/>
          <w:color w:val="auto"/>
          <w:szCs w:val="21"/>
          <w:highlight w:val="none"/>
        </w:rPr>
        <w:t>．</w:t>
      </w:r>
      <w:r>
        <w:rPr>
          <w:rFonts w:hint="eastAsia"/>
          <w:color w:val="auto"/>
          <w:szCs w:val="21"/>
          <w:highlight w:val="none"/>
        </w:rPr>
        <w:t>法定代表人身份证明</w:t>
      </w:r>
      <w:bookmarkEnd w:id="1163"/>
      <w:bookmarkEnd w:id="1164"/>
    </w:p>
    <w:p w14:paraId="4875181A">
      <w:pPr>
        <w:spacing w:line="440" w:lineRule="exact"/>
        <w:ind w:firstLine="840" w:firstLineChars="400"/>
        <w:rPr>
          <w:rFonts w:hint="eastAsia"/>
          <w:color w:val="auto"/>
          <w:szCs w:val="21"/>
          <w:highlight w:val="none"/>
        </w:rPr>
      </w:pPr>
      <w:bookmarkStart w:id="1165" w:name="_Toc31993_WPSOffice_Level1"/>
      <w:bookmarkStart w:id="1166" w:name="_Toc17504_WPSOffice_Level1"/>
      <w:r>
        <w:rPr>
          <w:rFonts w:hint="eastAsia" w:ascii="宋体" w:hAnsi="宋体"/>
          <w:bCs/>
          <w:color w:val="auto"/>
          <w:szCs w:val="21"/>
          <w:highlight w:val="none"/>
        </w:rPr>
        <w:t>2．委托代理人身份证正反面复印件</w:t>
      </w:r>
      <w:bookmarkEnd w:id="1165"/>
      <w:bookmarkEnd w:id="1166"/>
    </w:p>
    <w:p w14:paraId="0FFE97C9">
      <w:pPr>
        <w:spacing w:line="440" w:lineRule="exact"/>
        <w:rPr>
          <w:color w:val="auto"/>
          <w:szCs w:val="21"/>
          <w:highlight w:val="none"/>
        </w:rPr>
      </w:pPr>
    </w:p>
    <w:p w14:paraId="1179E19F">
      <w:pPr>
        <w:spacing w:line="440" w:lineRule="exact"/>
        <w:ind w:firstLine="3150" w:firstLineChars="1500"/>
        <w:jc w:val="left"/>
        <w:rPr>
          <w:color w:val="auto"/>
          <w:szCs w:val="21"/>
          <w:highlight w:val="none"/>
        </w:rPr>
      </w:pPr>
      <w:r>
        <w:rPr>
          <w:color w:val="auto"/>
          <w:szCs w:val="21"/>
          <w:highlight w:val="none"/>
        </w:rPr>
        <w:t>投标人：</w:t>
      </w:r>
      <w:r>
        <w:rPr>
          <w:color w:val="auto"/>
          <w:szCs w:val="21"/>
          <w:highlight w:val="none"/>
          <w:u w:val="single"/>
        </w:rPr>
        <w:t xml:space="preserve">                               </w:t>
      </w:r>
      <w:r>
        <w:rPr>
          <w:color w:val="auto"/>
          <w:szCs w:val="21"/>
          <w:highlight w:val="none"/>
        </w:rPr>
        <w:t>（盖单位章）</w:t>
      </w:r>
    </w:p>
    <w:p w14:paraId="1F96345B">
      <w:pPr>
        <w:spacing w:line="440" w:lineRule="exact"/>
        <w:ind w:firstLine="3150" w:firstLineChars="1500"/>
        <w:jc w:val="left"/>
        <w:rPr>
          <w:color w:val="auto"/>
          <w:szCs w:val="21"/>
          <w:highlight w:val="none"/>
        </w:rPr>
      </w:pPr>
      <w:r>
        <w:rPr>
          <w:color w:val="auto"/>
          <w:szCs w:val="21"/>
          <w:highlight w:val="none"/>
        </w:rPr>
        <w:t>法定代表人：</w:t>
      </w:r>
      <w:r>
        <w:rPr>
          <w:color w:val="auto"/>
          <w:szCs w:val="21"/>
          <w:highlight w:val="none"/>
          <w:u w:val="single"/>
        </w:rPr>
        <w:t xml:space="preserve">                               </w:t>
      </w:r>
      <w:r>
        <w:rPr>
          <w:color w:val="auto"/>
          <w:szCs w:val="21"/>
          <w:highlight w:val="none"/>
        </w:rPr>
        <w:t>（签</w:t>
      </w:r>
      <w:r>
        <w:rPr>
          <w:rFonts w:hint="eastAsia"/>
          <w:color w:val="auto"/>
          <w:szCs w:val="21"/>
          <w:highlight w:val="none"/>
        </w:rPr>
        <w:t>字</w:t>
      </w:r>
      <w:r>
        <w:rPr>
          <w:color w:val="auto"/>
          <w:szCs w:val="21"/>
          <w:highlight w:val="none"/>
        </w:rPr>
        <w:t>）</w:t>
      </w:r>
    </w:p>
    <w:p w14:paraId="6702E1F4">
      <w:pPr>
        <w:spacing w:line="440" w:lineRule="exact"/>
        <w:ind w:firstLine="3150" w:firstLineChars="1500"/>
        <w:jc w:val="left"/>
        <w:rPr>
          <w:rFonts w:hint="eastAsia"/>
          <w:color w:val="auto"/>
          <w:szCs w:val="21"/>
          <w:highlight w:val="none"/>
        </w:rPr>
      </w:pPr>
      <w:r>
        <w:rPr>
          <w:color w:val="auto"/>
          <w:szCs w:val="21"/>
          <w:highlight w:val="none"/>
        </w:rPr>
        <w:t>身份证号码：</w:t>
      </w:r>
      <w:r>
        <w:rPr>
          <w:rFonts w:hint="eastAsia"/>
          <w:color w:val="auto"/>
          <w:szCs w:val="21"/>
          <w:highlight w:val="none"/>
          <w:u w:val="single"/>
        </w:rPr>
        <w:t xml:space="preserve">                                      </w:t>
      </w:r>
      <w:r>
        <w:rPr>
          <w:rFonts w:hint="eastAsia"/>
          <w:color w:val="auto"/>
          <w:szCs w:val="21"/>
          <w:highlight w:val="none"/>
        </w:rPr>
        <w:t xml:space="preserve"> </w:t>
      </w:r>
    </w:p>
    <w:p w14:paraId="7F490CAE">
      <w:pPr>
        <w:spacing w:line="440" w:lineRule="exact"/>
        <w:ind w:firstLine="3150" w:firstLineChars="1500"/>
        <w:jc w:val="left"/>
        <w:rPr>
          <w:color w:val="auto"/>
          <w:szCs w:val="21"/>
          <w:highlight w:val="none"/>
        </w:rPr>
      </w:pPr>
      <w:r>
        <w:rPr>
          <w:color w:val="auto"/>
          <w:szCs w:val="21"/>
          <w:highlight w:val="none"/>
        </w:rPr>
        <w:t>委托代理人：</w:t>
      </w:r>
      <w:r>
        <w:rPr>
          <w:color w:val="auto"/>
          <w:szCs w:val="21"/>
          <w:highlight w:val="none"/>
          <w:u w:val="single"/>
        </w:rPr>
        <w:t xml:space="preserve">                               </w:t>
      </w:r>
      <w:r>
        <w:rPr>
          <w:color w:val="auto"/>
          <w:szCs w:val="21"/>
          <w:highlight w:val="none"/>
        </w:rPr>
        <w:t>（签字）</w:t>
      </w:r>
    </w:p>
    <w:p w14:paraId="0146AFD1">
      <w:pPr>
        <w:spacing w:line="440" w:lineRule="exact"/>
        <w:ind w:firstLine="3150" w:firstLineChars="1500"/>
        <w:jc w:val="left"/>
        <w:rPr>
          <w:rFonts w:hint="eastAsia"/>
          <w:color w:val="auto"/>
          <w:szCs w:val="21"/>
          <w:highlight w:val="none"/>
        </w:rPr>
      </w:pPr>
      <w:r>
        <w:rPr>
          <w:color w:val="auto"/>
          <w:szCs w:val="21"/>
          <w:highlight w:val="none"/>
        </w:rPr>
        <w:t>身份证号码：</w:t>
      </w:r>
      <w:r>
        <w:rPr>
          <w:rFonts w:hint="eastAsia"/>
          <w:color w:val="auto"/>
          <w:szCs w:val="21"/>
          <w:highlight w:val="none"/>
          <w:u w:val="single"/>
        </w:rPr>
        <w:t xml:space="preserve">                                       </w:t>
      </w:r>
    </w:p>
    <w:p w14:paraId="09CDB77F">
      <w:pPr>
        <w:spacing w:line="440" w:lineRule="exact"/>
        <w:ind w:firstLine="5460" w:firstLineChars="2600"/>
        <w:rPr>
          <w:rFonts w:hint="eastAsia"/>
          <w:color w:val="auto"/>
          <w:szCs w:val="21"/>
          <w:highlight w:val="none"/>
          <w:u w:val="single"/>
        </w:rPr>
      </w:pPr>
    </w:p>
    <w:p w14:paraId="620FCE38">
      <w:pPr>
        <w:spacing w:line="440" w:lineRule="exact"/>
        <w:ind w:firstLine="5460" w:firstLineChars="260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4535C528">
      <w:pPr>
        <w:spacing w:line="440" w:lineRule="exact"/>
        <w:ind w:firstLine="2310" w:firstLineChars="1100"/>
        <w:rPr>
          <w:rFonts w:hint="eastAsia"/>
          <w:color w:val="auto"/>
          <w:szCs w:val="21"/>
          <w:highlight w:val="none"/>
        </w:rPr>
      </w:pPr>
    </w:p>
    <w:p w14:paraId="52492CBF">
      <w:pPr>
        <w:spacing w:line="440" w:lineRule="exact"/>
        <w:ind w:firstLine="2310" w:firstLineChars="1100"/>
        <w:rPr>
          <w:rFonts w:hint="eastAsia"/>
          <w:color w:val="auto"/>
          <w:szCs w:val="21"/>
          <w:highlight w:val="none"/>
        </w:rPr>
      </w:pPr>
    </w:p>
    <w:p w14:paraId="5B252C3D">
      <w:pPr>
        <w:spacing w:line="440" w:lineRule="exact"/>
        <w:ind w:firstLine="2310" w:firstLineChars="1100"/>
        <w:rPr>
          <w:rFonts w:hint="eastAsia"/>
          <w:color w:val="auto"/>
          <w:szCs w:val="21"/>
          <w:highlight w:val="none"/>
        </w:rPr>
      </w:pPr>
    </w:p>
    <w:p w14:paraId="30AE751A">
      <w:pPr>
        <w:spacing w:line="440" w:lineRule="exact"/>
        <w:ind w:firstLine="2310" w:firstLineChars="1100"/>
        <w:rPr>
          <w:rFonts w:hint="eastAsia"/>
          <w:color w:val="auto"/>
          <w:szCs w:val="21"/>
          <w:highlight w:val="none"/>
        </w:rPr>
      </w:pPr>
    </w:p>
    <w:p w14:paraId="6C574F50">
      <w:pPr>
        <w:spacing w:line="360" w:lineRule="auto"/>
        <w:ind w:left="840" w:hanging="840" w:hangingChars="400"/>
        <w:rPr>
          <w:rFonts w:ascii="宋体" w:hAnsi="宋体"/>
          <w:bCs/>
          <w:color w:val="auto"/>
          <w:szCs w:val="21"/>
          <w:highlight w:val="none"/>
        </w:rPr>
      </w:pPr>
      <w:r>
        <w:rPr>
          <w:rFonts w:hint="eastAsia" w:ascii="宋体" w:hAnsi="宋体"/>
          <w:bCs/>
          <w:color w:val="auto"/>
          <w:szCs w:val="21"/>
          <w:highlight w:val="none"/>
        </w:rPr>
        <w:t>备注: 1.</w:t>
      </w:r>
      <w:r>
        <w:rPr>
          <w:rFonts w:hint="eastAsia" w:ascii="宋体" w:hAnsi="宋体"/>
          <w:color w:val="auto"/>
          <w:szCs w:val="21"/>
          <w:highlight w:val="none"/>
        </w:rPr>
        <w:t>投标文件</w:t>
      </w:r>
      <w:r>
        <w:rPr>
          <w:rFonts w:hint="eastAsia" w:ascii="宋体" w:hAnsi="宋体"/>
          <w:bCs/>
          <w:color w:val="auto"/>
          <w:szCs w:val="21"/>
          <w:highlight w:val="none"/>
        </w:rPr>
        <w:t>由法定代表人签字的，</w:t>
      </w:r>
      <w:r>
        <w:rPr>
          <w:rFonts w:hint="eastAsia" w:ascii="宋体" w:hAnsi="宋体"/>
          <w:color w:val="auto"/>
          <w:szCs w:val="21"/>
          <w:highlight w:val="none"/>
        </w:rPr>
        <w:t>投标文件</w:t>
      </w:r>
      <w:r>
        <w:rPr>
          <w:rFonts w:hint="eastAsia" w:ascii="宋体" w:hAnsi="宋体"/>
          <w:bCs/>
          <w:color w:val="auto"/>
          <w:szCs w:val="21"/>
          <w:highlight w:val="none"/>
        </w:rPr>
        <w:t>中不需本</w:t>
      </w:r>
      <w:r>
        <w:rPr>
          <w:rFonts w:ascii="宋体" w:hAnsi="宋体"/>
          <w:bCs/>
          <w:color w:val="auto"/>
          <w:szCs w:val="21"/>
          <w:highlight w:val="none"/>
        </w:rPr>
        <w:t>授权委托书</w:t>
      </w:r>
      <w:r>
        <w:rPr>
          <w:rFonts w:hint="eastAsia" w:ascii="宋体" w:hAnsi="宋体"/>
          <w:bCs/>
          <w:color w:val="auto"/>
          <w:szCs w:val="21"/>
          <w:highlight w:val="none"/>
        </w:rPr>
        <w:t>。</w:t>
      </w:r>
      <w:r>
        <w:rPr>
          <w:rFonts w:hint="eastAsia" w:ascii="宋体" w:hAnsi="宋体"/>
          <w:color w:val="auto"/>
          <w:szCs w:val="21"/>
          <w:highlight w:val="none"/>
        </w:rPr>
        <w:t>投标文件</w:t>
      </w:r>
      <w:r>
        <w:rPr>
          <w:rFonts w:hint="eastAsia" w:ascii="宋体" w:hAnsi="宋体"/>
          <w:bCs/>
          <w:color w:val="auto"/>
          <w:szCs w:val="21"/>
          <w:highlight w:val="none"/>
        </w:rPr>
        <w:t>由委托代理人签字的，</w:t>
      </w:r>
      <w:r>
        <w:rPr>
          <w:rFonts w:hint="eastAsia" w:ascii="宋体" w:hAnsi="宋体"/>
          <w:color w:val="auto"/>
          <w:szCs w:val="21"/>
          <w:highlight w:val="none"/>
        </w:rPr>
        <w:t>投标文件</w:t>
      </w:r>
      <w:r>
        <w:rPr>
          <w:rFonts w:hint="eastAsia" w:ascii="宋体" w:hAnsi="宋体"/>
          <w:bCs/>
          <w:color w:val="auto"/>
          <w:szCs w:val="21"/>
          <w:highlight w:val="none"/>
        </w:rPr>
        <w:t>中</w:t>
      </w:r>
      <w:r>
        <w:rPr>
          <w:rFonts w:hint="eastAsia" w:ascii="宋体" w:hAnsi="宋体"/>
          <w:color w:val="auto"/>
          <w:szCs w:val="21"/>
          <w:highlight w:val="none"/>
        </w:rPr>
        <w:t>应附</w:t>
      </w:r>
      <w:r>
        <w:rPr>
          <w:rFonts w:hint="eastAsia" w:ascii="宋体" w:hAnsi="宋体"/>
          <w:bCs/>
          <w:color w:val="auto"/>
          <w:szCs w:val="21"/>
          <w:highlight w:val="none"/>
        </w:rPr>
        <w:t>本</w:t>
      </w:r>
      <w:r>
        <w:rPr>
          <w:rFonts w:ascii="宋体" w:hAnsi="宋体"/>
          <w:bCs/>
          <w:color w:val="auto"/>
          <w:szCs w:val="21"/>
          <w:highlight w:val="none"/>
        </w:rPr>
        <w:t>授权委托书</w:t>
      </w:r>
      <w:r>
        <w:rPr>
          <w:rFonts w:hint="eastAsia" w:ascii="宋体" w:hAnsi="宋体"/>
          <w:bCs/>
          <w:color w:val="auto"/>
          <w:szCs w:val="21"/>
          <w:highlight w:val="none"/>
        </w:rPr>
        <w:t>。</w:t>
      </w:r>
    </w:p>
    <w:p w14:paraId="03AB0C45">
      <w:pPr>
        <w:pStyle w:val="117"/>
        <w:rPr>
          <w:color w:val="auto"/>
          <w:highlight w:val="none"/>
        </w:rPr>
      </w:pPr>
      <w:bookmarkStart w:id="1167" w:name="_Toc144974565"/>
      <w:bookmarkStart w:id="1168" w:name="_Toc247527623"/>
      <w:bookmarkStart w:id="1169" w:name="_Toc519085345"/>
      <w:bookmarkStart w:id="1170" w:name="_Toc152042375"/>
      <w:bookmarkStart w:id="1171" w:name="_Toc152045598"/>
      <w:bookmarkStart w:id="1172" w:name="_Toc247514022"/>
      <w:r>
        <w:rPr>
          <w:rFonts w:hint="eastAsia"/>
          <w:color w:val="auto"/>
          <w:highlight w:val="none"/>
        </w:rPr>
        <w:br w:type="page"/>
      </w:r>
      <w:bookmarkStart w:id="1173" w:name="_Toc855"/>
      <w:bookmarkStart w:id="1174" w:name="_Toc4652"/>
      <w:bookmarkStart w:id="1175" w:name="_Toc14438"/>
      <w:bookmarkStart w:id="1176" w:name="_Toc23058"/>
      <w:bookmarkStart w:id="1177" w:name="_Toc14079"/>
      <w:bookmarkStart w:id="1178" w:name="_Toc18959_WPSOffice_Level1"/>
      <w:bookmarkStart w:id="1179" w:name="_Toc10267"/>
      <w:r>
        <w:rPr>
          <w:rFonts w:hint="eastAsia"/>
          <w:color w:val="auto"/>
          <w:highlight w:val="none"/>
        </w:rPr>
        <w:t>第三章 评标办法（综合评估法）</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4776D975">
      <w:pPr>
        <w:rPr>
          <w:rFonts w:hint="eastAsia"/>
          <w:color w:val="auto"/>
          <w:highlight w:val="none"/>
        </w:rPr>
      </w:pPr>
      <w:bookmarkStart w:id="1180" w:name="_Toc152042376"/>
      <w:bookmarkStart w:id="1181" w:name="_Toc247514023"/>
      <w:bookmarkStart w:id="1182" w:name="_Toc247527624"/>
      <w:bookmarkStart w:id="1183" w:name="_Toc152045599"/>
      <w:bookmarkStart w:id="1184" w:name="_Toc144974566"/>
    </w:p>
    <w:p w14:paraId="7463DA96">
      <w:pPr>
        <w:pStyle w:val="119"/>
        <w:rPr>
          <w:rFonts w:hint="eastAsia"/>
          <w:color w:val="auto"/>
          <w:highlight w:val="none"/>
        </w:rPr>
      </w:pPr>
      <w:bookmarkStart w:id="1185" w:name="_Toc31792"/>
      <w:bookmarkStart w:id="1186" w:name="_Toc13058"/>
      <w:bookmarkStart w:id="1187" w:name="_Toc13091"/>
      <w:bookmarkStart w:id="1188" w:name="_Toc1354"/>
      <w:bookmarkStart w:id="1189" w:name="_Toc27393"/>
      <w:bookmarkStart w:id="1190" w:name="_Toc519085346"/>
      <w:bookmarkStart w:id="1191" w:name="_Toc4617_WPSOffice_Level2"/>
      <w:bookmarkStart w:id="1192" w:name="_Toc24120"/>
      <w:r>
        <w:rPr>
          <w:rFonts w:hint="eastAsia"/>
          <w:color w:val="auto"/>
          <w:highlight w:val="none"/>
        </w:rPr>
        <w:t>评标办法前附表</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p>
    <w:tbl>
      <w:tblPr>
        <w:tblStyle w:val="39"/>
        <w:tblW w:w="91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2476"/>
        <w:gridCol w:w="4680"/>
      </w:tblGrid>
      <w:tr w14:paraId="717CC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067C4919">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FE77DEB">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评审因素</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634FC39">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评审标准</w:t>
            </w:r>
          </w:p>
        </w:tc>
      </w:tr>
      <w:tr w14:paraId="0A6155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restart"/>
            <w:tcBorders>
              <w:top w:val="single" w:color="auto" w:sz="4" w:space="0"/>
              <w:right w:val="single" w:color="auto" w:sz="4" w:space="0"/>
            </w:tcBorders>
            <w:noWrap w:val="0"/>
            <w:vAlign w:val="center"/>
          </w:tcPr>
          <w:p w14:paraId="0388A58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2.1.1</w:t>
            </w:r>
          </w:p>
        </w:tc>
        <w:tc>
          <w:tcPr>
            <w:tcW w:w="1124" w:type="dxa"/>
            <w:vMerge w:val="restart"/>
            <w:tcBorders>
              <w:top w:val="single" w:color="auto" w:sz="4" w:space="0"/>
              <w:right w:val="single" w:color="auto" w:sz="4" w:space="0"/>
            </w:tcBorders>
            <w:noWrap w:val="0"/>
            <w:vAlign w:val="center"/>
          </w:tcPr>
          <w:p w14:paraId="44633DF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形式</w:t>
            </w:r>
          </w:p>
          <w:p w14:paraId="53CC7AB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5CF40FE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A94F87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1718021">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投标文件能正常</w:t>
            </w:r>
            <w:r>
              <w:rPr>
                <w:rFonts w:ascii="Calibri" w:hAnsi="Calibri" w:eastAsia="宋体" w:cs="Times New Roman"/>
                <w:color w:val="auto"/>
                <w:highlight w:val="none"/>
              </w:rPr>
              <w:t>打开</w:t>
            </w:r>
          </w:p>
        </w:tc>
      </w:tr>
      <w:tr w14:paraId="5E4AF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CA6C0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6AAE82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1691DE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F765115">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与营业执照、资质证书、安全生产许可证（如有）一致</w:t>
            </w:r>
          </w:p>
        </w:tc>
      </w:tr>
      <w:tr w14:paraId="5153A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4D54347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F0E7C5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EABB9E4">
            <w:pPr>
              <w:keepNext w:val="0"/>
              <w:keepLines w:val="0"/>
              <w:suppressLineNumbers w:val="0"/>
              <w:adjustRightInd w:val="0"/>
              <w:spacing w:before="95" w:beforeLines="3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E62FF27">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r>
      <w:tr w14:paraId="12A905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390B37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5F30FE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7931C41">
            <w:pPr>
              <w:keepNext w:val="0"/>
              <w:keepLines w:val="0"/>
              <w:suppressLineNumbers w:val="0"/>
              <w:snapToGrid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投标文件格式、内容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BF4B1C1">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r>
      <w:tr w14:paraId="7B4F1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4665029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805C31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41E487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技术</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暗标</w:t>
            </w: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E8266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符合第二章</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投标人须知</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 xml:space="preserve"> 第3.</w:t>
            </w:r>
            <w:r>
              <w:rPr>
                <w:rFonts w:hint="eastAsia" w:ascii="Calibri" w:hAnsi="Calibri" w:eastAsia="宋体" w:cs="Times New Roman"/>
                <w:color w:val="auto"/>
                <w:szCs w:val="21"/>
                <w:highlight w:val="none"/>
                <w:lang w:val="en-US" w:eastAsia="zh-CN"/>
              </w:rPr>
              <w:t>7</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lang w:val="en-US" w:eastAsia="zh-CN"/>
              </w:rPr>
              <w:t>4</w:t>
            </w:r>
            <w:r>
              <w:rPr>
                <w:rFonts w:ascii="Calibri" w:hAnsi="Calibri" w:eastAsia="宋体" w:cs="Times New Roman"/>
                <w:color w:val="auto"/>
                <w:szCs w:val="21"/>
                <w:highlight w:val="none"/>
              </w:rPr>
              <w:t>项规定</w:t>
            </w:r>
          </w:p>
        </w:tc>
      </w:tr>
      <w:tr w14:paraId="4854CC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084CAD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A28742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F30816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联合体投标人（如有）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B939B6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提交联合体协议书，并明确联合体牵头人</w:t>
            </w:r>
          </w:p>
        </w:tc>
      </w:tr>
      <w:tr w14:paraId="7B1B3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F72533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7D822A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12DDE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报价唯一</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06AE40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只能有一个有效报价</w:t>
            </w:r>
          </w:p>
        </w:tc>
      </w:tr>
      <w:tr w14:paraId="7CDD4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 w:hRule="atLeast"/>
        </w:trPr>
        <w:tc>
          <w:tcPr>
            <w:tcW w:w="900" w:type="dxa"/>
            <w:vMerge w:val="continue"/>
            <w:tcBorders>
              <w:right w:val="single" w:color="auto" w:sz="4" w:space="0"/>
            </w:tcBorders>
            <w:noWrap w:val="0"/>
            <w:vAlign w:val="center"/>
          </w:tcPr>
          <w:p w14:paraId="346374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799454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3316EE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多标段投标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B4A001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符合第二章“投标人须知”第</w:t>
            </w:r>
            <w:r>
              <w:rPr>
                <w:rFonts w:ascii="Calibri" w:hAnsi="Calibri" w:eastAsia="宋体" w:cs="Times New Roman"/>
                <w:color w:val="auto"/>
                <w:szCs w:val="21"/>
                <w:highlight w:val="none"/>
              </w:rPr>
              <w:t>10.1</w:t>
            </w:r>
            <w:r>
              <w:rPr>
                <w:rFonts w:hint="eastAsia" w:ascii="Calibri" w:hAnsi="Calibri" w:eastAsia="宋体" w:cs="Times New Roman"/>
                <w:color w:val="auto"/>
                <w:szCs w:val="21"/>
                <w:highlight w:val="none"/>
              </w:rPr>
              <w:t>款规定</w:t>
            </w:r>
          </w:p>
        </w:tc>
      </w:tr>
      <w:tr w14:paraId="675FD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restart"/>
            <w:tcBorders>
              <w:top w:val="single" w:color="auto" w:sz="4" w:space="0"/>
              <w:right w:val="single" w:color="auto" w:sz="4" w:space="0"/>
            </w:tcBorders>
            <w:noWrap w:val="0"/>
            <w:vAlign w:val="center"/>
          </w:tcPr>
          <w:p w14:paraId="10E33FE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124" w:type="dxa"/>
            <w:vMerge w:val="restart"/>
            <w:tcBorders>
              <w:top w:val="single" w:color="auto" w:sz="4" w:space="0"/>
              <w:right w:val="single" w:color="auto" w:sz="4" w:space="0"/>
            </w:tcBorders>
            <w:noWrap w:val="0"/>
            <w:vAlign w:val="center"/>
          </w:tcPr>
          <w:p w14:paraId="4132696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资格</w:t>
            </w:r>
          </w:p>
          <w:p w14:paraId="60D4B67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20DC414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标准</w:t>
            </w:r>
          </w:p>
          <w:p w14:paraId="0C9E1DE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（后审）</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6246B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BBBE9E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具备有效的营业执照</w:t>
            </w:r>
          </w:p>
        </w:tc>
      </w:tr>
      <w:tr w14:paraId="201550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9E36A7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527D05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A8B368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资质等级</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7D374F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115DDF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776618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855AC5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30561B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财务状况</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5E53814D">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7D9A2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E840AE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A2C871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82DE68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类似</w:t>
            </w:r>
            <w:r>
              <w:rPr>
                <w:rFonts w:ascii="Calibri" w:hAnsi="Calibri" w:eastAsia="宋体" w:cs="Times New Roman"/>
                <w:color w:val="auto"/>
                <w:szCs w:val="21"/>
                <w:highlight w:val="none"/>
              </w:rPr>
              <w:t>业绩</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12889629">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1EE0E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900" w:type="dxa"/>
            <w:vMerge w:val="continue"/>
            <w:tcBorders>
              <w:right w:val="single" w:color="auto" w:sz="4" w:space="0"/>
            </w:tcBorders>
            <w:noWrap w:val="0"/>
            <w:vAlign w:val="center"/>
          </w:tcPr>
          <w:p w14:paraId="00154B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6D43A0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34953F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05F91B8C">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08D85A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31ED3F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43A664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5DADDB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w:t>
            </w:r>
            <w:r>
              <w:rPr>
                <w:rFonts w:hint="eastAsia" w:ascii="Calibri" w:hAnsi="Calibri" w:eastAsia="宋体" w:cs="Times New Roman"/>
                <w:color w:val="auto"/>
                <w:highlight w:val="none"/>
              </w:rPr>
              <w:t>资格</w:t>
            </w:r>
            <w:r>
              <w:rPr>
                <w:rFonts w:ascii="Calibri" w:hAnsi="Calibri" w:eastAsia="宋体" w:cs="Times New Roman"/>
                <w:color w:val="auto"/>
                <w:szCs w:val="21"/>
                <w:highlight w:val="none"/>
              </w:rPr>
              <w:t xml:space="preserve"> </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895ACF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01739D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FCE6BA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46BB914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9D0F0E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设计负责人</w:t>
            </w:r>
            <w:r>
              <w:rPr>
                <w:rFonts w:hint="eastAsia" w:ascii="Calibri" w:hAnsi="Calibri" w:eastAsia="宋体" w:cs="Times New Roman"/>
                <w:color w:val="auto"/>
                <w:highlight w:val="none"/>
              </w:rPr>
              <w:t>资格</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1E633B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4C2FC4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81659B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BC11D7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0C15E4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施工负责人</w:t>
            </w:r>
            <w:r>
              <w:rPr>
                <w:rFonts w:hint="eastAsia" w:ascii="Calibri" w:hAnsi="Calibri" w:eastAsia="宋体" w:cs="Times New Roman"/>
                <w:color w:val="auto"/>
                <w:highlight w:val="none"/>
              </w:rPr>
              <w:t>资格</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2430C6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41629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41D792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A413F2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72FC13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施工机械设备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98FBF9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7725A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F6D4BB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4DA62D2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56A27A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项目管理机构及人员</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4C33AF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4DA1E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4156E92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F2F46B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26C42C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其他要求</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B8A407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D3571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52CC7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4BEA13B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D7D201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w:t>
            </w:r>
            <w:r>
              <w:rPr>
                <w:rFonts w:hint="eastAsia" w:ascii="Calibri" w:hAnsi="Calibri" w:eastAsia="宋体" w:cs="Times New Roman"/>
                <w:color w:val="auto"/>
                <w:szCs w:val="21"/>
                <w:highlight w:val="none"/>
              </w:rPr>
              <w:t>（如有）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6DDAFA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符合第二章“投标人须知”第1.4.2项规定</w:t>
            </w:r>
          </w:p>
        </w:tc>
      </w:tr>
      <w:tr w14:paraId="30F12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900" w:type="dxa"/>
            <w:vMerge w:val="continue"/>
            <w:tcBorders>
              <w:right w:val="single" w:color="auto" w:sz="4" w:space="0"/>
            </w:tcBorders>
            <w:noWrap w:val="0"/>
            <w:vAlign w:val="center"/>
          </w:tcPr>
          <w:p w14:paraId="4FBF109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EA77F1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right w:val="single" w:color="auto" w:sz="4" w:space="0"/>
            </w:tcBorders>
            <w:noWrap w:val="0"/>
            <w:vAlign w:val="center"/>
          </w:tcPr>
          <w:p w14:paraId="20BCC14A">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不存在禁止投标的情形</w:t>
            </w:r>
          </w:p>
        </w:tc>
        <w:tc>
          <w:tcPr>
            <w:tcW w:w="4680" w:type="dxa"/>
            <w:tcBorders>
              <w:top w:val="single" w:color="auto" w:sz="4" w:space="0"/>
              <w:left w:val="single" w:color="auto" w:sz="4" w:space="0"/>
              <w:right w:val="single" w:color="auto" w:sz="4" w:space="0"/>
            </w:tcBorders>
            <w:noWrap w:val="0"/>
            <w:vAlign w:val="center"/>
          </w:tcPr>
          <w:p w14:paraId="4C464F51">
            <w:pPr>
              <w:keepNext w:val="0"/>
              <w:keepLines w:val="0"/>
              <w:suppressLineNumbers w:val="0"/>
              <w:snapToGrid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不存在第二章“投标人须知”第1.4.3项规定的任何一种情形</w:t>
            </w:r>
          </w:p>
        </w:tc>
      </w:tr>
      <w:tr w14:paraId="72F3F1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1C7E6F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2.1.2</w:t>
            </w:r>
          </w:p>
        </w:tc>
        <w:tc>
          <w:tcPr>
            <w:tcW w:w="1124" w:type="dxa"/>
            <w:tcBorders>
              <w:top w:val="single" w:color="auto" w:sz="4" w:space="0"/>
              <w:left w:val="single" w:color="auto" w:sz="4" w:space="0"/>
              <w:bottom w:val="single" w:color="auto" w:sz="4" w:space="0"/>
              <w:right w:val="single" w:color="auto" w:sz="4" w:space="0"/>
            </w:tcBorders>
            <w:noWrap w:val="0"/>
            <w:vAlign w:val="center"/>
          </w:tcPr>
          <w:p w14:paraId="499D3728">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资格评</w:t>
            </w:r>
          </w:p>
          <w:p w14:paraId="598D6C4D">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审标准</w:t>
            </w:r>
          </w:p>
          <w:p w14:paraId="719A553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（预审）</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3C3D2D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见本项目资格预审文件第三章“资格审查办法”</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629BF1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满足本项目资格预审文件第三章“资格审查办法”的审查标准并且不影响本次招标的公正性。</w:t>
            </w:r>
          </w:p>
        </w:tc>
      </w:tr>
      <w:tr w14:paraId="5B828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00" w:type="dxa"/>
            <w:vMerge w:val="restart"/>
            <w:tcBorders>
              <w:top w:val="single" w:color="auto" w:sz="4" w:space="0"/>
              <w:right w:val="single" w:color="auto" w:sz="4" w:space="0"/>
            </w:tcBorders>
            <w:noWrap w:val="0"/>
            <w:vAlign w:val="center"/>
          </w:tcPr>
          <w:p w14:paraId="4FD71A4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3B4B742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2.1.3</w:t>
            </w:r>
          </w:p>
        </w:tc>
        <w:tc>
          <w:tcPr>
            <w:tcW w:w="1124" w:type="dxa"/>
            <w:vMerge w:val="restart"/>
            <w:tcBorders>
              <w:top w:val="single" w:color="auto" w:sz="4" w:space="0"/>
              <w:right w:val="single" w:color="auto" w:sz="4" w:space="0"/>
            </w:tcBorders>
            <w:noWrap w:val="0"/>
            <w:vAlign w:val="center"/>
          </w:tcPr>
          <w:p w14:paraId="70C9EED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7BA158D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响应性</w:t>
            </w:r>
          </w:p>
          <w:p w14:paraId="47C6907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2780563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C5C7B6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一</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CC49A0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符合第二章“投标人须知”第3.2.4项规定</w:t>
            </w:r>
          </w:p>
        </w:tc>
      </w:tr>
      <w:tr w14:paraId="2C72A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3BA8387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0E0C27C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78ED04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二</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4561FC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highlight w:val="none"/>
                <w:lang w:val="en-US" w:eastAsia="zh-CN" w:bidi="ar"/>
              </w:rPr>
            </w:pPr>
            <w:r>
              <w:rPr>
                <w:rFonts w:hint="eastAsia" w:ascii="Times New Roman" w:hAnsi="Times New Roman" w:eastAsia="宋体" w:cs="宋体"/>
                <w:kern w:val="2"/>
                <w:sz w:val="21"/>
                <w:szCs w:val="24"/>
                <w:highlight w:val="none"/>
                <w:lang w:val="en-US" w:eastAsia="zh-CN" w:bidi="ar"/>
              </w:rPr>
              <w:t>算术错误修正后的投标总价不大于本标段最高投标限价总价</w:t>
            </w:r>
          </w:p>
        </w:tc>
      </w:tr>
      <w:tr w14:paraId="6A120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5C18B0B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31F7070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EFC8B7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096796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宋体" w:hAnsi="宋体" w:eastAsia="宋体" w:cs="Times New Roman"/>
                <w:kern w:val="2"/>
                <w:sz w:val="21"/>
                <w:szCs w:val="21"/>
                <w:highlight w:val="none"/>
                <w:lang w:val="en-US" w:eastAsia="zh-CN" w:bidi="ar"/>
              </w:rPr>
              <w:t>投标函中的大写投标总报价（算术错误修正后的投标总价，如有）不低于其成本</w:t>
            </w:r>
          </w:p>
        </w:tc>
      </w:tr>
      <w:tr w14:paraId="6DFD7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393094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195D7AD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9DF1D5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AE79353">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符合第二章“投标人须知”第1.3.1项规定</w:t>
            </w:r>
          </w:p>
        </w:tc>
      </w:tr>
      <w:tr w14:paraId="713374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338172F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516144C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ACC25D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工期</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396446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符合第二章“投标人须知”第1.3.2项规定</w:t>
            </w:r>
          </w:p>
        </w:tc>
      </w:tr>
      <w:tr w14:paraId="267B1C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5B328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9603B3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DA3BC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质量标准</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232C29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符合第二章“投标人须知”第1.3.3项规定</w:t>
            </w:r>
          </w:p>
        </w:tc>
      </w:tr>
      <w:tr w14:paraId="71BD3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DDA238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EE97D7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9A063F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投标有效期</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5C4A0A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符合第二章“投标人须知”第3.3.1项规定</w:t>
            </w:r>
          </w:p>
        </w:tc>
      </w:tr>
      <w:tr w14:paraId="4B465F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39062CF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54DAC20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DFEB84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B0B7F8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符合第二章“投标人须知”第3.4款规定</w:t>
            </w:r>
          </w:p>
        </w:tc>
      </w:tr>
      <w:tr w14:paraId="28B44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5B4D94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8B826B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68AEA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权利义务</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5D2EB9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符合第四章“合同条款及格式”规定的权利义务</w:t>
            </w:r>
          </w:p>
        </w:tc>
      </w:tr>
      <w:tr w14:paraId="7180A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5A8A157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1CBA0A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D901F6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101D55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符合第五章“发包人要求”的规定</w:t>
            </w:r>
          </w:p>
        </w:tc>
      </w:tr>
      <w:tr w14:paraId="4BFDB3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bottom w:val="single" w:color="auto" w:sz="4" w:space="0"/>
              <w:right w:val="single" w:color="auto" w:sz="4" w:space="0"/>
            </w:tcBorders>
            <w:noWrap w:val="0"/>
            <w:vAlign w:val="center"/>
          </w:tcPr>
          <w:p w14:paraId="52CF10F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c>
          <w:tcPr>
            <w:tcW w:w="1124" w:type="dxa"/>
            <w:vMerge w:val="continue"/>
            <w:tcBorders>
              <w:bottom w:val="single" w:color="auto" w:sz="4" w:space="0"/>
              <w:right w:val="single" w:color="auto" w:sz="4" w:space="0"/>
            </w:tcBorders>
            <w:noWrap w:val="0"/>
            <w:vAlign w:val="center"/>
          </w:tcPr>
          <w:p w14:paraId="6503E29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5F3B5C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7123AB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A9BF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1CE07DEC">
            <w:pPr>
              <w:keepNext w:val="0"/>
              <w:keepLines w:val="0"/>
              <w:suppressLineNumbers w:val="0"/>
              <w:autoSpaceDE w:val="0"/>
              <w:autoSpaceDN w:val="0"/>
              <w:adjustRightInd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3.2.2</w:t>
            </w:r>
          </w:p>
        </w:tc>
        <w:tc>
          <w:tcPr>
            <w:tcW w:w="7156" w:type="dxa"/>
            <w:gridSpan w:val="2"/>
            <w:tcBorders>
              <w:top w:val="single" w:color="auto" w:sz="4" w:space="0"/>
              <w:left w:val="single" w:color="auto" w:sz="4" w:space="0"/>
              <w:bottom w:val="single" w:color="auto" w:sz="4" w:space="0"/>
              <w:right w:val="single" w:color="auto" w:sz="4" w:space="0"/>
            </w:tcBorders>
            <w:noWrap w:val="0"/>
            <w:vAlign w:val="center"/>
          </w:tcPr>
          <w:p w14:paraId="6EC34D23">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投标人不得存在的其他情形：</w:t>
            </w:r>
          </w:p>
          <w:p w14:paraId="12B62AE5">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（1）不按评标委员会要求澄清或说明；</w:t>
            </w:r>
          </w:p>
          <w:p w14:paraId="0F01E51A">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（2）串通投标、弄虚作假、行贿或有其他违法违规行为。</w:t>
            </w:r>
          </w:p>
          <w:p w14:paraId="52DF219F">
            <w:pPr>
              <w:pStyle w:val="2"/>
              <w:keepNext w:val="0"/>
              <w:keepLines w:val="0"/>
              <w:suppressLineNumbers w:val="0"/>
              <w:spacing w:before="0" w:beforeAutospacing="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3）串通投标，包括但不限于下列情形：不同投标人的投标文件记录的IP地址相同且无法提供合理解释的，投标文件记录的网卡（MAC）地址、硬盘序列号、电脑运行环境等硬件信息有一条（含一条）以上相同的，工程量清单编制计价软件密码锁序列号相同的。</w:t>
            </w:r>
          </w:p>
        </w:tc>
      </w:tr>
      <w:tr w14:paraId="0B04F6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731E4D89">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18E793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条款内容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B1C15EB">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编列内容</w:t>
            </w:r>
          </w:p>
        </w:tc>
      </w:tr>
      <w:tr w14:paraId="4BC8D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19AB8C8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2.2.1</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7BB4E4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分值构成</w:t>
            </w:r>
          </w:p>
          <w:p w14:paraId="158447F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(总分100分)</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ABF0BC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承包人实施方案：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2BA0DC6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承包人建议书：</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1A9B0A0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资信业绩部分：</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6C17F493">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其他评分因素：</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116F7C5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tc>
      </w:tr>
      <w:tr w14:paraId="69D4E8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24F762A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2.2.2</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84F3E7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评标基准价计算方法</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AD05DC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5F8C7C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2024" w:type="dxa"/>
            <w:gridSpan w:val="2"/>
            <w:tcBorders>
              <w:top w:val="single" w:color="auto" w:sz="4" w:space="0"/>
              <w:bottom w:val="single" w:color="auto" w:sz="4" w:space="0"/>
              <w:right w:val="single" w:color="auto" w:sz="4" w:space="0"/>
            </w:tcBorders>
            <w:noWrap w:val="0"/>
            <w:vAlign w:val="center"/>
          </w:tcPr>
          <w:p w14:paraId="3D1C3E7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2.2.3</w:t>
            </w:r>
          </w:p>
        </w:tc>
        <w:tc>
          <w:tcPr>
            <w:tcW w:w="2476" w:type="dxa"/>
            <w:tcBorders>
              <w:top w:val="single" w:color="auto" w:sz="4" w:space="0"/>
              <w:left w:val="single" w:color="auto" w:sz="4" w:space="0"/>
              <w:right w:val="single" w:color="auto" w:sz="4" w:space="0"/>
            </w:tcBorders>
            <w:noWrap w:val="0"/>
            <w:vAlign w:val="center"/>
          </w:tcPr>
          <w:p w14:paraId="22ABA69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投标报价的偏差率</w:t>
            </w:r>
          </w:p>
          <w:p w14:paraId="7FB1F0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计算公式</w:t>
            </w:r>
          </w:p>
        </w:tc>
        <w:tc>
          <w:tcPr>
            <w:tcW w:w="4680" w:type="dxa"/>
            <w:tcBorders>
              <w:top w:val="single" w:color="auto" w:sz="4" w:space="0"/>
              <w:left w:val="single" w:color="auto" w:sz="4" w:space="0"/>
              <w:right w:val="single" w:color="auto" w:sz="4" w:space="0"/>
            </w:tcBorders>
            <w:noWrap w:val="0"/>
            <w:vAlign w:val="center"/>
          </w:tcPr>
          <w:p w14:paraId="215DDAC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偏差率=100% ×（投标人报价－评标基准价）/评标基准价</w:t>
            </w:r>
          </w:p>
        </w:tc>
      </w:tr>
      <w:tr w14:paraId="59FC0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nil"/>
              <w:bottom w:val="single" w:color="auto" w:sz="4" w:space="0"/>
              <w:right w:val="single" w:color="auto" w:sz="4" w:space="0"/>
            </w:tcBorders>
            <w:noWrap w:val="0"/>
            <w:vAlign w:val="center"/>
          </w:tcPr>
          <w:p w14:paraId="26E35E8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DBC51B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评分因素（偏差率）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95E651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b/>
                <w:color w:val="auto"/>
                <w:szCs w:val="21"/>
                <w:highlight w:val="none"/>
              </w:rPr>
              <w:t>评分标准</w:t>
            </w:r>
          </w:p>
        </w:tc>
      </w:tr>
      <w:tr w14:paraId="02541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6C39E6A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1</w:t>
            </w:r>
            <w:r>
              <w:rPr>
                <w:rFonts w:ascii="Calibri" w:hAnsi="Calibri" w:eastAsia="宋体" w:cs="Times New Roman"/>
                <w:color w:val="auto"/>
                <w:szCs w:val="21"/>
                <w:highlight w:val="none"/>
              </w:rPr>
              <w:t>）</w:t>
            </w:r>
          </w:p>
        </w:tc>
        <w:tc>
          <w:tcPr>
            <w:tcW w:w="1124" w:type="dxa"/>
            <w:vMerge w:val="restart"/>
            <w:tcBorders>
              <w:top w:val="single" w:color="auto" w:sz="4" w:space="0"/>
              <w:left w:val="single" w:color="auto" w:sz="4" w:space="0"/>
              <w:bottom w:val="single" w:color="auto" w:sz="4" w:space="0"/>
              <w:right w:val="single" w:color="auto" w:sz="4" w:space="0"/>
            </w:tcBorders>
            <w:noWrap w:val="0"/>
            <w:vAlign w:val="center"/>
          </w:tcPr>
          <w:p w14:paraId="592A83F8">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承包人实施方案评分标准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09EB2A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总体实施方案</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999DE84">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2297C1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0341D70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76B590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BC434B3">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项目实施要点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99A9011">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5412AE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5FE2415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5CEBFA0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9F3E33A">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项目管理要点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97C68C4">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2C633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4208100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1DD7B2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D1E52FA">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FEA8B51">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450A0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2F8C1ACB">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2</w:t>
            </w:r>
            <w:r>
              <w:rPr>
                <w:rFonts w:ascii="Calibri" w:hAnsi="Calibri" w:eastAsia="宋体" w:cs="Times New Roman"/>
                <w:color w:val="auto"/>
                <w:szCs w:val="21"/>
                <w:highlight w:val="none"/>
              </w:rPr>
              <w:t>）</w:t>
            </w:r>
          </w:p>
        </w:tc>
        <w:tc>
          <w:tcPr>
            <w:tcW w:w="1124" w:type="dxa"/>
            <w:vMerge w:val="restart"/>
            <w:tcBorders>
              <w:top w:val="single" w:color="auto" w:sz="4" w:space="0"/>
              <w:bottom w:val="single" w:color="auto" w:sz="4" w:space="0"/>
              <w:right w:val="single" w:color="auto" w:sz="4" w:space="0"/>
            </w:tcBorders>
            <w:noWrap w:val="0"/>
            <w:vAlign w:val="center"/>
          </w:tcPr>
          <w:p w14:paraId="520C753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承包人建议书评分标准</w:t>
            </w:r>
          </w:p>
        </w:tc>
        <w:tc>
          <w:tcPr>
            <w:tcW w:w="2476" w:type="dxa"/>
            <w:tcBorders>
              <w:top w:val="single" w:color="auto" w:sz="4" w:space="0"/>
              <w:left w:val="single" w:color="auto" w:sz="4" w:space="0"/>
              <w:bottom w:val="single" w:color="auto" w:sz="4" w:space="0"/>
              <w:right w:val="single" w:color="auto" w:sz="4" w:space="0"/>
            </w:tcBorders>
            <w:noWrap w:val="0"/>
            <w:vAlign w:val="top"/>
          </w:tcPr>
          <w:p w14:paraId="2997334B">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图纸</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2DDE18B">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D5F9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43AC5C92">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489D545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3BD0D83D">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工程详细说明</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BD5C1A7">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52BB2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43A9F6D4">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20857B4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4CC9B9BF">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设备方案</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909B4D5">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62F8A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5549063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70C6B4B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68B43544">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2186686">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CBD9A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64205AE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3</w:t>
            </w:r>
            <w:r>
              <w:rPr>
                <w:rFonts w:ascii="Calibri" w:hAnsi="Calibri" w:eastAsia="宋体" w:cs="Times New Roman"/>
                <w:color w:val="auto"/>
                <w:szCs w:val="21"/>
                <w:highlight w:val="none"/>
              </w:rPr>
              <w:t>）</w:t>
            </w:r>
          </w:p>
        </w:tc>
        <w:tc>
          <w:tcPr>
            <w:tcW w:w="1124" w:type="dxa"/>
            <w:vMerge w:val="restart"/>
            <w:tcBorders>
              <w:top w:val="single" w:color="auto" w:sz="4" w:space="0"/>
              <w:bottom w:val="single" w:color="auto" w:sz="4" w:space="0"/>
              <w:right w:val="single" w:color="auto" w:sz="4" w:space="0"/>
            </w:tcBorders>
            <w:noWrap w:val="0"/>
            <w:vAlign w:val="top"/>
          </w:tcPr>
          <w:p w14:paraId="52B465F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2F6D53C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18F4051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0269346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资信业绩评分标准</w:t>
            </w:r>
          </w:p>
        </w:tc>
        <w:tc>
          <w:tcPr>
            <w:tcW w:w="2476" w:type="dxa"/>
            <w:tcBorders>
              <w:top w:val="single" w:color="auto" w:sz="4" w:space="0"/>
              <w:left w:val="single" w:color="auto" w:sz="4" w:space="0"/>
              <w:bottom w:val="single" w:color="auto" w:sz="4" w:space="0"/>
              <w:right w:val="single" w:color="auto" w:sz="4" w:space="0"/>
            </w:tcBorders>
            <w:noWrap w:val="0"/>
            <w:vAlign w:val="top"/>
          </w:tcPr>
          <w:p w14:paraId="39F5FB5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D514E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4E96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00" w:type="dxa"/>
            <w:vMerge w:val="continue"/>
            <w:tcBorders>
              <w:top w:val="single" w:color="auto" w:sz="4" w:space="0"/>
              <w:bottom w:val="single" w:color="auto" w:sz="4" w:space="0"/>
              <w:right w:val="single" w:color="auto" w:sz="4" w:space="0"/>
            </w:tcBorders>
            <w:noWrap w:val="0"/>
            <w:vAlign w:val="center"/>
          </w:tcPr>
          <w:p w14:paraId="38E02F0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2AB76A8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79F23AB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类似项目业绩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95C083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277210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58E642B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30421D9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78805A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7A6F76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1BB83C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900" w:type="dxa"/>
            <w:vMerge w:val="continue"/>
            <w:tcBorders>
              <w:top w:val="single" w:color="auto" w:sz="4" w:space="0"/>
              <w:bottom w:val="single" w:color="auto" w:sz="4" w:space="0"/>
              <w:right w:val="single" w:color="auto" w:sz="4" w:space="0"/>
            </w:tcBorders>
            <w:noWrap w:val="0"/>
            <w:vAlign w:val="top"/>
          </w:tcPr>
          <w:p w14:paraId="749FE4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250EDD9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32D6F5C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设计负责人业绩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6EC8AE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980CB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900" w:type="dxa"/>
            <w:vMerge w:val="continue"/>
            <w:tcBorders>
              <w:top w:val="single" w:color="auto" w:sz="4" w:space="0"/>
              <w:bottom w:val="single" w:color="auto" w:sz="4" w:space="0"/>
              <w:right w:val="single" w:color="auto" w:sz="4" w:space="0"/>
            </w:tcBorders>
            <w:noWrap w:val="0"/>
            <w:vAlign w:val="top"/>
          </w:tcPr>
          <w:p w14:paraId="5F68649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5DEBE3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5945EC7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FDF5BA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1D0B7B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900" w:type="dxa"/>
            <w:vMerge w:val="continue"/>
            <w:tcBorders>
              <w:top w:val="single" w:color="auto" w:sz="4" w:space="0"/>
              <w:bottom w:val="single" w:color="auto" w:sz="4" w:space="0"/>
              <w:right w:val="single" w:color="auto" w:sz="4" w:space="0"/>
            </w:tcBorders>
            <w:noWrap w:val="0"/>
            <w:vAlign w:val="top"/>
          </w:tcPr>
          <w:p w14:paraId="4C869F0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545BCD1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7BF8838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其他主要人员业绩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0CEF6D7">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hint="eastAsia" w:ascii="Calibri" w:hAnsi="Calibri" w:eastAsia="宋体" w:cs="Times New Roman"/>
                <w:color w:val="auto"/>
                <w:szCs w:val="21"/>
                <w:highlight w:val="none"/>
              </w:rPr>
              <w:t>……</w:t>
            </w:r>
          </w:p>
        </w:tc>
      </w:tr>
      <w:tr w14:paraId="170C0B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00" w:type="dxa"/>
            <w:vMerge w:val="continue"/>
            <w:tcBorders>
              <w:top w:val="single" w:color="auto" w:sz="4" w:space="0"/>
              <w:bottom w:val="single" w:color="auto" w:sz="4" w:space="0"/>
              <w:right w:val="single" w:color="auto" w:sz="4" w:space="0"/>
            </w:tcBorders>
            <w:noWrap w:val="0"/>
            <w:vAlign w:val="center"/>
          </w:tcPr>
          <w:p w14:paraId="57BAC7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15DFEF8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DA2F4A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32698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AAC9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00" w:type="dxa"/>
            <w:vMerge w:val="restart"/>
            <w:tcBorders>
              <w:top w:val="single" w:color="auto" w:sz="4" w:space="0"/>
              <w:bottom w:val="single" w:color="auto" w:sz="4" w:space="0"/>
              <w:right w:val="single" w:color="auto" w:sz="4" w:space="0"/>
            </w:tcBorders>
            <w:noWrap w:val="0"/>
            <w:vAlign w:val="top"/>
          </w:tcPr>
          <w:p w14:paraId="20C5CF56">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p w14:paraId="736CA4CE">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4</w:t>
            </w:r>
            <w:r>
              <w:rPr>
                <w:rFonts w:ascii="Calibri" w:hAnsi="Calibri" w:eastAsia="宋体" w:cs="Times New Roman"/>
                <w:color w:val="auto"/>
                <w:szCs w:val="21"/>
                <w:highlight w:val="none"/>
              </w:rPr>
              <w:t>）</w:t>
            </w:r>
          </w:p>
          <w:p w14:paraId="4AFB5B7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restart"/>
            <w:tcBorders>
              <w:top w:val="single" w:color="auto" w:sz="4" w:space="0"/>
              <w:bottom w:val="single" w:color="auto" w:sz="4" w:space="0"/>
              <w:right w:val="single" w:color="auto" w:sz="4" w:space="0"/>
            </w:tcBorders>
            <w:noWrap w:val="0"/>
            <w:vAlign w:val="center"/>
          </w:tcPr>
          <w:p w14:paraId="38F803B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其他因素评分标准</w:t>
            </w:r>
          </w:p>
          <w:p w14:paraId="6B3E685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D2E9E45">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CC4D761">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670084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900" w:type="dxa"/>
            <w:vMerge w:val="continue"/>
            <w:tcBorders>
              <w:top w:val="single" w:color="auto" w:sz="4" w:space="0"/>
              <w:bottom w:val="single" w:color="auto" w:sz="4" w:space="0"/>
              <w:right w:val="single" w:color="auto" w:sz="4" w:space="0"/>
            </w:tcBorders>
            <w:noWrap w:val="0"/>
            <w:vAlign w:val="center"/>
          </w:tcPr>
          <w:p w14:paraId="0C84D36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4ACAD1A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676DB56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1234E622">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6A380D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900" w:type="dxa"/>
            <w:vMerge w:val="continue"/>
            <w:tcBorders>
              <w:top w:val="single" w:color="auto" w:sz="4" w:space="0"/>
              <w:bottom w:val="single" w:color="auto" w:sz="4" w:space="0"/>
              <w:right w:val="single" w:color="auto" w:sz="4" w:space="0"/>
            </w:tcBorders>
            <w:noWrap w:val="0"/>
            <w:vAlign w:val="center"/>
          </w:tcPr>
          <w:p w14:paraId="6645EEC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6D839D8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904ABFA">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15CC78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09336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900" w:type="dxa"/>
            <w:vMerge w:val="continue"/>
            <w:tcBorders>
              <w:top w:val="single" w:color="auto" w:sz="4" w:space="0"/>
              <w:bottom w:val="single" w:color="auto" w:sz="4" w:space="0"/>
              <w:right w:val="single" w:color="auto" w:sz="4" w:space="0"/>
            </w:tcBorders>
            <w:noWrap w:val="0"/>
            <w:vAlign w:val="center"/>
          </w:tcPr>
          <w:p w14:paraId="430723C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0F45DB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0CEEABFE">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889A7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CF22D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7D732F9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5</w:t>
            </w:r>
            <w:r>
              <w:rPr>
                <w:rFonts w:ascii="Calibri" w:hAnsi="Calibri" w:eastAsia="宋体" w:cs="Times New Roman"/>
                <w:color w:val="auto"/>
                <w:szCs w:val="21"/>
                <w:highlight w:val="none"/>
              </w:rPr>
              <w:t>）</w:t>
            </w:r>
          </w:p>
        </w:tc>
        <w:tc>
          <w:tcPr>
            <w:tcW w:w="1124" w:type="dxa"/>
            <w:vMerge w:val="restart"/>
            <w:tcBorders>
              <w:top w:val="single" w:color="auto" w:sz="4" w:space="0"/>
              <w:left w:val="single" w:color="auto" w:sz="4" w:space="0"/>
              <w:bottom w:val="single" w:color="auto" w:sz="4" w:space="0"/>
              <w:right w:val="single" w:color="auto" w:sz="4" w:space="0"/>
            </w:tcBorders>
            <w:noWrap w:val="0"/>
            <w:vAlign w:val="center"/>
          </w:tcPr>
          <w:p w14:paraId="127ADD5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投标报价评分标准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964CF22">
            <w:pPr>
              <w:keepNext w:val="0"/>
              <w:keepLines w:val="0"/>
              <w:suppressLineNumbers w:val="0"/>
              <w:spacing w:before="0" w:beforeAutospacing="0" w:after="0" w:afterAutospacing="0" w:line="420" w:lineRule="atLeas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偏差率</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4BA1F31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697D3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6"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top"/>
          </w:tcPr>
          <w:p w14:paraId="3784D2A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left w:val="single" w:color="auto" w:sz="4" w:space="0"/>
              <w:bottom w:val="single" w:color="auto" w:sz="4" w:space="0"/>
              <w:right w:val="single" w:color="auto" w:sz="4" w:space="0"/>
            </w:tcBorders>
            <w:noWrap w:val="0"/>
            <w:vAlign w:val="top"/>
          </w:tcPr>
          <w:p w14:paraId="56E535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A34037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305BE9F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bl>
    <w:p w14:paraId="68AC5364">
      <w:pPr>
        <w:spacing w:line="400" w:lineRule="exact"/>
        <w:rPr>
          <w:rFonts w:hint="eastAsia"/>
          <w:color w:val="auto"/>
          <w:highlight w:val="none"/>
        </w:rPr>
      </w:pPr>
    </w:p>
    <w:p w14:paraId="685F9C1F">
      <w:pPr>
        <w:spacing w:line="400" w:lineRule="exact"/>
        <w:rPr>
          <w:rFonts w:hint="eastAsia"/>
          <w:color w:val="auto"/>
          <w:highlight w:val="none"/>
        </w:rPr>
      </w:pPr>
    </w:p>
    <w:p w14:paraId="0FE90F3E">
      <w:pPr>
        <w:spacing w:line="400" w:lineRule="exact"/>
        <w:rPr>
          <w:rFonts w:hint="eastAsia"/>
          <w:color w:val="auto"/>
          <w:highlight w:val="none"/>
        </w:rPr>
      </w:pPr>
    </w:p>
    <w:p w14:paraId="226E53C0">
      <w:pPr>
        <w:spacing w:line="400" w:lineRule="exact"/>
        <w:rPr>
          <w:rFonts w:hint="eastAsia"/>
          <w:color w:val="auto"/>
          <w:highlight w:val="none"/>
        </w:rPr>
      </w:pPr>
    </w:p>
    <w:p w14:paraId="541DE7C7">
      <w:pPr>
        <w:spacing w:line="400" w:lineRule="exact"/>
        <w:rPr>
          <w:rFonts w:hint="eastAsia"/>
          <w:color w:val="auto"/>
          <w:highlight w:val="none"/>
        </w:rPr>
      </w:pPr>
    </w:p>
    <w:p w14:paraId="051EFF9F">
      <w:pPr>
        <w:pStyle w:val="119"/>
        <w:rPr>
          <w:rFonts w:hint="eastAsia"/>
          <w:color w:val="auto"/>
          <w:highlight w:val="none"/>
        </w:rPr>
      </w:pPr>
      <w:bookmarkStart w:id="1193" w:name="_Toc519085347"/>
      <w:bookmarkStart w:id="1194" w:name="_Toc14275"/>
      <w:bookmarkStart w:id="1195" w:name="_Toc293"/>
      <w:bookmarkStart w:id="1196" w:name="_Toc12465"/>
      <w:bookmarkStart w:id="1197" w:name="_Toc22166"/>
      <w:bookmarkStart w:id="1198" w:name="_Toc30204"/>
      <w:bookmarkStart w:id="1199" w:name="_Toc17945_WPSOffice_Level2"/>
      <w:bookmarkStart w:id="1200" w:name="_Toc20565"/>
      <w:bookmarkStart w:id="1201" w:name="_Toc467939844"/>
      <w:r>
        <w:rPr>
          <w:rFonts w:hint="eastAsia"/>
          <w:color w:val="auto"/>
          <w:highlight w:val="none"/>
        </w:rPr>
        <w:t>评标办法正文部分</w:t>
      </w:r>
      <w:bookmarkEnd w:id="1193"/>
      <w:bookmarkEnd w:id="1194"/>
      <w:bookmarkEnd w:id="1195"/>
      <w:bookmarkEnd w:id="1196"/>
      <w:bookmarkEnd w:id="1197"/>
      <w:bookmarkEnd w:id="1198"/>
      <w:bookmarkEnd w:id="1199"/>
      <w:bookmarkEnd w:id="1200"/>
      <w:bookmarkEnd w:id="1201"/>
    </w:p>
    <w:p w14:paraId="1E1090C4">
      <w:pPr>
        <w:pStyle w:val="5"/>
        <w:spacing w:before="159"/>
        <w:rPr>
          <w:color w:val="auto"/>
          <w:sz w:val="24"/>
          <w:szCs w:val="32"/>
          <w:highlight w:val="none"/>
        </w:rPr>
      </w:pPr>
      <w:bookmarkStart w:id="1202" w:name="_Toc23682"/>
      <w:bookmarkStart w:id="1203" w:name="_Toc519085348"/>
      <w:bookmarkStart w:id="1204" w:name="_Toc152042377"/>
      <w:bookmarkStart w:id="1205" w:name="_Toc11313"/>
      <w:bookmarkStart w:id="1206" w:name="_Toc8657"/>
      <w:bookmarkStart w:id="1207" w:name="_Toc30937_WPSOffice_Level2"/>
      <w:bookmarkStart w:id="1208" w:name="_Toc247514024"/>
      <w:bookmarkStart w:id="1209" w:name="_Toc247527625"/>
      <w:bookmarkStart w:id="1210" w:name="_Toc152045600"/>
      <w:bookmarkStart w:id="1211" w:name="_Toc22906"/>
      <w:bookmarkStart w:id="1212" w:name="_Toc144974567"/>
      <w:bookmarkStart w:id="1213" w:name="_Toc3269"/>
      <w:r>
        <w:rPr>
          <w:rFonts w:hint="eastAsia" w:ascii="Times New Roman" w:hAnsi="Times New Roman"/>
          <w:color w:val="auto"/>
          <w:sz w:val="24"/>
          <w:szCs w:val="32"/>
          <w:highlight w:val="none"/>
        </w:rPr>
        <w:t>1</w:t>
      </w:r>
      <w:r>
        <w:rPr>
          <w:rFonts w:hint="eastAsia"/>
          <w:color w:val="auto"/>
          <w:sz w:val="24"/>
          <w:szCs w:val="32"/>
          <w:highlight w:val="none"/>
        </w:rPr>
        <w:t>. 评标方法</w:t>
      </w:r>
      <w:bookmarkEnd w:id="1202"/>
      <w:bookmarkEnd w:id="1203"/>
      <w:bookmarkEnd w:id="1204"/>
      <w:bookmarkEnd w:id="1205"/>
      <w:bookmarkEnd w:id="1206"/>
      <w:bookmarkEnd w:id="1207"/>
      <w:bookmarkEnd w:id="1208"/>
      <w:bookmarkEnd w:id="1209"/>
      <w:bookmarkEnd w:id="1210"/>
      <w:bookmarkEnd w:id="1211"/>
      <w:bookmarkEnd w:id="1212"/>
      <w:bookmarkEnd w:id="1213"/>
    </w:p>
    <w:p w14:paraId="730FC193">
      <w:pPr>
        <w:spacing w:line="400" w:lineRule="exact"/>
        <w:ind w:firstLine="420" w:firstLineChars="200"/>
        <w:rPr>
          <w:rFonts w:hint="eastAsia"/>
          <w:color w:val="auto"/>
          <w:highlight w:val="none"/>
        </w:rPr>
      </w:pPr>
      <w:r>
        <w:rPr>
          <w:rFonts w:hint="eastAsia"/>
          <w:color w:val="auto"/>
          <w:highlight w:val="none"/>
        </w:rPr>
        <w:t>本次评标采用综合评估法。评标委员会对满足招标文件实质性要求的投标文件，按照本章第2.2款规定的评分标准进行打分，并按得分由高到低顺序推荐中标候选人，但投标报价低于其成本的除外。综合评分相等时，以投标报价低的优先；投标报价也相等的，由招标人或者经招标人授权评标委员会自行确定。</w:t>
      </w:r>
    </w:p>
    <w:p w14:paraId="722C502B">
      <w:pPr>
        <w:spacing w:line="400" w:lineRule="exact"/>
        <w:ind w:firstLine="420" w:firstLineChars="200"/>
        <w:rPr>
          <w:rFonts w:hint="eastAsia"/>
          <w:color w:val="auto"/>
          <w:highlight w:val="none"/>
        </w:rPr>
      </w:pPr>
      <w:r>
        <w:rPr>
          <w:rFonts w:hint="eastAsia"/>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highlight w:val="none"/>
        </w:rPr>
        <w:t>实行“暗标”评审</w:t>
      </w:r>
      <w:r>
        <w:rPr>
          <w:rFonts w:hint="eastAsia" w:ascii="宋体" w:hAnsi="宋体"/>
          <w:szCs w:val="21"/>
          <w:highlight w:val="none"/>
        </w:rPr>
        <w:t>，在评标工作开始前 “市</w:t>
      </w:r>
      <w:r>
        <w:rPr>
          <w:rFonts w:hint="eastAsia"/>
          <w:highlight w:val="none"/>
        </w:rPr>
        <w:t>电子交易平台”将对投标文件进行智能检测</w:t>
      </w:r>
      <w:r>
        <w:rPr>
          <w:rFonts w:hint="eastAsia"/>
          <w:highlight w:val="none"/>
          <w:lang w:eastAsia="zh-CN"/>
        </w:rPr>
        <w:t>（</w:t>
      </w:r>
      <w:r>
        <w:rPr>
          <w:rFonts w:hint="eastAsia"/>
          <w:highlight w:val="none"/>
        </w:rPr>
        <w:t>包括：检测标书上传/下载的IP地址、物理网卡、硬盘序列号等</w:t>
      </w:r>
      <w:r>
        <w:rPr>
          <w:rFonts w:hint="eastAsia"/>
          <w:highlight w:val="none"/>
          <w:lang w:eastAsia="zh-CN"/>
        </w:rPr>
        <w:t>）</w:t>
      </w:r>
      <w:r>
        <w:rPr>
          <w:rFonts w:hint="eastAsia"/>
          <w:highlight w:val="none"/>
        </w:rPr>
        <w:t>并以</w:t>
      </w:r>
      <w:r>
        <w:rPr>
          <w:rFonts w:hint="eastAsia" w:ascii="宋体" w:hAnsi="宋体"/>
          <w:szCs w:val="21"/>
          <w:highlight w:val="none"/>
        </w:rPr>
        <w:t>随机方式</w:t>
      </w:r>
      <w:r>
        <w:rPr>
          <w:rFonts w:hint="eastAsia"/>
          <w:highlight w:val="none"/>
        </w:rPr>
        <w:t>生成暗标编号。检测工作完成后，评标委员会将按照技术评审、初步评审、详细评审（承包人建议书</w:t>
      </w:r>
      <w:r>
        <w:rPr>
          <w:rFonts w:hint="eastAsia"/>
          <w:highlight w:val="none"/>
          <w:lang w:eastAsia="zh-CN"/>
        </w:rPr>
        <w:t>、</w:t>
      </w:r>
      <w:r>
        <w:rPr>
          <w:rFonts w:hint="eastAsia"/>
          <w:highlight w:val="none"/>
        </w:rPr>
        <w:t>资信业绩</w:t>
      </w:r>
      <w:r>
        <w:rPr>
          <w:rFonts w:hint="eastAsia"/>
          <w:highlight w:val="none"/>
          <w:lang w:eastAsia="zh-CN"/>
        </w:rPr>
        <w:t>、</w:t>
      </w:r>
      <w:r>
        <w:rPr>
          <w:rFonts w:hint="eastAsia"/>
          <w:highlight w:val="none"/>
        </w:rPr>
        <w:t>其他</w:t>
      </w:r>
      <w:r>
        <w:rPr>
          <w:rFonts w:hint="eastAsia"/>
          <w:highlight w:val="none"/>
          <w:lang w:val="en-US" w:eastAsia="zh-CN"/>
        </w:rPr>
        <w:t>评分</w:t>
      </w:r>
      <w:r>
        <w:rPr>
          <w:rFonts w:hint="eastAsia"/>
          <w:highlight w:val="none"/>
        </w:rPr>
        <w:t>因素</w:t>
      </w:r>
      <w:r>
        <w:rPr>
          <w:rFonts w:hint="eastAsia"/>
          <w:highlight w:val="none"/>
          <w:lang w:eastAsia="zh-CN"/>
        </w:rPr>
        <w:t>、</w:t>
      </w:r>
      <w:r>
        <w:rPr>
          <w:rFonts w:hint="eastAsia"/>
          <w:highlight w:val="none"/>
        </w:rPr>
        <w:t>投标报价）的顺序进行评审。</w:t>
      </w:r>
    </w:p>
    <w:p w14:paraId="5C7E640A">
      <w:pPr>
        <w:pStyle w:val="5"/>
        <w:spacing w:before="159"/>
        <w:rPr>
          <w:color w:val="auto"/>
          <w:sz w:val="24"/>
          <w:szCs w:val="32"/>
          <w:highlight w:val="none"/>
        </w:rPr>
      </w:pPr>
      <w:bookmarkStart w:id="1214" w:name="_Toc18322"/>
      <w:bookmarkStart w:id="1215" w:name="_Toc23289_WPSOffice_Level2"/>
      <w:bookmarkStart w:id="1216" w:name="_Toc519085349"/>
      <w:bookmarkStart w:id="1217" w:name="_Toc20582"/>
      <w:bookmarkStart w:id="1218" w:name="_Toc11023"/>
      <w:bookmarkStart w:id="1219" w:name="_Toc152042378"/>
      <w:bookmarkStart w:id="1220" w:name="_Toc144974568"/>
      <w:bookmarkStart w:id="1221" w:name="_Toc152045601"/>
      <w:bookmarkStart w:id="1222" w:name="_Toc247527626"/>
      <w:bookmarkStart w:id="1223" w:name="_Toc22611"/>
      <w:bookmarkStart w:id="1224" w:name="_Toc247514025"/>
      <w:bookmarkStart w:id="1225" w:name="_Toc18890"/>
      <w:r>
        <w:rPr>
          <w:rFonts w:hint="eastAsia" w:ascii="Times New Roman" w:hAnsi="Times New Roman"/>
          <w:color w:val="auto"/>
          <w:sz w:val="24"/>
          <w:szCs w:val="32"/>
          <w:highlight w:val="none"/>
        </w:rPr>
        <w:t>2</w:t>
      </w:r>
      <w:r>
        <w:rPr>
          <w:rFonts w:hint="eastAsia"/>
          <w:color w:val="auto"/>
          <w:sz w:val="24"/>
          <w:szCs w:val="32"/>
          <w:highlight w:val="none"/>
        </w:rPr>
        <w:t>. 评审标准</w:t>
      </w:r>
      <w:bookmarkEnd w:id="1214"/>
      <w:bookmarkEnd w:id="1215"/>
      <w:bookmarkEnd w:id="1216"/>
      <w:bookmarkEnd w:id="1217"/>
      <w:bookmarkEnd w:id="1218"/>
      <w:bookmarkEnd w:id="1219"/>
      <w:bookmarkEnd w:id="1220"/>
      <w:bookmarkEnd w:id="1221"/>
      <w:bookmarkEnd w:id="1222"/>
      <w:bookmarkEnd w:id="1223"/>
      <w:bookmarkEnd w:id="1224"/>
      <w:bookmarkEnd w:id="1225"/>
    </w:p>
    <w:p w14:paraId="10FD3D61">
      <w:pPr>
        <w:pStyle w:val="107"/>
        <w:outlineLvl w:val="3"/>
        <w:rPr>
          <w:color w:val="auto"/>
          <w:highlight w:val="none"/>
        </w:rPr>
      </w:pPr>
      <w:bookmarkStart w:id="1226" w:name="_Toc17972"/>
      <w:bookmarkStart w:id="1227" w:name="_Toc247514026"/>
      <w:bookmarkStart w:id="1228" w:name="_Toc351"/>
      <w:bookmarkStart w:id="1229" w:name="_Toc266"/>
      <w:bookmarkStart w:id="1230" w:name="_Toc144974569"/>
      <w:bookmarkStart w:id="1231" w:name="_Toc32634"/>
      <w:bookmarkStart w:id="1232" w:name="_Toc152042379"/>
      <w:bookmarkStart w:id="1233" w:name="_Toc26308"/>
      <w:bookmarkStart w:id="1234" w:name="_Toc519085350"/>
      <w:bookmarkStart w:id="1235" w:name="_Toc247527627"/>
      <w:bookmarkStart w:id="1236" w:name="_Toc152045602"/>
      <w:r>
        <w:rPr>
          <w:rFonts w:hint="eastAsia"/>
          <w:color w:val="auto"/>
          <w:highlight w:val="none"/>
        </w:rPr>
        <w:t>2.1 初步评审标准</w:t>
      </w:r>
      <w:bookmarkEnd w:id="1226"/>
      <w:bookmarkEnd w:id="1227"/>
      <w:bookmarkEnd w:id="1228"/>
      <w:bookmarkEnd w:id="1229"/>
      <w:bookmarkEnd w:id="1230"/>
      <w:bookmarkEnd w:id="1231"/>
      <w:bookmarkEnd w:id="1232"/>
      <w:bookmarkEnd w:id="1233"/>
      <w:bookmarkEnd w:id="1234"/>
      <w:bookmarkEnd w:id="1235"/>
      <w:bookmarkEnd w:id="1236"/>
    </w:p>
    <w:p w14:paraId="7EE7C6EA">
      <w:pPr>
        <w:spacing w:line="400" w:lineRule="exact"/>
        <w:ind w:firstLine="420" w:firstLineChars="200"/>
        <w:rPr>
          <w:color w:val="auto"/>
          <w:highlight w:val="none"/>
        </w:rPr>
      </w:pPr>
      <w:r>
        <w:rPr>
          <w:rFonts w:hint="eastAsia"/>
          <w:color w:val="auto"/>
          <w:highlight w:val="none"/>
        </w:rPr>
        <w:t>2.1.1 形式评审标准：见评标办法前附表。</w:t>
      </w:r>
    </w:p>
    <w:p w14:paraId="0B6F73BE">
      <w:pPr>
        <w:spacing w:line="400" w:lineRule="exact"/>
        <w:ind w:firstLine="420" w:firstLineChars="200"/>
        <w:rPr>
          <w:color w:val="auto"/>
          <w:highlight w:val="none"/>
        </w:rPr>
      </w:pPr>
      <w:r>
        <w:rPr>
          <w:rFonts w:hint="eastAsia"/>
          <w:color w:val="auto"/>
          <w:highlight w:val="none"/>
        </w:rPr>
        <w:t>2.1.2 资格评审标准：见评标办法前附表。</w:t>
      </w:r>
    </w:p>
    <w:p w14:paraId="5E2DB1C7">
      <w:pPr>
        <w:spacing w:line="400" w:lineRule="exact"/>
        <w:ind w:firstLine="420" w:firstLineChars="200"/>
        <w:rPr>
          <w:color w:val="auto"/>
          <w:highlight w:val="none"/>
        </w:rPr>
      </w:pPr>
      <w:r>
        <w:rPr>
          <w:rFonts w:hint="eastAsia"/>
          <w:color w:val="auto"/>
          <w:highlight w:val="none"/>
        </w:rPr>
        <w:t>2.1.3 响应性评审标准：见评标办法前附表。</w:t>
      </w:r>
    </w:p>
    <w:p w14:paraId="7024BE21">
      <w:pPr>
        <w:pStyle w:val="107"/>
        <w:outlineLvl w:val="3"/>
        <w:rPr>
          <w:color w:val="auto"/>
          <w:highlight w:val="none"/>
        </w:rPr>
      </w:pPr>
      <w:bookmarkStart w:id="1237" w:name="_Toc144974570"/>
      <w:bookmarkStart w:id="1238" w:name="_Toc152045603"/>
      <w:bookmarkStart w:id="1239" w:name="_Toc7866"/>
      <w:bookmarkStart w:id="1240" w:name="_Toc12880"/>
      <w:bookmarkStart w:id="1241" w:name="_Toc247527628"/>
      <w:bookmarkStart w:id="1242" w:name="_Toc30770"/>
      <w:bookmarkStart w:id="1243" w:name="_Toc247514027"/>
      <w:bookmarkStart w:id="1244" w:name="_Toc519085351"/>
      <w:bookmarkStart w:id="1245" w:name="_Toc152042380"/>
      <w:bookmarkStart w:id="1246" w:name="_Toc15473"/>
      <w:bookmarkStart w:id="1247" w:name="_Toc32000"/>
      <w:r>
        <w:rPr>
          <w:rFonts w:hint="eastAsia"/>
          <w:color w:val="auto"/>
          <w:highlight w:val="none"/>
        </w:rPr>
        <w:t>2.2 分值构成与评分标准</w:t>
      </w:r>
      <w:bookmarkEnd w:id="1237"/>
      <w:bookmarkEnd w:id="1238"/>
      <w:bookmarkEnd w:id="1239"/>
      <w:bookmarkEnd w:id="1240"/>
      <w:bookmarkEnd w:id="1241"/>
      <w:bookmarkEnd w:id="1242"/>
      <w:bookmarkEnd w:id="1243"/>
      <w:bookmarkEnd w:id="1244"/>
      <w:bookmarkEnd w:id="1245"/>
      <w:bookmarkEnd w:id="1246"/>
      <w:bookmarkEnd w:id="1247"/>
    </w:p>
    <w:p w14:paraId="0C5DFF0C">
      <w:pPr>
        <w:ind w:firstLine="420" w:firstLineChars="200"/>
        <w:rPr>
          <w:color w:val="auto"/>
          <w:highlight w:val="none"/>
        </w:rPr>
      </w:pPr>
      <w:bookmarkStart w:id="1248" w:name="_Toc3980476"/>
      <w:bookmarkStart w:id="1249" w:name="_Toc3980924"/>
      <w:r>
        <w:rPr>
          <w:rFonts w:hint="eastAsia"/>
          <w:color w:val="auto"/>
          <w:highlight w:val="none"/>
        </w:rPr>
        <w:t>2.2.1 分值构成</w:t>
      </w:r>
      <w:bookmarkEnd w:id="1248"/>
      <w:bookmarkEnd w:id="1249"/>
    </w:p>
    <w:p w14:paraId="0B33FCAA">
      <w:pPr>
        <w:spacing w:line="400" w:lineRule="exact"/>
        <w:ind w:firstLine="420" w:firstLineChars="200"/>
        <w:rPr>
          <w:rFonts w:hint="eastAsia"/>
          <w:color w:val="auto"/>
          <w:highlight w:val="none"/>
        </w:rPr>
      </w:pPr>
      <w:r>
        <w:rPr>
          <w:rFonts w:hint="eastAsia"/>
          <w:color w:val="auto"/>
          <w:highlight w:val="none"/>
        </w:rPr>
        <w:t>（1）承包人实施方案：见评标办法前附表；</w:t>
      </w:r>
    </w:p>
    <w:p w14:paraId="3EDDBC5B">
      <w:pPr>
        <w:spacing w:line="400" w:lineRule="exact"/>
        <w:ind w:firstLine="420" w:firstLineChars="200"/>
        <w:rPr>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rPr>
        <w:t>承包人建议书：见评标办法前附表；</w:t>
      </w:r>
    </w:p>
    <w:p w14:paraId="570503BD">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）资信业绩部分：见评标办法前附表；</w:t>
      </w:r>
    </w:p>
    <w:p w14:paraId="5B0216EC">
      <w:pPr>
        <w:spacing w:line="400" w:lineRule="exact"/>
        <w:ind w:firstLine="420" w:firstLineChars="200"/>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4</w:t>
      </w:r>
      <w:r>
        <w:rPr>
          <w:rFonts w:hint="eastAsia"/>
          <w:color w:val="auto"/>
          <w:highlight w:val="none"/>
        </w:rPr>
        <w:t>）</w:t>
      </w:r>
      <w:r>
        <w:rPr>
          <w:color w:val="auto"/>
          <w:highlight w:val="none"/>
        </w:rPr>
        <w:t>其他评分因素：</w:t>
      </w:r>
      <w:r>
        <w:rPr>
          <w:rFonts w:hint="eastAsia"/>
          <w:color w:val="auto"/>
          <w:highlight w:val="none"/>
        </w:rPr>
        <w:t>见评标办法前附表</w:t>
      </w:r>
      <w:r>
        <w:rPr>
          <w:rFonts w:hint="eastAsia"/>
          <w:color w:val="auto"/>
          <w:highlight w:val="none"/>
          <w:lang w:eastAsia="zh-CN"/>
        </w:rPr>
        <w:t>；</w:t>
      </w:r>
    </w:p>
    <w:p w14:paraId="65D82EBD">
      <w:pPr>
        <w:spacing w:line="400" w:lineRule="exact"/>
        <w:ind w:firstLine="420" w:firstLineChars="200"/>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5</w:t>
      </w:r>
      <w:r>
        <w:rPr>
          <w:rFonts w:hint="eastAsia"/>
          <w:color w:val="auto"/>
          <w:highlight w:val="none"/>
        </w:rPr>
        <w:t>）投标报价：见评标办法前附表</w:t>
      </w:r>
      <w:r>
        <w:rPr>
          <w:rFonts w:hint="eastAsia"/>
          <w:color w:val="auto"/>
          <w:highlight w:val="none"/>
          <w:lang w:eastAsia="zh-CN"/>
        </w:rPr>
        <w:t>。</w:t>
      </w:r>
    </w:p>
    <w:p w14:paraId="03505010">
      <w:pPr>
        <w:ind w:firstLine="420" w:firstLineChars="200"/>
        <w:rPr>
          <w:color w:val="auto"/>
          <w:highlight w:val="none"/>
        </w:rPr>
      </w:pPr>
      <w:bookmarkStart w:id="1250" w:name="_Toc3980477"/>
      <w:bookmarkStart w:id="1251" w:name="_Toc3980925"/>
      <w:r>
        <w:rPr>
          <w:rFonts w:hint="eastAsia"/>
          <w:color w:val="auto"/>
          <w:highlight w:val="none"/>
        </w:rPr>
        <w:t>2.2.2 评标基准价计算</w:t>
      </w:r>
      <w:bookmarkEnd w:id="1250"/>
      <w:bookmarkEnd w:id="1251"/>
    </w:p>
    <w:p w14:paraId="7567ECC0">
      <w:pPr>
        <w:spacing w:line="400" w:lineRule="exact"/>
        <w:ind w:firstLine="420" w:firstLineChars="200"/>
        <w:rPr>
          <w:color w:val="auto"/>
          <w:highlight w:val="none"/>
        </w:rPr>
      </w:pPr>
      <w:r>
        <w:rPr>
          <w:rFonts w:hint="eastAsia"/>
          <w:color w:val="auto"/>
          <w:highlight w:val="none"/>
        </w:rPr>
        <w:t>评标基准价计算方法：见评标办法前附表。</w:t>
      </w:r>
    </w:p>
    <w:p w14:paraId="294AA7B6">
      <w:pPr>
        <w:spacing w:line="400" w:lineRule="exact"/>
        <w:ind w:firstLine="420" w:firstLineChars="200"/>
        <w:rPr>
          <w:color w:val="auto"/>
          <w:highlight w:val="none"/>
        </w:rPr>
      </w:pPr>
      <w:r>
        <w:rPr>
          <w:rFonts w:hint="eastAsia"/>
          <w:color w:val="auto"/>
          <w:highlight w:val="none"/>
        </w:rPr>
        <w:t>2.2.3 投标报价的偏差率计算</w:t>
      </w:r>
    </w:p>
    <w:p w14:paraId="31C6F2DE">
      <w:pPr>
        <w:spacing w:line="400" w:lineRule="exact"/>
        <w:ind w:firstLine="420" w:firstLineChars="200"/>
        <w:rPr>
          <w:color w:val="auto"/>
          <w:highlight w:val="none"/>
        </w:rPr>
      </w:pPr>
      <w:r>
        <w:rPr>
          <w:rFonts w:hint="eastAsia"/>
          <w:color w:val="auto"/>
          <w:highlight w:val="none"/>
        </w:rPr>
        <w:t>投标报价的偏差率计算公式：见评标办法前附表。</w:t>
      </w:r>
    </w:p>
    <w:p w14:paraId="3670562C">
      <w:pPr>
        <w:spacing w:line="400" w:lineRule="exact"/>
        <w:ind w:firstLine="420" w:firstLineChars="200"/>
        <w:rPr>
          <w:color w:val="auto"/>
          <w:highlight w:val="none"/>
        </w:rPr>
      </w:pPr>
      <w:r>
        <w:rPr>
          <w:rFonts w:hint="eastAsia"/>
          <w:color w:val="auto"/>
          <w:highlight w:val="none"/>
        </w:rPr>
        <w:t>2.2.4 评分标准</w:t>
      </w:r>
    </w:p>
    <w:p w14:paraId="05638824">
      <w:pPr>
        <w:spacing w:line="400" w:lineRule="exact"/>
        <w:ind w:firstLine="420" w:firstLineChars="200"/>
        <w:rPr>
          <w:rFonts w:hint="eastAsia"/>
          <w:color w:val="auto"/>
          <w:highlight w:val="none"/>
        </w:rPr>
      </w:pPr>
      <w:r>
        <w:rPr>
          <w:rFonts w:hint="eastAsia"/>
          <w:color w:val="auto"/>
          <w:highlight w:val="none"/>
        </w:rPr>
        <w:t>（1）承包人实施方案评分标准：见评标办法前附表；</w:t>
      </w:r>
    </w:p>
    <w:p w14:paraId="5C1B6451">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）承包人建议书评分标准：见评标办法前附表；</w:t>
      </w:r>
    </w:p>
    <w:p w14:paraId="084C03C2">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）资信业绩评分标准：见评标办法前附表；</w:t>
      </w:r>
    </w:p>
    <w:p w14:paraId="5552EBC6">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）其他因素评分标准：见评标办法前附表。</w:t>
      </w:r>
    </w:p>
    <w:p w14:paraId="4C6D9FA1">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）投标报价评分标准：见评标办法前附表；</w:t>
      </w:r>
    </w:p>
    <w:p w14:paraId="2350372E">
      <w:pPr>
        <w:pStyle w:val="5"/>
        <w:spacing w:before="159"/>
        <w:rPr>
          <w:rFonts w:hint="eastAsia"/>
          <w:color w:val="auto"/>
          <w:sz w:val="24"/>
          <w:szCs w:val="32"/>
          <w:highlight w:val="none"/>
        </w:rPr>
      </w:pPr>
      <w:bookmarkStart w:id="1252" w:name="_Toc519085352"/>
      <w:bookmarkStart w:id="1253" w:name="_Toc2713"/>
      <w:bookmarkStart w:id="1254" w:name="_Toc144974571"/>
      <w:bookmarkStart w:id="1255" w:name="_Toc5477"/>
      <w:bookmarkStart w:id="1256" w:name="_Toc247514028"/>
      <w:bookmarkStart w:id="1257" w:name="_Toc247527629"/>
      <w:bookmarkStart w:id="1258" w:name="_Toc152042381"/>
      <w:bookmarkStart w:id="1259" w:name="_Toc23336"/>
      <w:bookmarkStart w:id="1260" w:name="_Toc20458_WPSOffice_Level2"/>
      <w:bookmarkStart w:id="1261" w:name="_Toc4461"/>
      <w:bookmarkStart w:id="1262" w:name="_Toc30397"/>
      <w:bookmarkStart w:id="1263" w:name="_Toc152045604"/>
      <w:r>
        <w:rPr>
          <w:rFonts w:hint="eastAsia" w:ascii="Times New Roman" w:hAnsi="Times New Roman"/>
          <w:color w:val="auto"/>
          <w:sz w:val="24"/>
          <w:szCs w:val="32"/>
          <w:highlight w:val="none"/>
        </w:rPr>
        <w:t>3</w:t>
      </w:r>
      <w:r>
        <w:rPr>
          <w:rFonts w:hint="eastAsia"/>
          <w:color w:val="auto"/>
          <w:sz w:val="24"/>
          <w:szCs w:val="32"/>
          <w:highlight w:val="none"/>
        </w:rPr>
        <w:t>. 评标程序</w:t>
      </w:r>
      <w:bookmarkEnd w:id="1252"/>
      <w:bookmarkEnd w:id="1253"/>
      <w:bookmarkEnd w:id="1254"/>
      <w:bookmarkEnd w:id="1255"/>
      <w:bookmarkEnd w:id="1256"/>
      <w:bookmarkEnd w:id="1257"/>
      <w:bookmarkEnd w:id="1258"/>
      <w:bookmarkEnd w:id="1259"/>
      <w:bookmarkEnd w:id="1260"/>
      <w:bookmarkEnd w:id="1261"/>
      <w:bookmarkEnd w:id="1262"/>
      <w:bookmarkEnd w:id="1263"/>
    </w:p>
    <w:p w14:paraId="24B45F9F">
      <w:pPr>
        <w:pStyle w:val="107"/>
        <w:outlineLvl w:val="3"/>
        <w:rPr>
          <w:rFonts w:hint="eastAsia"/>
          <w:color w:val="auto"/>
          <w:highlight w:val="none"/>
        </w:rPr>
      </w:pPr>
      <w:bookmarkStart w:id="1264" w:name="_Toc32104"/>
      <w:r>
        <w:rPr>
          <w:rFonts w:hint="eastAsia"/>
          <w:color w:val="auto"/>
          <w:highlight w:val="none"/>
        </w:rPr>
        <w:t>3.1 评标准备</w:t>
      </w:r>
      <w:bookmarkEnd w:id="1264"/>
    </w:p>
    <w:p w14:paraId="30FF525C">
      <w:pPr>
        <w:spacing w:line="400" w:lineRule="exact"/>
        <w:ind w:firstLine="482"/>
        <w:rPr>
          <w:highlight w:val="none"/>
        </w:rPr>
      </w:pPr>
      <w:r>
        <w:rPr>
          <w:highlight w:val="none"/>
        </w:rPr>
        <w:t>3.</w:t>
      </w:r>
      <w:r>
        <w:rPr>
          <w:rFonts w:hint="eastAsia"/>
          <w:highlight w:val="none"/>
        </w:rPr>
        <w:t>1</w:t>
      </w:r>
      <w:r>
        <w:rPr>
          <w:highlight w:val="none"/>
        </w:rPr>
        <w:t>.1</w:t>
      </w:r>
      <w:r>
        <w:rPr>
          <w:rFonts w:hint="eastAsia"/>
          <w:highlight w:val="none"/>
        </w:rPr>
        <w:t xml:space="preserve"> </w:t>
      </w:r>
      <w:r>
        <w:rPr>
          <w:highlight w:val="none"/>
        </w:rPr>
        <w:t>评标委员会成员签到</w:t>
      </w:r>
    </w:p>
    <w:p w14:paraId="18873471">
      <w:pPr>
        <w:spacing w:line="400" w:lineRule="exact"/>
        <w:ind w:firstLine="482"/>
        <w:rPr>
          <w:highlight w:val="none"/>
        </w:rPr>
      </w:pPr>
      <w:r>
        <w:rPr>
          <w:rFonts w:hint="eastAsia"/>
          <w:highlight w:val="none"/>
        </w:rPr>
        <w:t>评标委员会成员到达评标现场时应在签到表上签到以证明其出席。</w:t>
      </w:r>
    </w:p>
    <w:p w14:paraId="0314253F">
      <w:pPr>
        <w:spacing w:line="400" w:lineRule="exact"/>
        <w:ind w:firstLine="482"/>
        <w:rPr>
          <w:highlight w:val="none"/>
        </w:rPr>
      </w:pPr>
      <w:r>
        <w:rPr>
          <w:highlight w:val="none"/>
        </w:rPr>
        <w:t>3.</w:t>
      </w:r>
      <w:r>
        <w:rPr>
          <w:rFonts w:hint="eastAsia"/>
          <w:highlight w:val="none"/>
        </w:rPr>
        <w:t>1</w:t>
      </w:r>
      <w:r>
        <w:rPr>
          <w:highlight w:val="none"/>
        </w:rPr>
        <w:t>.2</w:t>
      </w:r>
      <w:r>
        <w:rPr>
          <w:rFonts w:hint="eastAsia"/>
          <w:highlight w:val="none"/>
        </w:rPr>
        <w:t xml:space="preserve"> </w:t>
      </w:r>
      <w:r>
        <w:rPr>
          <w:highlight w:val="none"/>
        </w:rPr>
        <w:t>评标委员会的分工</w:t>
      </w:r>
    </w:p>
    <w:p w14:paraId="2182C2D1">
      <w:pPr>
        <w:spacing w:line="400" w:lineRule="exact"/>
        <w:ind w:firstLine="482"/>
        <w:rPr>
          <w:highlight w:val="none"/>
        </w:rPr>
      </w:pPr>
      <w:r>
        <w:rPr>
          <w:rFonts w:hint="eastAsia"/>
          <w:highlight w:val="none"/>
        </w:rPr>
        <w:t>由评标委员会首先推选一名评标委员会负责人，评标委员会负责人负责评标活动的组织领导工作，评标委员会负责人在与其他评标委员会成员具有同等表决权。</w:t>
      </w:r>
    </w:p>
    <w:p w14:paraId="37CAC00F">
      <w:pPr>
        <w:spacing w:line="400" w:lineRule="exact"/>
        <w:ind w:firstLine="482"/>
        <w:rPr>
          <w:highlight w:val="none"/>
        </w:rPr>
      </w:pPr>
      <w:r>
        <w:rPr>
          <w:highlight w:val="none"/>
        </w:rPr>
        <w:t>3.</w:t>
      </w:r>
      <w:r>
        <w:rPr>
          <w:rFonts w:hint="eastAsia"/>
          <w:highlight w:val="none"/>
        </w:rPr>
        <w:t>1</w:t>
      </w:r>
      <w:r>
        <w:rPr>
          <w:highlight w:val="none"/>
        </w:rPr>
        <w:t>.3</w:t>
      </w:r>
      <w:r>
        <w:rPr>
          <w:rFonts w:hint="eastAsia"/>
          <w:highlight w:val="none"/>
        </w:rPr>
        <w:t xml:space="preserve"> </w:t>
      </w:r>
      <w:r>
        <w:rPr>
          <w:highlight w:val="none"/>
        </w:rPr>
        <w:t>熟悉文件资料</w:t>
      </w:r>
    </w:p>
    <w:p w14:paraId="3241DBB6">
      <w:pPr>
        <w:spacing w:line="400" w:lineRule="exact"/>
        <w:ind w:firstLine="482"/>
        <w:rPr>
          <w:highlight w:val="none"/>
        </w:rPr>
      </w:pPr>
      <w:r>
        <w:rPr>
          <w:highlight w:val="none"/>
        </w:rPr>
        <w:t>3</w:t>
      </w:r>
      <w:r>
        <w:rPr>
          <w:rFonts w:hint="eastAsia"/>
          <w:highlight w:val="none"/>
        </w:rPr>
        <w:t>.1</w:t>
      </w:r>
      <w:r>
        <w:rPr>
          <w:highlight w:val="none"/>
        </w:rPr>
        <w:t>.3.1</w:t>
      </w:r>
      <w:r>
        <w:rPr>
          <w:rFonts w:hint="eastAsia"/>
          <w:highlight w:val="none"/>
        </w:rPr>
        <w:t xml:space="preserve"> </w:t>
      </w:r>
      <w:r>
        <w:rPr>
          <w:highlight w:val="none"/>
        </w:rPr>
        <w:t>评标委员会负责人应组织评标委员会成员认真研究招标文件，了解和熟悉招标目的、招标范围、主要合同条件、技术标准和要求、</w:t>
      </w:r>
      <w:r>
        <w:rPr>
          <w:rFonts w:hint="eastAsia"/>
          <w:highlight w:val="none"/>
        </w:rPr>
        <w:t>质量目标</w:t>
      </w:r>
      <w:r>
        <w:rPr>
          <w:highlight w:val="none"/>
        </w:rPr>
        <w:t>和</w:t>
      </w:r>
      <w:r>
        <w:rPr>
          <w:rFonts w:hint="eastAsia"/>
          <w:highlight w:val="none"/>
        </w:rPr>
        <w:t>工期</w:t>
      </w:r>
      <w:r>
        <w:rPr>
          <w:highlight w:val="none"/>
        </w:rPr>
        <w:t>要求，掌握评标标准和方法，熟悉评标</w:t>
      </w:r>
      <w:r>
        <w:rPr>
          <w:rFonts w:hint="eastAsia"/>
          <w:highlight w:val="none"/>
        </w:rPr>
        <w:t>流程</w:t>
      </w:r>
      <w:r>
        <w:rPr>
          <w:highlight w:val="none"/>
        </w:rPr>
        <w:t>。未在招标文件中规定的标准和方法不得作为评标的依据。</w:t>
      </w:r>
    </w:p>
    <w:p w14:paraId="522E0036">
      <w:pPr>
        <w:spacing w:line="400" w:lineRule="exact"/>
        <w:ind w:firstLine="482"/>
        <w:rPr>
          <w:highlight w:val="none"/>
        </w:rPr>
      </w:pPr>
      <w:r>
        <w:rPr>
          <w:highlight w:val="none"/>
        </w:rPr>
        <w:t>3.</w:t>
      </w:r>
      <w:r>
        <w:rPr>
          <w:rFonts w:hint="eastAsia"/>
          <w:highlight w:val="none"/>
        </w:rPr>
        <w:t>1</w:t>
      </w:r>
      <w:r>
        <w:rPr>
          <w:highlight w:val="none"/>
        </w:rPr>
        <w:t>.3.2</w:t>
      </w:r>
      <w:r>
        <w:rPr>
          <w:rFonts w:hint="eastAsia"/>
          <w:highlight w:val="none"/>
        </w:rPr>
        <w:t xml:space="preserve"> </w:t>
      </w:r>
      <w:r>
        <w:rPr>
          <w:highlight w:val="none"/>
        </w:rPr>
        <w:t>评标委员会成员在评标前应当了解招标工程概况及招标文件内容。招标人或其委托的招标代理机构应当向评标委员会提供评标所需的重要信息和相关数据资料，主要包括：</w:t>
      </w:r>
    </w:p>
    <w:p w14:paraId="05511742">
      <w:pPr>
        <w:spacing w:line="400" w:lineRule="exact"/>
        <w:ind w:firstLine="482"/>
        <w:rPr>
          <w:highlight w:val="none"/>
        </w:rPr>
      </w:pPr>
      <w:r>
        <w:rPr>
          <w:rFonts w:hint="eastAsia"/>
          <w:highlight w:val="none"/>
        </w:rPr>
        <w:t>（一）招标文件；</w:t>
      </w:r>
    </w:p>
    <w:p w14:paraId="1D2855F5">
      <w:pPr>
        <w:spacing w:line="400" w:lineRule="exact"/>
        <w:ind w:firstLine="482"/>
        <w:rPr>
          <w:highlight w:val="none"/>
        </w:rPr>
      </w:pPr>
      <w:r>
        <w:rPr>
          <w:rFonts w:hint="eastAsia"/>
          <w:highlight w:val="none"/>
        </w:rPr>
        <w:t>（二）答疑纪要；</w:t>
      </w:r>
    </w:p>
    <w:p w14:paraId="51E9801A">
      <w:pPr>
        <w:spacing w:line="400" w:lineRule="exact"/>
        <w:ind w:firstLine="482"/>
        <w:rPr>
          <w:highlight w:val="none"/>
        </w:rPr>
      </w:pPr>
      <w:r>
        <w:rPr>
          <w:rFonts w:hint="eastAsia"/>
          <w:highlight w:val="none"/>
        </w:rPr>
        <w:t>（三）未在开标会上当场拒绝的投标文件；</w:t>
      </w:r>
    </w:p>
    <w:p w14:paraId="62EF0A00">
      <w:pPr>
        <w:spacing w:line="400" w:lineRule="exact"/>
        <w:ind w:firstLine="482"/>
        <w:rPr>
          <w:highlight w:val="none"/>
        </w:rPr>
      </w:pPr>
      <w:r>
        <w:rPr>
          <w:rFonts w:hint="eastAsia"/>
          <w:highlight w:val="none"/>
        </w:rPr>
        <w:t>（四）开标记录；</w:t>
      </w:r>
    </w:p>
    <w:p w14:paraId="3661E191">
      <w:pPr>
        <w:spacing w:line="400" w:lineRule="exact"/>
        <w:ind w:firstLine="482"/>
        <w:rPr>
          <w:highlight w:val="none"/>
        </w:rPr>
      </w:pPr>
      <w:r>
        <w:rPr>
          <w:rFonts w:hint="eastAsia"/>
          <w:highlight w:val="none"/>
        </w:rPr>
        <w:t>（五）招标控制价；</w:t>
      </w:r>
    </w:p>
    <w:p w14:paraId="18EF2038">
      <w:pPr>
        <w:spacing w:line="400" w:lineRule="exact"/>
        <w:ind w:firstLine="482"/>
        <w:rPr>
          <w:highlight w:val="none"/>
        </w:rPr>
      </w:pPr>
      <w:r>
        <w:rPr>
          <w:rFonts w:hint="eastAsia"/>
          <w:highlight w:val="none"/>
        </w:rPr>
        <w:t>（六）其他。</w:t>
      </w:r>
    </w:p>
    <w:p w14:paraId="4DF78AC3">
      <w:pPr>
        <w:pStyle w:val="107"/>
        <w:outlineLvl w:val="3"/>
        <w:rPr>
          <w:rFonts w:hint="eastAsia"/>
          <w:color w:val="auto"/>
          <w:highlight w:val="none"/>
        </w:rPr>
      </w:pPr>
      <w:bookmarkStart w:id="1265" w:name="_Toc16492"/>
      <w:r>
        <w:rPr>
          <w:rFonts w:hint="eastAsia"/>
          <w:color w:val="auto"/>
          <w:highlight w:val="none"/>
        </w:rPr>
        <w:t>3.2暗标评审</w:t>
      </w:r>
      <w:bookmarkEnd w:id="1265"/>
    </w:p>
    <w:p w14:paraId="6A408112">
      <w:pPr>
        <w:spacing w:line="400" w:lineRule="exact"/>
        <w:ind w:firstLine="420" w:firstLineChars="200"/>
        <w:rPr>
          <w:rFonts w:hint="eastAsia"/>
          <w:color w:val="auto"/>
          <w:highlight w:val="none"/>
        </w:rPr>
      </w:pPr>
      <w:r>
        <w:rPr>
          <w:rFonts w:hint="eastAsia"/>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highlight w:val="none"/>
        </w:rPr>
        <w:t>实行“暗标”评审</w:t>
      </w:r>
      <w:r>
        <w:rPr>
          <w:rFonts w:hint="eastAsia" w:ascii="宋体" w:hAnsi="宋体"/>
          <w:szCs w:val="21"/>
          <w:highlight w:val="none"/>
        </w:rPr>
        <w:t>，在评标工作开始前 “市</w:t>
      </w:r>
      <w:r>
        <w:rPr>
          <w:rFonts w:hint="eastAsia"/>
          <w:highlight w:val="none"/>
        </w:rPr>
        <w:t>电子交易平台”将对投标文件进行智能检测</w:t>
      </w:r>
      <w:r>
        <w:rPr>
          <w:rFonts w:hint="eastAsia"/>
          <w:highlight w:val="none"/>
          <w:lang w:eastAsia="zh-CN"/>
        </w:rPr>
        <w:t>（</w:t>
      </w:r>
      <w:r>
        <w:rPr>
          <w:rFonts w:hint="eastAsia"/>
          <w:highlight w:val="none"/>
        </w:rPr>
        <w:t>包括：检测标书上传/下载的IP地址、物理网卡、硬盘序列号等</w:t>
      </w:r>
      <w:r>
        <w:rPr>
          <w:rFonts w:hint="eastAsia"/>
          <w:highlight w:val="none"/>
          <w:lang w:eastAsia="zh-CN"/>
        </w:rPr>
        <w:t>）</w:t>
      </w:r>
      <w:r>
        <w:rPr>
          <w:rFonts w:hint="eastAsia"/>
          <w:highlight w:val="none"/>
        </w:rPr>
        <w:t>并以</w:t>
      </w:r>
      <w:r>
        <w:rPr>
          <w:rFonts w:hint="eastAsia" w:ascii="宋体" w:hAnsi="宋体"/>
          <w:szCs w:val="21"/>
          <w:highlight w:val="none"/>
        </w:rPr>
        <w:t>随机方式</w:t>
      </w:r>
      <w:r>
        <w:rPr>
          <w:rFonts w:hint="eastAsia"/>
          <w:highlight w:val="none"/>
        </w:rPr>
        <w:t>生成暗标编号。检测工作完成后，评标委员会将按照技术评审、初步评审、详细评审（承包人建议书</w:t>
      </w:r>
      <w:r>
        <w:rPr>
          <w:rFonts w:hint="eastAsia"/>
          <w:highlight w:val="none"/>
          <w:lang w:eastAsia="zh-CN"/>
        </w:rPr>
        <w:t>、</w:t>
      </w:r>
      <w:r>
        <w:rPr>
          <w:rFonts w:hint="eastAsia"/>
          <w:highlight w:val="none"/>
        </w:rPr>
        <w:t>资信业绩</w:t>
      </w:r>
      <w:r>
        <w:rPr>
          <w:rFonts w:hint="eastAsia"/>
          <w:highlight w:val="none"/>
          <w:lang w:eastAsia="zh-CN"/>
        </w:rPr>
        <w:t>、</w:t>
      </w:r>
      <w:r>
        <w:rPr>
          <w:rFonts w:hint="eastAsia"/>
          <w:highlight w:val="none"/>
        </w:rPr>
        <w:t>其他</w:t>
      </w:r>
      <w:r>
        <w:rPr>
          <w:rFonts w:hint="eastAsia"/>
          <w:highlight w:val="none"/>
          <w:lang w:val="en-US" w:eastAsia="zh-CN"/>
        </w:rPr>
        <w:t>评分</w:t>
      </w:r>
      <w:r>
        <w:rPr>
          <w:rFonts w:hint="eastAsia"/>
          <w:highlight w:val="none"/>
        </w:rPr>
        <w:t>因素</w:t>
      </w:r>
      <w:r>
        <w:rPr>
          <w:rFonts w:hint="eastAsia"/>
          <w:highlight w:val="none"/>
          <w:lang w:eastAsia="zh-CN"/>
        </w:rPr>
        <w:t>、</w:t>
      </w:r>
      <w:r>
        <w:rPr>
          <w:rFonts w:hint="eastAsia"/>
          <w:highlight w:val="none"/>
        </w:rPr>
        <w:t>投标报价）的顺序进行评审。</w:t>
      </w:r>
    </w:p>
    <w:p w14:paraId="4D3EDE1E">
      <w:pPr>
        <w:spacing w:line="400" w:lineRule="exact"/>
        <w:ind w:firstLine="420" w:firstLineChars="200"/>
        <w:rPr>
          <w:rFonts w:hint="eastAsia" w:eastAsia="宋体"/>
          <w:highlight w:val="none"/>
          <w:lang w:eastAsia="zh-CN"/>
        </w:rPr>
      </w:pPr>
      <w:r>
        <w:rPr>
          <w:rFonts w:hint="eastAsia"/>
          <w:highlight w:val="none"/>
        </w:rPr>
        <w:t>技术评审按本章第</w:t>
      </w:r>
      <w:r>
        <w:rPr>
          <w:highlight w:val="none"/>
        </w:rPr>
        <w:t>2.2.</w:t>
      </w:r>
      <w:r>
        <w:rPr>
          <w:rFonts w:hint="eastAsia"/>
          <w:highlight w:val="none"/>
          <w:lang w:val="en-US" w:eastAsia="zh-CN"/>
        </w:rPr>
        <w:t>4（1）</w:t>
      </w:r>
      <w:r>
        <w:rPr>
          <w:rFonts w:hint="eastAsia"/>
          <w:highlight w:val="none"/>
        </w:rPr>
        <w:t>目规定的评审因素和分值对技术文件评审计算出得分</w:t>
      </w:r>
      <w:r>
        <w:rPr>
          <w:rFonts w:hint="eastAsia"/>
          <w:highlight w:val="none"/>
          <w:lang w:val="en-US" w:eastAsia="zh-CN"/>
        </w:rPr>
        <w:t>A</w:t>
      </w:r>
      <w:r>
        <w:rPr>
          <w:rFonts w:hint="eastAsia"/>
          <w:highlight w:val="none"/>
          <w:lang w:eastAsia="zh-CN"/>
        </w:rPr>
        <w:t>。</w:t>
      </w:r>
    </w:p>
    <w:p w14:paraId="099A7178">
      <w:pPr>
        <w:spacing w:line="400" w:lineRule="exact"/>
        <w:ind w:firstLine="420" w:firstLineChars="200"/>
        <w:rPr>
          <w:highlight w:val="none"/>
        </w:rPr>
      </w:pPr>
      <w:r>
        <w:rPr>
          <w:rFonts w:hint="eastAsia" w:ascii="宋体" w:hAnsi="宋体"/>
          <w:szCs w:val="21"/>
          <w:highlight w:val="none"/>
        </w:rPr>
        <w:t>评标委员会全体成员均完成技术评审（暗标）并对评审结果进行确认后，“市电子交易平台”向评标委员会公布技术文件记录。</w:t>
      </w:r>
    </w:p>
    <w:p w14:paraId="7D4D2C18">
      <w:pPr>
        <w:pStyle w:val="107"/>
        <w:outlineLvl w:val="3"/>
        <w:rPr>
          <w:rFonts w:hint="eastAsia"/>
          <w:color w:val="auto"/>
          <w:highlight w:val="none"/>
        </w:rPr>
      </w:pPr>
      <w:bookmarkStart w:id="1266" w:name="_Toc152042382"/>
      <w:bookmarkStart w:id="1267" w:name="_Toc144974572"/>
      <w:bookmarkStart w:id="1268" w:name="_Toc152045605"/>
      <w:bookmarkStart w:id="1269" w:name="_Toc19273"/>
      <w:bookmarkStart w:id="1270" w:name="_Toc23645"/>
      <w:bookmarkStart w:id="1271" w:name="_Toc247514029"/>
      <w:bookmarkStart w:id="1272" w:name="_Toc247527630"/>
      <w:bookmarkStart w:id="1273" w:name="_Toc26434"/>
      <w:bookmarkStart w:id="1274" w:name="_Toc519085353"/>
      <w:bookmarkStart w:id="1275" w:name="_Toc13030"/>
      <w:bookmarkStart w:id="1276" w:name="_Toc30289"/>
      <w:r>
        <w:rPr>
          <w:rFonts w:hint="eastAsia"/>
          <w:color w:val="auto"/>
          <w:highlight w:val="none"/>
        </w:rPr>
        <w:t>3.</w:t>
      </w:r>
      <w:r>
        <w:rPr>
          <w:rFonts w:hint="eastAsia"/>
          <w:color w:val="auto"/>
          <w:highlight w:val="none"/>
          <w:lang w:val="en-US" w:eastAsia="zh-CN"/>
        </w:rPr>
        <w:t>3</w:t>
      </w:r>
      <w:r>
        <w:rPr>
          <w:rFonts w:hint="eastAsia"/>
          <w:color w:val="auto"/>
          <w:highlight w:val="none"/>
        </w:rPr>
        <w:t xml:space="preserve"> 初步评审</w:t>
      </w:r>
      <w:bookmarkEnd w:id="1266"/>
      <w:bookmarkEnd w:id="1267"/>
      <w:bookmarkEnd w:id="1268"/>
      <w:bookmarkEnd w:id="1269"/>
      <w:bookmarkEnd w:id="1270"/>
      <w:bookmarkEnd w:id="1271"/>
      <w:bookmarkEnd w:id="1272"/>
      <w:bookmarkEnd w:id="1273"/>
      <w:bookmarkEnd w:id="1274"/>
      <w:bookmarkEnd w:id="1275"/>
      <w:bookmarkEnd w:id="1276"/>
    </w:p>
    <w:p w14:paraId="7FC54271">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.1 评标委员会可以要求投标人提交第二章“投标人须知”第3.5.1项至第3.5.5项规定的有关证明和证件的原件，以便核验。评标委员会依据本章第2.1款规定的标准对投标文件进行初步评审。有一项不符合评审标准的，评标委员会应当否决其投标。（适用于资格后审的）</w:t>
      </w:r>
    </w:p>
    <w:p w14:paraId="4CD13CF0">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2</w:t>
      </w:r>
      <w:r>
        <w:rPr>
          <w:rFonts w:hint="eastAsia"/>
          <w:color w:val="auto"/>
          <w:highlight w:val="none"/>
        </w:rPr>
        <w:t xml:space="preserve"> 评标委员会依据本章第2.1.1项、第2.1.3项规定的评审标准对投标文件进行初步评审。有一项不符合评审标准的，评标委员会应当否决其投标。当投标人资格预审申请文件的内容发生重大变化时，评标委员会依据本章第2.1.2项规定的标准对其更新资料进行评审。（适用于已进行资格预审的）</w:t>
      </w:r>
    </w:p>
    <w:p w14:paraId="6734FCD2">
      <w:pPr>
        <w:tabs>
          <w:tab w:val="left" w:pos="1980"/>
        </w:tabs>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3</w:t>
      </w:r>
      <w:r>
        <w:rPr>
          <w:rFonts w:hint="eastAsia"/>
          <w:color w:val="auto"/>
          <w:highlight w:val="none"/>
        </w:rPr>
        <w:t xml:space="preserve"> 投标人有以下情形之一的，评标委员会应当否决其投标：</w:t>
      </w:r>
    </w:p>
    <w:p w14:paraId="23AEA674">
      <w:pPr>
        <w:tabs>
          <w:tab w:val="left" w:pos="1980"/>
        </w:tabs>
        <w:spacing w:line="400" w:lineRule="exact"/>
        <w:ind w:firstLine="420" w:firstLineChars="200"/>
        <w:rPr>
          <w:rFonts w:ascii="宋体" w:hAnsi="宋体"/>
          <w:color w:val="auto"/>
          <w:highlight w:val="none"/>
        </w:rPr>
      </w:pPr>
      <w:r>
        <w:rPr>
          <w:rFonts w:hint="eastAsia" w:ascii="宋体" w:hAnsi="宋体"/>
          <w:color w:val="auto"/>
          <w:highlight w:val="none"/>
        </w:rPr>
        <w:t>（1）不按评标委员会要求澄清、说明或补正的；</w:t>
      </w:r>
    </w:p>
    <w:p w14:paraId="050734A6">
      <w:pPr>
        <w:tabs>
          <w:tab w:val="left" w:pos="1980"/>
        </w:tabs>
        <w:spacing w:line="400" w:lineRule="exact"/>
        <w:ind w:firstLine="420" w:firstLineChars="200"/>
        <w:rPr>
          <w:rFonts w:hint="eastAsia" w:ascii="宋体" w:hAnsi="宋体"/>
          <w:color w:val="auto"/>
          <w:highlight w:val="none"/>
        </w:rPr>
      </w:pPr>
      <w:r>
        <w:rPr>
          <w:rFonts w:hint="eastAsia" w:ascii="宋体" w:hAnsi="宋体"/>
          <w:color w:val="auto"/>
          <w:highlight w:val="none"/>
        </w:rPr>
        <w:t>（2）串通投标或弄虚作假或有其他违法行为的。</w:t>
      </w:r>
    </w:p>
    <w:p w14:paraId="1BDB25C0">
      <w:pPr>
        <w:spacing w:line="360" w:lineRule="auto"/>
        <w:ind w:firstLine="420" w:firstLineChars="200"/>
        <w:rPr>
          <w:rFonts w:hint="eastAsia"/>
          <w:color w:val="auto"/>
          <w:highlight w:val="none"/>
        </w:rPr>
      </w:pPr>
      <w:r>
        <w:rPr>
          <w:rFonts w:ascii="宋体" w:hAnsi="宋体"/>
          <w:color w:val="auto"/>
          <w:highlight w:val="none"/>
        </w:rPr>
        <w:t>1</w:t>
      </w:r>
      <w:r>
        <w:rPr>
          <w:rFonts w:hint="eastAsia" w:ascii="宋体" w:hAnsi="宋体"/>
          <w:color w:val="auto"/>
          <w:highlight w:val="none"/>
        </w:rPr>
        <w:t>）</w:t>
      </w:r>
      <w:r>
        <w:rPr>
          <w:rFonts w:hint="eastAsia"/>
          <w:color w:val="auto"/>
          <w:highlight w:val="none"/>
        </w:rPr>
        <w:t>有下列情形之一的，视为投标人相互串通投标：</w:t>
      </w:r>
    </w:p>
    <w:p w14:paraId="53F693D8">
      <w:pPr>
        <w:spacing w:line="360" w:lineRule="auto"/>
        <w:ind w:firstLine="420" w:firstLineChars="200"/>
        <w:rPr>
          <w:color w:val="auto"/>
          <w:highlight w:val="none"/>
        </w:rPr>
      </w:pPr>
      <w:r>
        <w:rPr>
          <w:rFonts w:hint="eastAsia" w:ascii="宋体" w:hAnsi="宋体"/>
          <w:color w:val="auto"/>
          <w:highlight w:val="none"/>
        </w:rPr>
        <w:t>①</w:t>
      </w:r>
      <w:r>
        <w:rPr>
          <w:rFonts w:hint="eastAsia"/>
          <w:color w:val="auto"/>
          <w:highlight w:val="none"/>
        </w:rPr>
        <w:t>不同投标人的投标文件由同一单位或者个人编制；</w:t>
      </w:r>
    </w:p>
    <w:p w14:paraId="0CAA8F55">
      <w:pPr>
        <w:spacing w:line="360" w:lineRule="auto"/>
        <w:ind w:firstLine="420" w:firstLineChars="200"/>
        <w:rPr>
          <w:color w:val="auto"/>
          <w:highlight w:val="none"/>
        </w:rPr>
      </w:pPr>
      <w:r>
        <w:rPr>
          <w:rFonts w:hint="eastAsia" w:ascii="宋体" w:hAnsi="宋体"/>
          <w:color w:val="auto"/>
          <w:highlight w:val="none"/>
        </w:rPr>
        <w:t>②</w:t>
      </w:r>
      <w:r>
        <w:rPr>
          <w:rFonts w:hint="eastAsia"/>
          <w:color w:val="auto"/>
          <w:highlight w:val="none"/>
        </w:rPr>
        <w:t>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764839AB">
      <w:pPr>
        <w:spacing w:line="360" w:lineRule="auto"/>
        <w:ind w:firstLine="420" w:firstLineChars="200"/>
        <w:rPr>
          <w:color w:val="auto"/>
          <w:highlight w:val="none"/>
        </w:rPr>
      </w:pPr>
      <w:r>
        <w:rPr>
          <w:rFonts w:hint="eastAsia" w:ascii="宋体" w:hAnsi="宋体"/>
          <w:color w:val="auto"/>
          <w:highlight w:val="none"/>
        </w:rPr>
        <w:t>③</w:t>
      </w:r>
      <w:r>
        <w:rPr>
          <w:rFonts w:hint="eastAsia"/>
          <w:color w:val="auto"/>
          <w:highlight w:val="none"/>
        </w:rPr>
        <w:t>不同投标人的投标文件载明的项目管理成员为同一人；</w:t>
      </w:r>
    </w:p>
    <w:p w14:paraId="22CA6E10">
      <w:pPr>
        <w:spacing w:line="400" w:lineRule="exact"/>
        <w:ind w:firstLine="482"/>
        <w:rPr>
          <w:color w:val="auto"/>
          <w:highlight w:val="none"/>
        </w:rPr>
      </w:pPr>
      <w:r>
        <w:rPr>
          <w:rFonts w:hint="eastAsia" w:ascii="宋体" w:hAnsi="宋体"/>
          <w:color w:val="auto"/>
          <w:highlight w:val="none"/>
        </w:rPr>
        <w:t>④</w:t>
      </w:r>
      <w:r>
        <w:rPr>
          <w:rFonts w:hint="eastAsia"/>
          <w:color w:val="auto"/>
          <w:highlight w:val="none"/>
        </w:rPr>
        <w:t>不同投标人的投标文件异常一致、投标报价呈规律性差异或者投标文件的实质性内容存在两处以上细节错误一致；</w:t>
      </w:r>
    </w:p>
    <w:p w14:paraId="65482BB4">
      <w:pPr>
        <w:spacing w:line="360" w:lineRule="auto"/>
        <w:ind w:firstLine="420" w:firstLineChars="200"/>
        <w:rPr>
          <w:rFonts w:hint="eastAsia"/>
          <w:color w:val="auto"/>
          <w:highlight w:val="none"/>
        </w:rPr>
      </w:pPr>
      <w:r>
        <w:rPr>
          <w:rFonts w:hint="eastAsia" w:ascii="宋体" w:hAnsi="宋体"/>
          <w:color w:val="auto"/>
          <w:highlight w:val="none"/>
        </w:rPr>
        <w:t>⑤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1FDA6C00">
      <w:pPr>
        <w:spacing w:line="360" w:lineRule="auto"/>
        <w:ind w:firstLine="420" w:firstLineChars="200"/>
        <w:rPr>
          <w:rFonts w:hint="eastAsia"/>
          <w:color w:val="auto"/>
          <w:highlight w:val="none"/>
        </w:rPr>
      </w:pPr>
      <w:r>
        <w:rPr>
          <w:rFonts w:hint="eastAsia" w:ascii="宋体" w:hAnsi="宋体"/>
          <w:color w:val="auto"/>
          <w:highlight w:val="none"/>
        </w:rPr>
        <w:t>⑥</w:t>
      </w:r>
      <w:r>
        <w:rPr>
          <w:rFonts w:hint="eastAsia"/>
          <w:color w:val="auto"/>
          <w:highlight w:val="none"/>
        </w:rPr>
        <w:t>不同投标人的投标保证金从同一单位或者个人的账户转出。</w:t>
      </w:r>
    </w:p>
    <w:p w14:paraId="1A971389">
      <w:pPr>
        <w:spacing w:line="400" w:lineRule="exact"/>
        <w:rPr>
          <w:rFonts w:ascii="宋体" w:hAnsi="宋体"/>
          <w:color w:val="auto"/>
          <w:highlight w:val="none"/>
        </w:rPr>
      </w:pPr>
      <w:r>
        <w:rPr>
          <w:rFonts w:hint="eastAsia" w:ascii="宋体" w:hAnsi="宋体"/>
          <w:color w:val="auto"/>
          <w:highlight w:val="none"/>
        </w:rPr>
        <w:t xml:space="preserve">    </w:t>
      </w:r>
      <w:r>
        <w:rPr>
          <w:rFonts w:ascii="宋体" w:hAnsi="宋体"/>
          <w:color w:val="auto"/>
          <w:highlight w:val="none"/>
        </w:rPr>
        <w:t>2</w:t>
      </w:r>
      <w:r>
        <w:rPr>
          <w:rFonts w:hint="eastAsia" w:ascii="宋体" w:hAnsi="宋体"/>
          <w:color w:val="auto"/>
          <w:highlight w:val="none"/>
        </w:rPr>
        <w:t>）有下列情形之一的，属于弄虚作假行为：</w:t>
      </w:r>
    </w:p>
    <w:p w14:paraId="2FDFD4B2">
      <w:pPr>
        <w:spacing w:line="400" w:lineRule="exact"/>
        <w:ind w:firstLine="420" w:firstLineChars="200"/>
        <w:rPr>
          <w:rFonts w:ascii="宋体" w:hAnsi="宋体"/>
          <w:color w:val="auto"/>
          <w:highlight w:val="none"/>
        </w:rPr>
      </w:pPr>
      <w:r>
        <w:rPr>
          <w:rFonts w:hint="eastAsia" w:ascii="宋体" w:hAnsi="宋体"/>
          <w:color w:val="auto"/>
          <w:highlight w:val="none"/>
        </w:rPr>
        <w:t>①</w:t>
      </w:r>
      <w:r>
        <w:rPr>
          <w:rFonts w:ascii="宋体" w:hAnsi="宋体"/>
          <w:color w:val="auto"/>
          <w:highlight w:val="none"/>
        </w:rPr>
        <w:t xml:space="preserve"> </w:t>
      </w:r>
      <w:r>
        <w:rPr>
          <w:rFonts w:hint="eastAsia" w:ascii="宋体" w:hAnsi="宋体"/>
          <w:color w:val="auto"/>
          <w:highlight w:val="none"/>
        </w:rPr>
        <w:t>使用通过受让或者租借等方式获取的资格、资质证书投标的，即以他人名义投标的；</w:t>
      </w:r>
    </w:p>
    <w:p w14:paraId="39CC5AE3">
      <w:pPr>
        <w:spacing w:line="400" w:lineRule="exact"/>
        <w:ind w:firstLine="420" w:firstLineChars="200"/>
        <w:rPr>
          <w:rFonts w:ascii="宋体" w:hAnsi="宋体"/>
          <w:color w:val="auto"/>
          <w:highlight w:val="none"/>
        </w:rPr>
      </w:pPr>
      <w:r>
        <w:rPr>
          <w:rFonts w:hint="eastAsia" w:ascii="宋体" w:hAnsi="宋体"/>
          <w:color w:val="auto"/>
          <w:highlight w:val="none"/>
        </w:rPr>
        <w:t>②</w:t>
      </w:r>
      <w:r>
        <w:rPr>
          <w:rFonts w:ascii="宋体" w:hAnsi="宋体"/>
          <w:color w:val="auto"/>
          <w:highlight w:val="none"/>
        </w:rPr>
        <w:t xml:space="preserve"> </w:t>
      </w:r>
      <w:r>
        <w:rPr>
          <w:rFonts w:hint="eastAsia" w:ascii="宋体" w:hAnsi="宋体"/>
          <w:color w:val="auto"/>
          <w:highlight w:val="none"/>
        </w:rPr>
        <w:t>使用伪造、变造的许可证件；</w:t>
      </w:r>
    </w:p>
    <w:p w14:paraId="69F47BB6">
      <w:pPr>
        <w:spacing w:line="400" w:lineRule="exact"/>
        <w:ind w:firstLine="420" w:firstLineChars="200"/>
        <w:rPr>
          <w:rFonts w:ascii="宋体" w:hAnsi="宋体"/>
          <w:color w:val="auto"/>
          <w:highlight w:val="none"/>
        </w:rPr>
      </w:pPr>
      <w:r>
        <w:rPr>
          <w:rFonts w:hint="eastAsia" w:ascii="宋体" w:hAnsi="宋体"/>
          <w:color w:val="auto"/>
          <w:highlight w:val="none"/>
        </w:rPr>
        <w:t>③</w:t>
      </w:r>
      <w:r>
        <w:rPr>
          <w:rFonts w:ascii="宋体" w:hAnsi="宋体"/>
          <w:color w:val="auto"/>
          <w:highlight w:val="none"/>
        </w:rPr>
        <w:t xml:space="preserve"> </w:t>
      </w:r>
      <w:r>
        <w:rPr>
          <w:rFonts w:hint="eastAsia" w:ascii="宋体" w:hAnsi="宋体"/>
          <w:color w:val="auto"/>
          <w:highlight w:val="none"/>
        </w:rPr>
        <w:t>提供虚假的财务状况或者业绩；</w:t>
      </w:r>
    </w:p>
    <w:p w14:paraId="6148712E">
      <w:pPr>
        <w:spacing w:line="400" w:lineRule="exact"/>
        <w:ind w:firstLine="420" w:firstLineChars="200"/>
        <w:rPr>
          <w:rFonts w:ascii="宋体" w:hAnsi="宋体"/>
          <w:color w:val="auto"/>
          <w:highlight w:val="none"/>
        </w:rPr>
      </w:pPr>
      <w:r>
        <w:rPr>
          <w:rFonts w:hint="eastAsia" w:ascii="宋体" w:hAnsi="宋体"/>
          <w:color w:val="auto"/>
          <w:highlight w:val="none"/>
        </w:rPr>
        <w:t>④</w:t>
      </w:r>
      <w:r>
        <w:rPr>
          <w:rFonts w:ascii="宋体" w:hAnsi="宋体"/>
          <w:color w:val="auto"/>
          <w:highlight w:val="none"/>
        </w:rPr>
        <w:t xml:space="preserve"> </w:t>
      </w:r>
      <w:r>
        <w:rPr>
          <w:rFonts w:hint="eastAsia" w:ascii="宋体" w:hAnsi="宋体"/>
          <w:color w:val="auto"/>
          <w:highlight w:val="none"/>
        </w:rPr>
        <w:t>提供虚假的项目负责人或者主要技术人员简历、劳动关系证明；</w:t>
      </w:r>
    </w:p>
    <w:p w14:paraId="6F463FDA">
      <w:pPr>
        <w:spacing w:line="400" w:lineRule="exact"/>
        <w:ind w:firstLine="420" w:firstLineChars="200"/>
        <w:rPr>
          <w:rFonts w:ascii="宋体" w:hAnsi="宋体"/>
          <w:color w:val="auto"/>
          <w:highlight w:val="none"/>
        </w:rPr>
      </w:pPr>
      <w:r>
        <w:rPr>
          <w:rFonts w:hint="eastAsia" w:ascii="宋体" w:hAnsi="宋体"/>
          <w:color w:val="auto"/>
          <w:highlight w:val="none"/>
        </w:rPr>
        <w:t>⑤</w:t>
      </w:r>
      <w:r>
        <w:rPr>
          <w:rFonts w:ascii="宋体" w:hAnsi="宋体"/>
          <w:color w:val="auto"/>
          <w:highlight w:val="none"/>
        </w:rPr>
        <w:t xml:space="preserve"> </w:t>
      </w:r>
      <w:r>
        <w:rPr>
          <w:rFonts w:hint="eastAsia" w:ascii="宋体" w:hAnsi="宋体"/>
          <w:color w:val="auto"/>
          <w:highlight w:val="none"/>
        </w:rPr>
        <w:t>提供虚假的信用状况；</w:t>
      </w:r>
    </w:p>
    <w:p w14:paraId="02E3FFF1">
      <w:pPr>
        <w:tabs>
          <w:tab w:val="left" w:pos="993"/>
        </w:tabs>
        <w:spacing w:line="400" w:lineRule="exact"/>
        <w:ind w:firstLine="420" w:firstLineChars="200"/>
        <w:rPr>
          <w:rFonts w:ascii="宋体" w:hAnsi="宋体"/>
          <w:color w:val="auto"/>
          <w:highlight w:val="none"/>
        </w:rPr>
      </w:pPr>
      <w:r>
        <w:rPr>
          <w:rFonts w:hint="eastAsia" w:ascii="宋体" w:hAnsi="宋体"/>
          <w:color w:val="auto"/>
          <w:highlight w:val="none"/>
        </w:rPr>
        <w:t>⑥</w:t>
      </w:r>
      <w:r>
        <w:rPr>
          <w:rFonts w:ascii="宋体" w:hAnsi="宋体"/>
          <w:color w:val="auto"/>
          <w:highlight w:val="none"/>
        </w:rPr>
        <w:t xml:space="preserve"> </w:t>
      </w:r>
      <w:r>
        <w:rPr>
          <w:rFonts w:hint="eastAsia" w:ascii="宋体" w:hAnsi="宋体"/>
          <w:color w:val="auto"/>
          <w:highlight w:val="none"/>
        </w:rPr>
        <w:t>其他弄虚作假的行为。</w:t>
      </w:r>
    </w:p>
    <w:p w14:paraId="3A0000BE">
      <w:pPr>
        <w:spacing w:line="360" w:lineRule="auto"/>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4</w:t>
      </w:r>
      <w:r>
        <w:rPr>
          <w:rFonts w:hint="eastAsia"/>
          <w:color w:val="auto"/>
          <w:highlight w:val="none"/>
        </w:rPr>
        <w:t>投标报价有算术错误的，评标委员会按以下原则对投标报价进行修正，修正的价格经投标人书面确认后具有约束力。投标人不接受修正价格的，</w:t>
      </w:r>
      <w:r>
        <w:rPr>
          <w:color w:val="auto"/>
          <w:highlight w:val="none"/>
        </w:rPr>
        <w:t>或者修正后的投标报价超过</w:t>
      </w:r>
      <w:r>
        <w:rPr>
          <w:rFonts w:hint="eastAsia"/>
          <w:color w:val="auto"/>
          <w:highlight w:val="none"/>
        </w:rPr>
        <w:t>最高投标限价</w:t>
      </w:r>
      <w:r>
        <w:rPr>
          <w:color w:val="auto"/>
          <w:highlight w:val="none"/>
        </w:rPr>
        <w:t>的（如有</w:t>
      </w:r>
      <w:r>
        <w:rPr>
          <w:rFonts w:hint="eastAsia"/>
          <w:color w:val="auto"/>
          <w:highlight w:val="none"/>
        </w:rPr>
        <w:t>），其投标将被否决。</w:t>
      </w:r>
    </w:p>
    <w:p w14:paraId="3B74ACCB">
      <w:pPr>
        <w:tabs>
          <w:tab w:val="left" w:pos="1980"/>
        </w:tabs>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30A271D1">
      <w:pPr>
        <w:tabs>
          <w:tab w:val="left" w:pos="1980"/>
        </w:tabs>
        <w:spacing w:line="400" w:lineRule="exact"/>
        <w:ind w:firstLine="420" w:firstLineChars="200"/>
        <w:rPr>
          <w:rFonts w:hint="eastAsia"/>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7E49E34C">
      <w:pPr>
        <w:spacing w:line="400" w:lineRule="exact"/>
        <w:ind w:firstLine="420" w:firstLineChars="200"/>
        <w:rPr>
          <w:rFonts w:hint="eastAsia"/>
          <w:highlight w:val="none"/>
        </w:rPr>
      </w:pPr>
      <w:r>
        <w:rPr>
          <w:rFonts w:hint="eastAsia"/>
          <w:highlight w:val="none"/>
        </w:rPr>
        <w:t>3.</w:t>
      </w:r>
      <w:r>
        <w:rPr>
          <w:rFonts w:hint="eastAsia"/>
          <w:highlight w:val="none"/>
          <w:lang w:val="en-US" w:eastAsia="zh-CN"/>
        </w:rPr>
        <w:t>3</w:t>
      </w:r>
      <w:r>
        <w:rPr>
          <w:rFonts w:hint="eastAsia"/>
          <w:highlight w:val="none"/>
        </w:rPr>
        <w:t>.</w:t>
      </w:r>
      <w:r>
        <w:rPr>
          <w:rFonts w:hint="eastAsia"/>
          <w:highlight w:val="none"/>
          <w:lang w:val="en-US" w:eastAsia="zh-CN"/>
        </w:rPr>
        <w:t>5</w:t>
      </w:r>
      <w:r>
        <w:rPr>
          <w:rFonts w:hint="eastAsia"/>
          <w:highlight w:val="none"/>
        </w:rPr>
        <w:t xml:space="preserve"> 评标委员会发现投标人的报价明显低于其他投标报价，或者在设有招标控制价时明显低于招标控制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46465FD3">
      <w:pPr>
        <w:tabs>
          <w:tab w:val="left" w:pos="1980"/>
        </w:tabs>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6</w:t>
      </w:r>
      <w:r>
        <w:rPr>
          <w:color w:val="auto"/>
          <w:highlight w:val="none"/>
        </w:rPr>
        <w:t>评标委员会否决不合格投标后，因有效投标不足三个使得投标明显缺乏竞争的，评标委员会可以否决全部投标。</w:t>
      </w:r>
    </w:p>
    <w:p w14:paraId="491223E4">
      <w:pPr>
        <w:pStyle w:val="107"/>
        <w:outlineLvl w:val="3"/>
        <w:rPr>
          <w:color w:val="auto"/>
          <w:highlight w:val="none"/>
        </w:rPr>
      </w:pPr>
      <w:bookmarkStart w:id="1277" w:name="_Toc14949"/>
      <w:bookmarkStart w:id="1278" w:name="_Toc31593"/>
      <w:bookmarkStart w:id="1279" w:name="_Toc152042384"/>
      <w:bookmarkStart w:id="1280" w:name="_Toc247527631"/>
      <w:bookmarkStart w:id="1281" w:name="_Toc152045606"/>
      <w:bookmarkStart w:id="1282" w:name="_Toc247514030"/>
      <w:bookmarkStart w:id="1283" w:name="_Toc519085354"/>
      <w:bookmarkStart w:id="1284" w:name="_Toc32303"/>
      <w:bookmarkStart w:id="1285" w:name="_Toc144974573"/>
      <w:bookmarkStart w:id="1286" w:name="_Toc22192"/>
      <w:r>
        <w:rPr>
          <w:rFonts w:hint="eastAsia"/>
          <w:color w:val="auto"/>
          <w:highlight w:val="none"/>
        </w:rPr>
        <w:t>3.</w:t>
      </w:r>
      <w:r>
        <w:rPr>
          <w:rFonts w:hint="eastAsia"/>
          <w:color w:val="auto"/>
          <w:highlight w:val="none"/>
          <w:lang w:val="en-US" w:eastAsia="zh-CN"/>
        </w:rPr>
        <w:t>4</w:t>
      </w:r>
      <w:r>
        <w:rPr>
          <w:rFonts w:hint="eastAsia"/>
          <w:color w:val="auto"/>
          <w:highlight w:val="none"/>
        </w:rPr>
        <w:t xml:space="preserve"> 详细评审</w:t>
      </w:r>
      <w:bookmarkEnd w:id="1277"/>
      <w:bookmarkEnd w:id="1278"/>
      <w:bookmarkEnd w:id="1279"/>
      <w:bookmarkEnd w:id="1280"/>
      <w:bookmarkEnd w:id="1281"/>
      <w:bookmarkEnd w:id="1282"/>
      <w:bookmarkEnd w:id="1283"/>
      <w:bookmarkEnd w:id="1284"/>
      <w:bookmarkEnd w:id="1285"/>
      <w:bookmarkEnd w:id="1286"/>
    </w:p>
    <w:p w14:paraId="0A2E6D73">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.1 评标委员会按本章第2.2款规定的量化因素和分值进行打分，并计算出综合评估得分。评标办法前附表对承包人建议书中的设计文件评审有特殊规定的，从其规定。</w:t>
      </w:r>
    </w:p>
    <w:p w14:paraId="34B9A6EE">
      <w:pPr>
        <w:spacing w:line="400" w:lineRule="exact"/>
        <w:ind w:firstLine="420" w:firstLineChars="200"/>
        <w:rPr>
          <w:color w:val="auto"/>
          <w:highlight w:val="none"/>
        </w:rPr>
      </w:pPr>
      <w:r>
        <w:rPr>
          <w:rFonts w:hint="eastAsia"/>
          <w:color w:val="auto"/>
          <w:highlight w:val="none"/>
        </w:rPr>
        <w:t>（1）按本章第2.2.4（2）目规定的评审因素和分值对承包人建议书计算出得分</w:t>
      </w:r>
      <w:r>
        <w:rPr>
          <w:rFonts w:hint="eastAsia"/>
          <w:color w:val="auto"/>
          <w:highlight w:val="none"/>
          <w:lang w:val="en-US" w:eastAsia="zh-CN"/>
        </w:rPr>
        <w:t>B</w:t>
      </w:r>
      <w:r>
        <w:rPr>
          <w:rFonts w:hint="eastAsia"/>
          <w:color w:val="auto"/>
          <w:highlight w:val="none"/>
        </w:rPr>
        <w:t>；</w:t>
      </w:r>
    </w:p>
    <w:p w14:paraId="6B3A9DB4">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）按本章第2.2.4（3）目规定的评审因素和分值对资信业绩部分计算出得分C；</w:t>
      </w:r>
    </w:p>
    <w:p w14:paraId="36EADBFF">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）按本章第2.2.4（4）目规定的评审因素和分值对</w:t>
      </w:r>
      <w:r>
        <w:rPr>
          <w:rFonts w:hint="eastAsia"/>
          <w:color w:val="auto"/>
          <w:highlight w:val="none"/>
          <w:lang w:val="en-US" w:eastAsia="zh-CN"/>
        </w:rPr>
        <w:t>其他评分因素</w:t>
      </w:r>
      <w:r>
        <w:rPr>
          <w:rFonts w:hint="eastAsia"/>
          <w:color w:val="auto"/>
          <w:highlight w:val="none"/>
        </w:rPr>
        <w:t>计算出得分D；</w:t>
      </w:r>
    </w:p>
    <w:p w14:paraId="5F67EBA4">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）按本章第2.2.4（5）目规定的评审因素和分值对投标报价计算出得分E。</w:t>
      </w:r>
    </w:p>
    <w:p w14:paraId="6405964A">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.2 评分分值计算保留小数点后两位，小数点后第三位“四舍五入”。</w:t>
      </w:r>
    </w:p>
    <w:p w14:paraId="07E8F3DD">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 xml:space="preserve">.3 </w:t>
      </w:r>
      <w:r>
        <w:rPr>
          <w:rFonts w:hint="eastAsia" w:ascii="宋体" w:hAnsi="宋体"/>
          <w:color w:val="auto"/>
          <w:highlight w:val="none"/>
        </w:rPr>
        <w:t>评标委员会成员</w:t>
      </w:r>
      <w:r>
        <w:rPr>
          <w:rFonts w:ascii="宋体" w:hAnsi="宋体"/>
          <w:color w:val="auto"/>
          <w:highlight w:val="none"/>
        </w:rPr>
        <w:t>对各投标人的综合评分为其各分项得分之和</w:t>
      </w:r>
      <w:r>
        <w:rPr>
          <w:rFonts w:hint="eastAsia" w:ascii="宋体" w:hAnsi="宋体"/>
          <w:color w:val="auto"/>
          <w:highlight w:val="none"/>
        </w:rPr>
        <w:t>，即</w:t>
      </w:r>
      <w:r>
        <w:rPr>
          <w:rFonts w:hint="eastAsia"/>
          <w:color w:val="auto"/>
          <w:highlight w:val="none"/>
        </w:rPr>
        <w:t>投标人得分=A+B+C+D+E。</w:t>
      </w:r>
    </w:p>
    <w:p w14:paraId="0DC624B2">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.4</w:t>
      </w:r>
      <w:r>
        <w:rPr>
          <w:rFonts w:ascii="宋体" w:hAnsi="宋体"/>
          <w:color w:val="auto"/>
          <w:szCs w:val="21"/>
          <w:highlight w:val="none"/>
        </w:rPr>
        <w:t>投标人的</w:t>
      </w:r>
      <w:r>
        <w:rPr>
          <w:rFonts w:hint="eastAsia" w:ascii="宋体" w:hAnsi="宋体"/>
          <w:color w:val="auto"/>
          <w:szCs w:val="21"/>
          <w:highlight w:val="none"/>
          <w:lang w:eastAsia="zh-CN"/>
        </w:rPr>
        <w:t>综合评分</w:t>
      </w:r>
      <w:r>
        <w:rPr>
          <w:rFonts w:hint="eastAsia"/>
          <w:color w:val="auto"/>
          <w:highlight w:val="none"/>
        </w:rPr>
        <w:t>为</w:t>
      </w:r>
      <w:r>
        <w:rPr>
          <w:rFonts w:ascii="宋体" w:hAnsi="宋体"/>
          <w:color w:val="auto"/>
          <w:szCs w:val="21"/>
          <w:highlight w:val="none"/>
        </w:rPr>
        <w:t>所有</w:t>
      </w:r>
      <w:r>
        <w:rPr>
          <w:rFonts w:hint="eastAsia"/>
          <w:color w:val="auto"/>
          <w:highlight w:val="none"/>
        </w:rPr>
        <w:t>评标委员会成员</w:t>
      </w:r>
      <w:r>
        <w:rPr>
          <w:color w:val="auto"/>
          <w:highlight w:val="none"/>
        </w:rPr>
        <w:t>的综合评分</w:t>
      </w:r>
      <w:r>
        <w:rPr>
          <w:rFonts w:hint="eastAsia"/>
          <w:color w:val="auto"/>
          <w:highlight w:val="none"/>
        </w:rPr>
        <w:t>中</w:t>
      </w:r>
      <w:r>
        <w:rPr>
          <w:color w:val="auto"/>
          <w:highlight w:val="none"/>
        </w:rPr>
        <w:t>去</w:t>
      </w:r>
      <w:r>
        <w:rPr>
          <w:rFonts w:ascii="宋体" w:hAnsi="宋体"/>
          <w:color w:val="auto"/>
          <w:szCs w:val="21"/>
          <w:highlight w:val="none"/>
        </w:rPr>
        <w:t>掉一个最高分和一个最低分之后的算术平均值。</w:t>
      </w:r>
    </w:p>
    <w:p w14:paraId="2E6520CC">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应当否决其投标。</w:t>
      </w:r>
    </w:p>
    <w:p w14:paraId="4630079D">
      <w:pPr>
        <w:pStyle w:val="107"/>
        <w:outlineLvl w:val="3"/>
        <w:rPr>
          <w:color w:val="auto"/>
          <w:highlight w:val="none"/>
        </w:rPr>
      </w:pPr>
      <w:bookmarkStart w:id="1287" w:name="_Toc144974575"/>
      <w:bookmarkStart w:id="1288" w:name="_Toc519085355"/>
      <w:bookmarkStart w:id="1289" w:name="_Toc247527632"/>
      <w:bookmarkStart w:id="1290" w:name="_Toc247514031"/>
      <w:bookmarkStart w:id="1291" w:name="_Toc15556"/>
      <w:bookmarkStart w:id="1292" w:name="_Toc21396"/>
      <w:bookmarkStart w:id="1293" w:name="_Toc152042385"/>
      <w:bookmarkStart w:id="1294" w:name="_Toc9570"/>
      <w:bookmarkStart w:id="1295" w:name="_Toc152045607"/>
      <w:bookmarkStart w:id="1296" w:name="_Toc14947"/>
      <w:r>
        <w:rPr>
          <w:rFonts w:hint="eastAsia"/>
          <w:color w:val="auto"/>
          <w:highlight w:val="none"/>
        </w:rPr>
        <w:t>3.</w:t>
      </w:r>
      <w:r>
        <w:rPr>
          <w:rFonts w:hint="eastAsia"/>
          <w:color w:val="auto"/>
          <w:highlight w:val="none"/>
          <w:lang w:val="en-US" w:eastAsia="zh-CN"/>
        </w:rPr>
        <w:t xml:space="preserve">5 </w:t>
      </w:r>
      <w:r>
        <w:rPr>
          <w:rFonts w:hint="eastAsia"/>
          <w:color w:val="auto"/>
          <w:highlight w:val="none"/>
        </w:rPr>
        <w:t>投标文件的澄清</w:t>
      </w:r>
      <w:bookmarkEnd w:id="1287"/>
      <w:r>
        <w:rPr>
          <w:rFonts w:hint="eastAsia"/>
          <w:color w:val="auto"/>
          <w:highlight w:val="none"/>
        </w:rPr>
        <w:t>和补正</w:t>
      </w:r>
      <w:bookmarkEnd w:id="1288"/>
      <w:bookmarkEnd w:id="1289"/>
      <w:bookmarkEnd w:id="1290"/>
      <w:bookmarkEnd w:id="1291"/>
      <w:bookmarkEnd w:id="1292"/>
      <w:bookmarkEnd w:id="1293"/>
      <w:bookmarkEnd w:id="1294"/>
      <w:bookmarkEnd w:id="1295"/>
      <w:bookmarkEnd w:id="1296"/>
    </w:p>
    <w:p w14:paraId="68E069E5">
      <w:pPr>
        <w:spacing w:line="400" w:lineRule="exact"/>
        <w:ind w:firstLine="420" w:firstLineChars="200"/>
        <w:rPr>
          <w:rFonts w:hint="eastAsia"/>
          <w:color w:val="auto"/>
          <w:highlight w:val="none"/>
        </w:rPr>
      </w:pPr>
      <w:bookmarkStart w:id="1297" w:name="_Toc152045608"/>
      <w:bookmarkStart w:id="1298" w:name="_Toc144974576"/>
      <w:bookmarkStart w:id="1299" w:name="_Toc152042386"/>
      <w:bookmarkStart w:id="1300" w:name="_Toc247527633"/>
      <w:bookmarkStart w:id="1301" w:name="_Toc247514032"/>
      <w:r>
        <w:rPr>
          <w:rFonts w:hint="eastAsia"/>
          <w:color w:val="auto"/>
          <w:highlight w:val="none"/>
        </w:rPr>
        <w:t>3.</w:t>
      </w:r>
      <w:r>
        <w:rPr>
          <w:rFonts w:hint="eastAsia"/>
          <w:color w:val="auto"/>
          <w:highlight w:val="none"/>
          <w:lang w:val="en-US" w:eastAsia="zh-CN"/>
        </w:rPr>
        <w:t>5</w:t>
      </w:r>
      <w:r>
        <w:rPr>
          <w:rFonts w:hint="eastAsia"/>
          <w:color w:val="auto"/>
          <w:highlight w:val="none"/>
        </w:rPr>
        <w:t>.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14256D43">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.2 澄清、说明和补正不得超出投标文件的范围且不得改变投标文件的实质性内容（算术错误修正的除外）。投标人的书面澄清、说明和补正属于投标文件的组成部分。</w:t>
      </w:r>
    </w:p>
    <w:p w14:paraId="3A83ED35">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.3 评标委员会对投标人提交的澄清、说明或补正有疑问的，可以要求投标人进一步澄清、说明或补正，直至满足评标委员会的要求。</w:t>
      </w:r>
    </w:p>
    <w:p w14:paraId="50CE6E3E">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.4评标委员会要求投标人对投标文件问题澄清的通知，以及投标人对投标文件的澄清通过“市电子交易平台”“投标文件澄清”菜单以书面形式进行。</w:t>
      </w:r>
    </w:p>
    <w:p w14:paraId="16D2D921">
      <w:pPr>
        <w:pStyle w:val="107"/>
        <w:outlineLvl w:val="3"/>
        <w:rPr>
          <w:color w:val="auto"/>
          <w:highlight w:val="none"/>
        </w:rPr>
      </w:pPr>
      <w:bookmarkStart w:id="1302" w:name="_Toc519085356"/>
      <w:bookmarkStart w:id="1303" w:name="_Toc23792"/>
      <w:bookmarkStart w:id="1304" w:name="_Toc20303"/>
      <w:bookmarkStart w:id="1305" w:name="_Toc21257"/>
      <w:bookmarkStart w:id="1306" w:name="_Toc16735"/>
      <w:r>
        <w:rPr>
          <w:rFonts w:hint="eastAsia"/>
          <w:color w:val="auto"/>
          <w:highlight w:val="none"/>
        </w:rPr>
        <w:t>3.</w:t>
      </w:r>
      <w:r>
        <w:rPr>
          <w:rFonts w:hint="eastAsia"/>
          <w:color w:val="auto"/>
          <w:highlight w:val="none"/>
          <w:lang w:val="en-US" w:eastAsia="zh-CN"/>
        </w:rPr>
        <w:t>6</w:t>
      </w:r>
      <w:r>
        <w:rPr>
          <w:rFonts w:hint="eastAsia"/>
          <w:color w:val="auto"/>
          <w:highlight w:val="none"/>
        </w:rPr>
        <w:t xml:space="preserve"> 评标结果</w:t>
      </w:r>
      <w:bookmarkEnd w:id="1297"/>
      <w:bookmarkEnd w:id="1298"/>
      <w:bookmarkEnd w:id="1299"/>
      <w:bookmarkEnd w:id="1300"/>
      <w:bookmarkEnd w:id="1301"/>
      <w:bookmarkEnd w:id="1302"/>
      <w:bookmarkEnd w:id="1303"/>
      <w:bookmarkEnd w:id="1304"/>
      <w:bookmarkEnd w:id="1305"/>
      <w:bookmarkEnd w:id="1306"/>
    </w:p>
    <w:p w14:paraId="0D78E010">
      <w:pPr>
        <w:spacing w:line="360" w:lineRule="auto"/>
        <w:ind w:firstLine="420" w:firstLineChars="200"/>
        <w:rPr>
          <w:rFonts w:hint="default" w:eastAsia="宋体"/>
          <w:color w:val="auto"/>
          <w:highlight w:val="none"/>
          <w:lang w:val="en-US" w:eastAsia="zh-CN"/>
        </w:rPr>
      </w:pPr>
      <w:r>
        <w:rPr>
          <w:rFonts w:hint="eastAsia"/>
          <w:color w:val="auto"/>
          <w:highlight w:val="none"/>
        </w:rPr>
        <w:t>3.4.1 评标委员会按照第二章“投标人须知</w:t>
      </w:r>
      <w:r>
        <w:rPr>
          <w:rFonts w:hint="eastAsia"/>
          <w:color w:val="auto"/>
          <w:highlight w:val="none"/>
          <w:lang w:val="en-US" w:eastAsia="zh-CN"/>
        </w:rPr>
        <w:t>前附表</w:t>
      </w:r>
      <w:r>
        <w:rPr>
          <w:rFonts w:hint="eastAsia"/>
          <w:color w:val="auto"/>
          <w:highlight w:val="none"/>
        </w:rPr>
        <w:t>” 第</w:t>
      </w:r>
      <w:r>
        <w:rPr>
          <w:rFonts w:hint="eastAsia"/>
          <w:color w:val="auto"/>
          <w:highlight w:val="none"/>
          <w:lang w:val="en-US" w:eastAsia="zh-CN"/>
        </w:rPr>
        <w:t>6.3.2</w:t>
      </w:r>
      <w:r>
        <w:rPr>
          <w:rFonts w:hint="eastAsia"/>
          <w:color w:val="auto"/>
          <w:highlight w:val="none"/>
        </w:rPr>
        <w:t>款规定</w:t>
      </w:r>
      <w:r>
        <w:rPr>
          <w:rFonts w:hint="eastAsia"/>
          <w:color w:val="auto"/>
          <w:highlight w:val="none"/>
          <w:lang w:eastAsia="zh-CN"/>
        </w:rPr>
        <w:t>，</w:t>
      </w:r>
      <w:r>
        <w:rPr>
          <w:rFonts w:hint="eastAsia"/>
          <w:color w:val="auto"/>
          <w:highlight w:val="none"/>
          <w:lang w:val="en-US" w:eastAsia="zh-CN"/>
        </w:rPr>
        <w:t>根据</w:t>
      </w:r>
      <w:r>
        <w:rPr>
          <w:color w:val="auto"/>
          <w:highlight w:val="none"/>
        </w:rPr>
        <w:t>投标人</w:t>
      </w:r>
      <w:r>
        <w:rPr>
          <w:rFonts w:hint="eastAsia"/>
          <w:color w:val="auto"/>
          <w:highlight w:val="none"/>
        </w:rPr>
        <w:t>得分由高到低的顺序</w:t>
      </w:r>
      <w:r>
        <w:rPr>
          <w:rFonts w:hint="eastAsia"/>
          <w:color w:val="auto"/>
          <w:highlight w:val="none"/>
          <w:lang w:val="en-US" w:eastAsia="zh-CN"/>
        </w:rPr>
        <w:t>推荐</w:t>
      </w:r>
      <w:r>
        <w:rPr>
          <w:rFonts w:hint="eastAsia"/>
          <w:color w:val="auto"/>
          <w:highlight w:val="none"/>
        </w:rPr>
        <w:t>中标候选人</w:t>
      </w:r>
      <w:r>
        <w:rPr>
          <w:rFonts w:hint="eastAsia"/>
          <w:color w:val="auto"/>
          <w:highlight w:val="none"/>
          <w:lang w:eastAsia="zh-CN"/>
        </w:rPr>
        <w:t>，</w:t>
      </w:r>
      <w:r>
        <w:rPr>
          <w:rFonts w:hint="eastAsia"/>
          <w:color w:val="auto"/>
          <w:highlight w:val="none"/>
          <w:lang w:val="en-US" w:eastAsia="zh-CN"/>
        </w:rPr>
        <w:t>不</w:t>
      </w:r>
      <w:r>
        <w:rPr>
          <w:rFonts w:hint="eastAsia"/>
          <w:color w:val="auto"/>
          <w:highlight w:val="none"/>
        </w:rPr>
        <w:t>标明排列顺序。</w:t>
      </w:r>
    </w:p>
    <w:p w14:paraId="158193F9">
      <w:pPr>
        <w:spacing w:line="400" w:lineRule="exact"/>
        <w:ind w:firstLine="482"/>
        <w:rPr>
          <w:color w:val="auto"/>
          <w:highlight w:val="none"/>
        </w:rPr>
      </w:pPr>
      <w:r>
        <w:rPr>
          <w:rFonts w:hint="eastAsia"/>
          <w:color w:val="auto"/>
          <w:highlight w:val="none"/>
        </w:rPr>
        <w:t>3.4.2招标文件允许多标段（包）投标、多标段（包）中标的，各标段（包）中标候选人的推荐按第二章“投标人须知” 第10.1款规定执行，对某些标段（包）由此产生的空缺由排序在后的投标人依次替补。</w:t>
      </w:r>
    </w:p>
    <w:p w14:paraId="37453ECD">
      <w:pPr>
        <w:spacing w:line="360" w:lineRule="auto"/>
        <w:ind w:firstLine="420" w:firstLineChars="200"/>
        <w:rPr>
          <w:rFonts w:hint="default" w:eastAsia="宋体"/>
          <w:color w:val="auto"/>
          <w:highlight w:val="none"/>
          <w:lang w:val="en-US" w:eastAsia="zh-CN"/>
        </w:rPr>
      </w:pPr>
      <w:r>
        <w:rPr>
          <w:rFonts w:hint="eastAsia"/>
          <w:color w:val="auto"/>
          <w:highlight w:val="none"/>
        </w:rPr>
        <w:t xml:space="preserve"> 3.4.3 评标委员会完成评标后，应当向招标人提交书面评标报告</w:t>
      </w:r>
      <w:r>
        <w:rPr>
          <w:rFonts w:hint="eastAsia"/>
          <w:color w:val="auto"/>
          <w:highlight w:val="none"/>
          <w:lang w:eastAsia="zh-CN"/>
        </w:rPr>
        <w:t>，</w:t>
      </w:r>
      <w:r>
        <w:rPr>
          <w:rFonts w:hint="eastAsia"/>
          <w:color w:val="auto"/>
          <w:highlight w:val="none"/>
          <w:lang w:val="en-US" w:eastAsia="zh-CN"/>
        </w:rPr>
        <w:t>并在评标报告评审结论中对每个中标候选人的优势、不足、风险等情况进行详细说明。</w:t>
      </w:r>
    </w:p>
    <w:p w14:paraId="6DFD999C">
      <w:pPr>
        <w:rPr>
          <w:rFonts w:hint="eastAsia"/>
          <w:color w:val="auto"/>
          <w:highlight w:val="none"/>
        </w:rPr>
      </w:pPr>
      <w:r>
        <w:rPr>
          <w:rFonts w:hint="eastAsia"/>
          <w:color w:val="auto"/>
          <w:highlight w:val="none"/>
        </w:rPr>
        <w:br w:type="page"/>
      </w:r>
    </w:p>
    <w:p w14:paraId="019D0E9F">
      <w:pPr>
        <w:pStyle w:val="4"/>
        <w:rPr>
          <w:rFonts w:hint="eastAsia"/>
          <w:b w:val="0"/>
          <w:sz w:val="24"/>
          <w:szCs w:val="24"/>
          <w:highlight w:val="none"/>
        </w:rPr>
      </w:pPr>
      <w:bookmarkStart w:id="1307" w:name="_Toc17732"/>
      <w:bookmarkStart w:id="1308" w:name="_Toc107387601"/>
      <w:bookmarkStart w:id="1309" w:name="_Toc519085357"/>
      <w:r>
        <w:rPr>
          <w:rFonts w:hint="eastAsia"/>
          <w:b w:val="0"/>
          <w:sz w:val="24"/>
          <w:szCs w:val="24"/>
          <w:highlight w:val="none"/>
        </w:rPr>
        <w:t>附件A:评标详细程序</w:t>
      </w:r>
      <w:bookmarkEnd w:id="1307"/>
      <w:bookmarkEnd w:id="1308"/>
    </w:p>
    <w:p w14:paraId="16E63909">
      <w:pPr>
        <w:jc w:val="center"/>
        <w:rPr>
          <w:rFonts w:hint="eastAsia" w:ascii="黑体" w:eastAsia="黑体"/>
          <w:b/>
          <w:sz w:val="28"/>
          <w:szCs w:val="28"/>
          <w:highlight w:val="none"/>
        </w:rPr>
      </w:pPr>
      <w:r>
        <w:rPr>
          <w:rFonts w:hint="eastAsia" w:ascii="黑体" w:eastAsia="黑体"/>
          <w:b/>
          <w:sz w:val="28"/>
          <w:szCs w:val="28"/>
          <w:highlight w:val="none"/>
        </w:rPr>
        <w:t>评标详细程序</w:t>
      </w:r>
    </w:p>
    <w:p w14:paraId="3962C2B3">
      <w:pPr>
        <w:pStyle w:val="98"/>
        <w:rPr>
          <w:rFonts w:hint="eastAsia"/>
          <w:highlight w:val="none"/>
        </w:rPr>
      </w:pPr>
      <w:bookmarkStart w:id="1310" w:name="_Toc107387602"/>
      <w:bookmarkStart w:id="1311" w:name="_Toc312"/>
      <w:r>
        <w:rPr>
          <w:rFonts w:hint="eastAsia"/>
          <w:highlight w:val="none"/>
        </w:rPr>
        <w:t>A0.总  则</w:t>
      </w:r>
      <w:bookmarkEnd w:id="1310"/>
      <w:bookmarkEnd w:id="1311"/>
    </w:p>
    <w:p w14:paraId="5541B3E8">
      <w:pPr>
        <w:spacing w:line="420" w:lineRule="exact"/>
        <w:ind w:firstLine="420" w:firstLineChars="200"/>
        <w:rPr>
          <w:rFonts w:hint="eastAsia" w:ascii="宋体" w:hAnsi="宋体"/>
          <w:szCs w:val="21"/>
          <w:highlight w:val="none"/>
        </w:rPr>
      </w:pPr>
      <w:r>
        <w:rPr>
          <w:rFonts w:hint="eastAsia" w:ascii="宋体" w:hAnsi="宋体"/>
          <w:szCs w:val="21"/>
          <w:highlight w:val="none"/>
        </w:rPr>
        <w:t>本附件是本章“评标办法”的组成部分，是对本章第3条所规定的评标程序的进一些细化，评标委员会应当按照本附件所规定的详细程序开展并完成评标工作。</w:t>
      </w:r>
    </w:p>
    <w:p w14:paraId="41B5FBD5">
      <w:pPr>
        <w:pStyle w:val="98"/>
        <w:rPr>
          <w:rFonts w:hint="eastAsia"/>
          <w:highlight w:val="none"/>
        </w:rPr>
      </w:pPr>
      <w:bookmarkStart w:id="1312" w:name="_Toc10282"/>
      <w:bookmarkStart w:id="1313" w:name="_Toc107387603"/>
      <w:r>
        <w:rPr>
          <w:rFonts w:hint="eastAsia"/>
          <w:highlight w:val="none"/>
        </w:rPr>
        <w:t>A1.基本程序</w:t>
      </w:r>
      <w:bookmarkEnd w:id="1312"/>
      <w:bookmarkEnd w:id="1313"/>
    </w:p>
    <w:p w14:paraId="7F2317DE">
      <w:pPr>
        <w:spacing w:line="420" w:lineRule="exact"/>
        <w:ind w:firstLine="420" w:firstLineChars="200"/>
        <w:rPr>
          <w:rFonts w:hint="eastAsia" w:ascii="宋体" w:hAnsi="宋体"/>
          <w:szCs w:val="21"/>
          <w:highlight w:val="none"/>
        </w:rPr>
      </w:pPr>
      <w:r>
        <w:rPr>
          <w:rFonts w:hint="eastAsia" w:ascii="宋体" w:hAnsi="宋体"/>
          <w:szCs w:val="21"/>
          <w:highlight w:val="none"/>
        </w:rPr>
        <w:t>评标活动将按以下</w:t>
      </w:r>
      <w:r>
        <w:rPr>
          <w:rFonts w:hint="eastAsia" w:ascii="宋体" w:hAnsi="宋体"/>
          <w:szCs w:val="21"/>
          <w:highlight w:val="none"/>
          <w:lang w:val="en-US" w:eastAsia="zh-CN"/>
        </w:rPr>
        <w:t>六</w:t>
      </w:r>
      <w:r>
        <w:rPr>
          <w:rFonts w:hint="eastAsia" w:ascii="宋体" w:hAnsi="宋体"/>
          <w:szCs w:val="21"/>
          <w:highlight w:val="none"/>
        </w:rPr>
        <w:t>个步骤进行：</w:t>
      </w:r>
    </w:p>
    <w:p w14:paraId="06F6B91B">
      <w:pPr>
        <w:numPr>
          <w:ilvl w:val="0"/>
          <w:numId w:val="1"/>
        </w:num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评标准备；</w:t>
      </w:r>
    </w:p>
    <w:p w14:paraId="6A950A4B">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暗标</w:t>
      </w:r>
      <w:r>
        <w:rPr>
          <w:rFonts w:hint="eastAsia" w:ascii="宋体" w:hAnsi="宋体"/>
          <w:szCs w:val="21"/>
          <w:highlight w:val="none"/>
        </w:rPr>
        <w:t>评审；</w:t>
      </w:r>
    </w:p>
    <w:p w14:paraId="05753859">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）初步评审；</w:t>
      </w:r>
    </w:p>
    <w:p w14:paraId="4797318E">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4</w:t>
      </w:r>
      <w:r>
        <w:rPr>
          <w:rFonts w:hint="eastAsia" w:ascii="宋体" w:hAnsi="宋体"/>
          <w:szCs w:val="21"/>
          <w:highlight w:val="none"/>
        </w:rPr>
        <w:t>）详细评审；</w:t>
      </w:r>
    </w:p>
    <w:p w14:paraId="5E8C8C8B">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）澄清、说明或补正；</w:t>
      </w:r>
    </w:p>
    <w:p w14:paraId="1A5EDAC2">
      <w:pPr>
        <w:spacing w:before="72" w:beforeLines="30" w:after="72" w:after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）推荐中标候选人或者直接确定中标人及提交评标报告。</w:t>
      </w:r>
    </w:p>
    <w:p w14:paraId="364867D6">
      <w:pPr>
        <w:pStyle w:val="98"/>
        <w:rPr>
          <w:rFonts w:hint="eastAsia"/>
          <w:highlight w:val="none"/>
        </w:rPr>
      </w:pPr>
      <w:bookmarkStart w:id="1314" w:name="_Toc19930"/>
      <w:bookmarkStart w:id="1315" w:name="_Toc107387604"/>
      <w:r>
        <w:rPr>
          <w:rFonts w:hint="eastAsia"/>
          <w:highlight w:val="none"/>
        </w:rPr>
        <w:t>A2.评标准备</w:t>
      </w:r>
      <w:bookmarkEnd w:id="1314"/>
      <w:bookmarkEnd w:id="1315"/>
    </w:p>
    <w:p w14:paraId="0D0CDB38">
      <w:pPr>
        <w:pStyle w:val="98"/>
        <w:rPr>
          <w:rFonts w:hint="eastAsia" w:ascii="宋体" w:hAnsi="宋体"/>
          <w:b/>
          <w:sz w:val="21"/>
          <w:szCs w:val="21"/>
          <w:highlight w:val="none"/>
        </w:rPr>
      </w:pPr>
      <w:bookmarkStart w:id="1316" w:name="_Toc107387605"/>
      <w:bookmarkStart w:id="1317" w:name="_Toc19559"/>
      <w:r>
        <w:rPr>
          <w:rFonts w:hint="eastAsia"/>
          <w:b/>
          <w:sz w:val="21"/>
          <w:szCs w:val="21"/>
          <w:highlight w:val="none"/>
        </w:rPr>
        <w:t>A2.1评标委员会成员签到</w:t>
      </w:r>
      <w:bookmarkEnd w:id="1316"/>
      <w:bookmarkEnd w:id="1317"/>
    </w:p>
    <w:p w14:paraId="4908EA96">
      <w:pPr>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szCs w:val="21"/>
          <w:highlight w:val="none"/>
        </w:rPr>
        <w:t>评标委员会成员到达评标现场时应在签到表上签到以证明其出席。评标委员会签到表见</w:t>
      </w:r>
      <w:r>
        <w:rPr>
          <w:rFonts w:hint="eastAsia" w:ascii="宋体" w:hAnsi="宋体"/>
          <w:b/>
          <w:color w:val="000000" w:themeColor="text1"/>
          <w:szCs w:val="21"/>
          <w:highlight w:val="none"/>
          <w14:textFill>
            <w14:solidFill>
              <w14:schemeClr w14:val="tx1"/>
            </w14:solidFill>
          </w14:textFill>
        </w:rPr>
        <w:t>附表A-1</w:t>
      </w:r>
      <w:r>
        <w:rPr>
          <w:rFonts w:hint="eastAsia" w:ascii="宋体" w:hAnsi="宋体"/>
          <w:color w:val="000000" w:themeColor="text1"/>
          <w:szCs w:val="21"/>
          <w:highlight w:val="none"/>
          <w14:textFill>
            <w14:solidFill>
              <w14:schemeClr w14:val="tx1"/>
            </w14:solidFill>
          </w14:textFill>
        </w:rPr>
        <w:t>。</w:t>
      </w:r>
    </w:p>
    <w:p w14:paraId="7AB6F990">
      <w:pPr>
        <w:spacing w:line="420" w:lineRule="exact"/>
        <w:ind w:firstLine="420" w:firstLineChars="200"/>
        <w:rPr>
          <w:rFonts w:hint="eastAsia" w:ascii="宋体" w:hAnsi="宋体"/>
          <w:szCs w:val="21"/>
          <w:highlight w:val="none"/>
        </w:rPr>
      </w:pPr>
      <w:r>
        <w:rPr>
          <w:rFonts w:hint="eastAsia" w:ascii="宋体" w:hAnsi="宋体"/>
          <w:color w:val="000000" w:themeColor="text1"/>
          <w:szCs w:val="21"/>
          <w:highlight w:val="none"/>
          <w14:textFill>
            <w14:solidFill>
              <w14:schemeClr w14:val="tx1"/>
            </w14:solidFill>
          </w14:textFill>
        </w:rPr>
        <w:t>评标委员会成员在评标前，应当使用</w:t>
      </w:r>
      <w:r>
        <w:rPr>
          <w:rFonts w:hint="eastAsia" w:ascii="宋体" w:hAnsi="宋体"/>
          <w:b/>
          <w:color w:val="000000" w:themeColor="text1"/>
          <w:szCs w:val="21"/>
          <w:highlight w:val="none"/>
          <w14:textFill>
            <w14:solidFill>
              <w14:schemeClr w14:val="tx1"/>
            </w14:solidFill>
          </w14:textFill>
        </w:rPr>
        <w:t>附表A-2</w:t>
      </w:r>
      <w:r>
        <w:rPr>
          <w:rFonts w:hint="eastAsia" w:ascii="宋体" w:hAnsi="宋体"/>
          <w:color w:val="000000" w:themeColor="text1"/>
          <w:szCs w:val="21"/>
          <w:highlight w:val="none"/>
          <w14:textFill>
            <w14:solidFill>
              <w14:schemeClr w14:val="tx1"/>
            </w14:solidFill>
          </w14:textFill>
        </w:rPr>
        <w:t>签署评标专家声明书。声明本人不存在法律法规定的应当回避情形，保证遵守有关评标管理规定以及评标纪</w:t>
      </w:r>
      <w:r>
        <w:rPr>
          <w:rFonts w:hint="eastAsia" w:ascii="宋体" w:hAnsi="宋体"/>
          <w:szCs w:val="21"/>
          <w:highlight w:val="none"/>
        </w:rPr>
        <w:t>律，客观、公正地进行评标，并接受招投标监管部门的监督。</w:t>
      </w:r>
    </w:p>
    <w:p w14:paraId="72C3C8FA">
      <w:pPr>
        <w:pStyle w:val="98"/>
        <w:rPr>
          <w:rFonts w:hint="eastAsia"/>
          <w:b/>
          <w:sz w:val="21"/>
          <w:szCs w:val="21"/>
          <w:highlight w:val="none"/>
        </w:rPr>
      </w:pPr>
      <w:bookmarkStart w:id="1318" w:name="_Toc107387606"/>
      <w:bookmarkStart w:id="1319" w:name="_Toc1110"/>
      <w:r>
        <w:rPr>
          <w:rFonts w:hint="eastAsia"/>
          <w:b/>
          <w:sz w:val="21"/>
          <w:szCs w:val="21"/>
          <w:highlight w:val="none"/>
        </w:rPr>
        <w:t>A2.2评标委员会的分工</w:t>
      </w:r>
      <w:bookmarkEnd w:id="1318"/>
      <w:bookmarkEnd w:id="1319"/>
    </w:p>
    <w:p w14:paraId="18A0BEFA">
      <w:pPr>
        <w:spacing w:line="400" w:lineRule="exact"/>
        <w:ind w:firstLine="482"/>
        <w:rPr>
          <w:rFonts w:hint="eastAsia" w:ascii="宋体" w:hAnsi="宋体"/>
          <w:szCs w:val="21"/>
          <w:highlight w:val="none"/>
        </w:rPr>
      </w:pPr>
      <w:r>
        <w:rPr>
          <w:rFonts w:hint="eastAsia" w:ascii="宋体" w:hAnsi="宋体"/>
          <w:szCs w:val="21"/>
          <w:highlight w:val="none"/>
        </w:rPr>
        <w:t>A2.2.1</w:t>
      </w:r>
      <w:r>
        <w:rPr>
          <w:rFonts w:ascii="Times New Roman" w:hAnsi="Times New Roman"/>
          <w:highlight w:val="none"/>
        </w:rPr>
        <w:t>由评标委员会首先推选一名评标委员会负责人，评标委员会负责人负责评标活动的组织领导工作，评标委员会负责人在与其他评标委员会成员具有同等表决权。</w:t>
      </w:r>
    </w:p>
    <w:p w14:paraId="4EC8EEB4">
      <w:pPr>
        <w:spacing w:line="430" w:lineRule="exact"/>
        <w:ind w:firstLine="420" w:firstLineChars="200"/>
        <w:rPr>
          <w:rFonts w:hint="eastAsia" w:ascii="宋体" w:hAnsi="宋体"/>
          <w:szCs w:val="21"/>
          <w:highlight w:val="none"/>
        </w:rPr>
      </w:pPr>
      <w:r>
        <w:rPr>
          <w:rFonts w:hint="eastAsia" w:ascii="宋体" w:hAnsi="宋体"/>
          <w:szCs w:val="21"/>
          <w:highlight w:val="none"/>
        </w:rPr>
        <w:t xml:space="preserve">A2.2.2 </w:t>
      </w:r>
      <w:r>
        <w:rPr>
          <w:rFonts w:hint="eastAsia" w:ascii="宋体" w:hAnsi="宋体"/>
          <w:szCs w:val="21"/>
          <w:highlight w:val="none"/>
          <w:lang w:eastAsia="zh-CN"/>
        </w:rPr>
        <w:t>评标委员会负责人</w:t>
      </w:r>
      <w:r>
        <w:rPr>
          <w:rFonts w:hint="eastAsia" w:ascii="宋体" w:hAnsi="宋体"/>
          <w:szCs w:val="21"/>
          <w:highlight w:val="none"/>
        </w:rPr>
        <w:t>除履行自己作为评标委员会成员独立评标的职责外，主要负责以下工作：</w:t>
      </w:r>
    </w:p>
    <w:p w14:paraId="36083B8E">
      <w:pPr>
        <w:spacing w:line="430" w:lineRule="exact"/>
        <w:ind w:firstLine="420" w:firstLineChars="200"/>
        <w:rPr>
          <w:rFonts w:hint="eastAsia" w:ascii="宋体" w:hAnsi="宋体"/>
          <w:szCs w:val="21"/>
          <w:highlight w:val="none"/>
        </w:rPr>
      </w:pPr>
      <w:r>
        <w:rPr>
          <w:rFonts w:hint="eastAsia" w:ascii="宋体" w:hAnsi="宋体"/>
          <w:szCs w:val="21"/>
          <w:highlight w:val="none"/>
        </w:rPr>
        <w:t>（1） 组织评标委员会成员学习招标文件中载明的评标标准和方法；</w:t>
      </w:r>
    </w:p>
    <w:p w14:paraId="0FDEA4C7">
      <w:pPr>
        <w:spacing w:line="430" w:lineRule="exact"/>
        <w:ind w:firstLine="420" w:firstLineChars="200"/>
        <w:rPr>
          <w:rFonts w:hint="eastAsia" w:ascii="宋体" w:hAnsi="宋体"/>
          <w:szCs w:val="21"/>
          <w:highlight w:val="none"/>
        </w:rPr>
      </w:pPr>
      <w:r>
        <w:rPr>
          <w:rFonts w:hint="eastAsia" w:ascii="宋体" w:hAnsi="宋体"/>
          <w:szCs w:val="21"/>
          <w:highlight w:val="none"/>
        </w:rPr>
        <w:t>（2） 提醒招标人做好评标准备工作，包括提供所需的评标基础资料，</w:t>
      </w:r>
    </w:p>
    <w:p w14:paraId="65262F2F">
      <w:pPr>
        <w:spacing w:line="430" w:lineRule="exact"/>
        <w:ind w:firstLine="420" w:firstLineChars="200"/>
        <w:rPr>
          <w:rFonts w:hint="eastAsia" w:ascii="宋体" w:hAnsi="宋体"/>
          <w:szCs w:val="21"/>
          <w:highlight w:val="none"/>
        </w:rPr>
      </w:pPr>
      <w:r>
        <w:rPr>
          <w:rFonts w:hint="eastAsia" w:ascii="宋体" w:hAnsi="宋体"/>
          <w:szCs w:val="21"/>
          <w:highlight w:val="none"/>
        </w:rPr>
        <w:t>（3） 汇总各评标委员会成员认为需要投标人澄清、说明或者补正的问题，组织评标委员会对投标人质询并对投标人的答复进行评审；</w:t>
      </w:r>
    </w:p>
    <w:p w14:paraId="6998BF9F">
      <w:pPr>
        <w:spacing w:line="430" w:lineRule="exact"/>
        <w:ind w:firstLine="420" w:firstLineChars="200"/>
        <w:rPr>
          <w:rFonts w:hint="eastAsia" w:ascii="宋体" w:hAnsi="宋体"/>
          <w:szCs w:val="21"/>
          <w:highlight w:val="none"/>
        </w:rPr>
      </w:pPr>
      <w:r>
        <w:rPr>
          <w:rFonts w:hint="eastAsia" w:ascii="宋体" w:hAnsi="宋体"/>
          <w:szCs w:val="21"/>
          <w:highlight w:val="none"/>
        </w:rPr>
        <w:t>（4） 对出现较大争议的事项进行书面记录；</w:t>
      </w:r>
    </w:p>
    <w:p w14:paraId="58ECF100">
      <w:pPr>
        <w:spacing w:line="430" w:lineRule="exact"/>
        <w:ind w:firstLine="420" w:firstLineChars="200"/>
        <w:rPr>
          <w:rFonts w:hint="eastAsia" w:ascii="宋体" w:hAnsi="宋体"/>
          <w:szCs w:val="21"/>
          <w:highlight w:val="none"/>
        </w:rPr>
      </w:pPr>
      <w:r>
        <w:rPr>
          <w:rFonts w:hint="eastAsia" w:ascii="宋体" w:hAnsi="宋体"/>
          <w:szCs w:val="21"/>
          <w:highlight w:val="none"/>
        </w:rPr>
        <w:t>（5） 查验评标用表格和评标记录的完整性及有效性；</w:t>
      </w:r>
    </w:p>
    <w:p w14:paraId="044983B6">
      <w:pPr>
        <w:spacing w:line="430" w:lineRule="exact"/>
        <w:ind w:firstLine="420" w:firstLineChars="200"/>
        <w:rPr>
          <w:rFonts w:hint="eastAsia" w:ascii="宋体" w:hAnsi="宋体"/>
          <w:szCs w:val="21"/>
          <w:highlight w:val="none"/>
        </w:rPr>
      </w:pPr>
      <w:r>
        <w:rPr>
          <w:rFonts w:hint="eastAsia" w:ascii="宋体" w:hAnsi="宋体"/>
          <w:szCs w:val="21"/>
          <w:highlight w:val="none"/>
        </w:rPr>
        <w:t>（6） 组织对评标结论进行复核确认；</w:t>
      </w:r>
    </w:p>
    <w:p w14:paraId="1AA367D4">
      <w:pPr>
        <w:spacing w:line="420" w:lineRule="exact"/>
        <w:ind w:firstLine="420" w:firstLineChars="200"/>
        <w:rPr>
          <w:rFonts w:hint="eastAsia" w:ascii="宋体" w:hAnsi="宋体"/>
          <w:szCs w:val="21"/>
          <w:highlight w:val="none"/>
        </w:rPr>
      </w:pPr>
      <w:r>
        <w:rPr>
          <w:rFonts w:hint="eastAsia" w:ascii="宋体" w:hAnsi="宋体"/>
          <w:szCs w:val="21"/>
          <w:highlight w:val="none"/>
        </w:rPr>
        <w:t>（7） 组织编写评标报告，推荐中标候选人。</w:t>
      </w:r>
    </w:p>
    <w:p w14:paraId="714D2FCB">
      <w:pPr>
        <w:pStyle w:val="98"/>
        <w:rPr>
          <w:rFonts w:hint="eastAsia"/>
          <w:b/>
          <w:sz w:val="21"/>
          <w:szCs w:val="21"/>
          <w:highlight w:val="none"/>
        </w:rPr>
      </w:pPr>
      <w:bookmarkStart w:id="1320" w:name="_Toc107387607"/>
      <w:bookmarkStart w:id="1321" w:name="_Toc31350"/>
      <w:r>
        <w:rPr>
          <w:rFonts w:hint="eastAsia"/>
          <w:b/>
          <w:sz w:val="21"/>
          <w:szCs w:val="21"/>
          <w:highlight w:val="none"/>
        </w:rPr>
        <w:t>A2.3熟悉文件资料</w:t>
      </w:r>
      <w:bookmarkEnd w:id="1320"/>
      <w:bookmarkEnd w:id="1321"/>
    </w:p>
    <w:p w14:paraId="68F4EEC9">
      <w:pPr>
        <w:spacing w:line="420" w:lineRule="exact"/>
        <w:ind w:firstLine="420" w:firstLineChars="200"/>
        <w:rPr>
          <w:rFonts w:hint="eastAsia" w:ascii="宋体" w:hAnsi="宋体"/>
          <w:szCs w:val="21"/>
          <w:highlight w:val="none"/>
        </w:rPr>
      </w:pPr>
      <w:r>
        <w:rPr>
          <w:rFonts w:hint="eastAsia" w:ascii="宋体" w:hAnsi="宋体"/>
          <w:szCs w:val="21"/>
          <w:highlight w:val="none"/>
        </w:rPr>
        <w:t>A2.3.1</w:t>
      </w:r>
      <w:r>
        <w:rPr>
          <w:rFonts w:hint="eastAsia" w:ascii="宋体" w:hAnsi="宋体"/>
          <w:szCs w:val="21"/>
          <w:highlight w:val="none"/>
          <w:lang w:eastAsia="zh-CN"/>
        </w:rPr>
        <w:t>评标委员会负责人</w:t>
      </w:r>
      <w:r>
        <w:rPr>
          <w:rFonts w:hint="eastAsia" w:ascii="宋体" w:hAnsi="宋体"/>
          <w:szCs w:val="21"/>
          <w:highlight w:val="none"/>
        </w:rPr>
        <w:t>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2E737D97">
      <w:pPr>
        <w:spacing w:line="430" w:lineRule="exact"/>
        <w:ind w:firstLine="420" w:firstLineChars="200"/>
        <w:rPr>
          <w:rFonts w:hint="eastAsia" w:ascii="宋体" w:hAnsi="宋体"/>
          <w:szCs w:val="21"/>
          <w:highlight w:val="none"/>
        </w:rPr>
      </w:pPr>
      <w:r>
        <w:rPr>
          <w:rFonts w:hint="eastAsia" w:ascii="宋体" w:hAnsi="宋体"/>
          <w:szCs w:val="21"/>
          <w:highlight w:val="none"/>
        </w:rPr>
        <w:t>A2.3.2 招标人或招标代理机构应向评标委员会提供评标所需的信息和数据，包括：</w:t>
      </w:r>
    </w:p>
    <w:p w14:paraId="21324C91">
      <w:pPr>
        <w:spacing w:line="430" w:lineRule="exact"/>
        <w:ind w:firstLine="420" w:firstLineChars="200"/>
        <w:rPr>
          <w:rFonts w:hint="eastAsia" w:ascii="宋体" w:hAnsi="宋体"/>
          <w:color w:val="auto"/>
          <w:szCs w:val="21"/>
          <w:highlight w:val="none"/>
        </w:rPr>
      </w:pPr>
      <w:bookmarkStart w:id="1322" w:name="_Toc107387608"/>
      <w:r>
        <w:rPr>
          <w:rFonts w:hint="eastAsia" w:ascii="宋体" w:hAnsi="宋体"/>
          <w:color w:val="auto"/>
          <w:szCs w:val="21"/>
          <w:highlight w:val="none"/>
        </w:rPr>
        <w:t>（1）招标文件及其澄清、修改文件；</w:t>
      </w:r>
    </w:p>
    <w:p w14:paraId="0FB19D47">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（2）未在开标会上当场拒绝的各投标文件；</w:t>
      </w:r>
    </w:p>
    <w:p w14:paraId="51FD6683">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w:t>
      </w:r>
    </w:p>
    <w:p w14:paraId="6C94BB11">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（4）招标控制价；</w:t>
      </w:r>
    </w:p>
    <w:p w14:paraId="7B89452A">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1320C51C">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w:t>
      </w:r>
      <w:r>
        <w:rPr>
          <w:rFonts w:hint="eastAsia"/>
          <w:color w:val="auto"/>
          <w:highlight w:val="none"/>
        </w:rPr>
        <w:t>资格预审文件</w:t>
      </w:r>
      <w:r>
        <w:rPr>
          <w:rFonts w:hint="eastAsia" w:ascii="宋体" w:hAnsi="宋体"/>
          <w:color w:val="auto"/>
          <w:szCs w:val="21"/>
          <w:highlight w:val="none"/>
        </w:rPr>
        <w:t>及其澄清、修改文件，资格审查报告</w:t>
      </w:r>
      <w:r>
        <w:rPr>
          <w:rFonts w:hint="eastAsia"/>
          <w:color w:val="auto"/>
          <w:highlight w:val="none"/>
        </w:rPr>
        <w:t>（适用于已进行资格预审的）；</w:t>
      </w:r>
    </w:p>
    <w:p w14:paraId="2E066DB5">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（7）有关的法律、法规、规章、国家标准以及招标人或评标委员会认为必要的其他信息和数据。</w:t>
      </w:r>
    </w:p>
    <w:p w14:paraId="07DA64F5">
      <w:pPr>
        <w:pStyle w:val="98"/>
        <w:rPr>
          <w:rFonts w:hint="eastAsia"/>
          <w:highlight w:val="none"/>
        </w:rPr>
      </w:pPr>
      <w:bookmarkStart w:id="1323" w:name="_Toc21566"/>
      <w:r>
        <w:rPr>
          <w:rFonts w:hint="eastAsia"/>
          <w:highlight w:val="none"/>
        </w:rPr>
        <w:t>A</w:t>
      </w:r>
      <w:r>
        <w:rPr>
          <w:rFonts w:hint="eastAsia"/>
          <w:highlight w:val="none"/>
          <w:lang w:val="en-US" w:eastAsia="zh-CN"/>
        </w:rPr>
        <w:t>3暗标</w:t>
      </w:r>
      <w:r>
        <w:rPr>
          <w:rFonts w:hint="eastAsia"/>
          <w:highlight w:val="none"/>
        </w:rPr>
        <w:t>评审</w:t>
      </w:r>
      <w:bookmarkEnd w:id="1323"/>
    </w:p>
    <w:bookmarkEnd w:id="1322"/>
    <w:p w14:paraId="3268DC6B">
      <w:pPr>
        <w:spacing w:line="400" w:lineRule="exact"/>
        <w:rPr>
          <w:color w:val="auto"/>
          <w:highlight w:val="none"/>
        </w:rPr>
      </w:pPr>
      <w:r>
        <w:rPr>
          <w:rFonts w:hint="eastAsia"/>
          <w:color w:val="auto"/>
          <w:highlight w:val="none"/>
          <w:lang w:eastAsia="zh-CN"/>
        </w:rPr>
        <w:t>　　</w:t>
      </w:r>
      <w:r>
        <w:rPr>
          <w:rFonts w:hint="eastAsia"/>
          <w:color w:val="auto"/>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color w:val="auto"/>
          <w:highlight w:val="none"/>
        </w:rPr>
        <w:t>实行“暗标”</w:t>
      </w:r>
      <w:r>
        <w:rPr>
          <w:rFonts w:hint="eastAsia"/>
          <w:highlight w:val="none"/>
        </w:rPr>
        <w:t>评审</w:t>
      </w:r>
      <w:r>
        <w:rPr>
          <w:rFonts w:hint="eastAsia" w:ascii="宋体" w:hAnsi="宋体"/>
          <w:szCs w:val="21"/>
          <w:highlight w:val="none"/>
        </w:rPr>
        <w:t>，</w:t>
      </w:r>
      <w:r>
        <w:rPr>
          <w:rFonts w:hint="eastAsia" w:ascii="宋体" w:hAnsi="宋体"/>
          <w:color w:val="auto"/>
          <w:szCs w:val="21"/>
          <w:highlight w:val="none"/>
        </w:rPr>
        <w:t>在评标工作开始前 “市</w:t>
      </w:r>
      <w:r>
        <w:rPr>
          <w:rFonts w:hint="eastAsia"/>
          <w:color w:val="auto"/>
          <w:highlight w:val="none"/>
        </w:rPr>
        <w:t>电子交易平台”将对投标文件进行智能检测</w:t>
      </w:r>
      <w:r>
        <w:rPr>
          <w:rFonts w:hint="eastAsia"/>
          <w:color w:val="auto"/>
          <w:highlight w:val="none"/>
          <w:lang w:eastAsia="zh-CN"/>
        </w:rPr>
        <w:t>（</w:t>
      </w:r>
      <w:r>
        <w:rPr>
          <w:rFonts w:hint="eastAsia"/>
          <w:color w:val="auto"/>
          <w:highlight w:val="none"/>
        </w:rPr>
        <w:t>包括：检测标书上传/下载的IP地址、物理网卡、硬盘序列号等</w:t>
      </w:r>
      <w:r>
        <w:rPr>
          <w:rFonts w:hint="eastAsia"/>
          <w:color w:val="auto"/>
          <w:highlight w:val="none"/>
          <w:lang w:val="en-US" w:eastAsia="zh-CN"/>
        </w:rPr>
        <w:t>）</w:t>
      </w:r>
      <w:r>
        <w:rPr>
          <w:rFonts w:hint="eastAsia"/>
          <w:color w:val="auto"/>
          <w:highlight w:val="none"/>
        </w:rPr>
        <w:t>并以</w:t>
      </w:r>
      <w:r>
        <w:rPr>
          <w:rFonts w:hint="eastAsia" w:ascii="宋体" w:hAnsi="宋体"/>
          <w:color w:val="auto"/>
          <w:szCs w:val="21"/>
          <w:highlight w:val="none"/>
        </w:rPr>
        <w:t>随机方式</w:t>
      </w:r>
      <w:r>
        <w:rPr>
          <w:rFonts w:hint="eastAsia"/>
          <w:color w:val="auto"/>
          <w:highlight w:val="none"/>
        </w:rPr>
        <w:t>生成暗标编号。技术评审</w:t>
      </w:r>
      <w:r>
        <w:rPr>
          <w:rFonts w:hint="eastAsia" w:ascii="宋体" w:hAnsi="宋体"/>
          <w:color w:val="auto"/>
          <w:szCs w:val="21"/>
          <w:highlight w:val="none"/>
        </w:rPr>
        <w:t>按照评标办法前附表中规定的分值设定、各项评分因素、评分标准</w:t>
      </w:r>
      <w:r>
        <w:rPr>
          <w:rFonts w:hint="eastAsia"/>
          <w:color w:val="auto"/>
          <w:highlight w:val="none"/>
        </w:rPr>
        <w:t>对技术文件评审计算出得分</w:t>
      </w:r>
      <w:r>
        <w:rPr>
          <w:rFonts w:hint="eastAsia"/>
          <w:color w:val="auto"/>
          <w:highlight w:val="none"/>
          <w:lang w:val="en-US" w:eastAsia="zh-CN"/>
        </w:rPr>
        <w:t>A</w:t>
      </w:r>
      <w:r>
        <w:rPr>
          <w:rFonts w:hint="eastAsia"/>
          <w:color w:val="auto"/>
          <w:highlight w:val="none"/>
        </w:rPr>
        <w:t>。</w:t>
      </w:r>
    </w:p>
    <w:p w14:paraId="602C728C">
      <w:pPr>
        <w:spacing w:line="400" w:lineRule="exact"/>
        <w:ind w:firstLine="420" w:firstLineChars="200"/>
        <w:rPr>
          <w:rFonts w:hint="eastAsia" w:ascii="宋体" w:hAnsi="宋体"/>
          <w:szCs w:val="21"/>
          <w:highlight w:val="none"/>
        </w:rPr>
      </w:pPr>
      <w:bookmarkStart w:id="1324" w:name="_Toc107387610"/>
      <w:r>
        <w:rPr>
          <w:rFonts w:hint="eastAsia" w:ascii="宋体" w:hAnsi="宋体"/>
          <w:szCs w:val="21"/>
          <w:highlight w:val="none"/>
        </w:rPr>
        <w:t>在评标委员会全体成员均使用</w:t>
      </w:r>
      <w:r>
        <w:rPr>
          <w:rFonts w:ascii="宋体" w:hAnsi="宋体"/>
          <w:b/>
          <w:szCs w:val="21"/>
          <w:highlight w:val="none"/>
        </w:rPr>
        <w:t>附表 A-</w:t>
      </w:r>
      <w:r>
        <w:rPr>
          <w:rFonts w:hint="eastAsia" w:ascii="宋体" w:hAnsi="宋体"/>
          <w:b/>
          <w:szCs w:val="21"/>
          <w:highlight w:val="none"/>
        </w:rPr>
        <w:t>3</w:t>
      </w:r>
      <w:r>
        <w:rPr>
          <w:rFonts w:hint="eastAsia" w:ascii="宋体" w:hAnsi="宋体"/>
          <w:szCs w:val="21"/>
          <w:highlight w:val="none"/>
        </w:rPr>
        <w:t>完成暗标部分评审并对评审结果进行确认后，“市电子交易平台”公布暗标编号记录</w:t>
      </w:r>
      <w:r>
        <w:rPr>
          <w:rFonts w:hint="eastAsia" w:ascii="宋体" w:hAnsi="宋体"/>
          <w:szCs w:val="21"/>
          <w:highlight w:val="none"/>
          <w:lang w:eastAsia="zh-CN"/>
        </w:rPr>
        <w:t>，</w:t>
      </w:r>
      <w:r>
        <w:rPr>
          <w:rFonts w:hint="eastAsia" w:ascii="宋体" w:hAnsi="宋体"/>
          <w:szCs w:val="21"/>
          <w:highlight w:val="none"/>
        </w:rPr>
        <w:t>评标委员会全体成员在</w:t>
      </w:r>
      <w:r>
        <w:rPr>
          <w:rFonts w:ascii="宋体" w:hAnsi="宋体"/>
          <w:b/>
          <w:szCs w:val="21"/>
          <w:highlight w:val="none"/>
        </w:rPr>
        <w:t>附表 A-</w:t>
      </w:r>
      <w:r>
        <w:rPr>
          <w:rFonts w:hint="eastAsia" w:ascii="宋体" w:hAnsi="宋体"/>
          <w:b/>
          <w:szCs w:val="21"/>
          <w:highlight w:val="none"/>
        </w:rPr>
        <w:t>4</w:t>
      </w:r>
      <w:r>
        <w:rPr>
          <w:rFonts w:hint="eastAsia" w:ascii="宋体" w:hAnsi="宋体"/>
          <w:szCs w:val="21"/>
          <w:highlight w:val="none"/>
        </w:rPr>
        <w:t>签字。暗标编号记录公布前必须保密。</w:t>
      </w:r>
    </w:p>
    <w:p w14:paraId="374A0105">
      <w:pPr>
        <w:pStyle w:val="98"/>
        <w:rPr>
          <w:rFonts w:hint="eastAsia"/>
          <w:highlight w:val="none"/>
        </w:rPr>
      </w:pPr>
      <w:bookmarkStart w:id="1325" w:name="_Toc4248"/>
      <w:r>
        <w:rPr>
          <w:rFonts w:hint="eastAsia"/>
          <w:highlight w:val="none"/>
        </w:rPr>
        <w:t>A</w:t>
      </w:r>
      <w:r>
        <w:rPr>
          <w:rFonts w:hint="eastAsia"/>
          <w:highlight w:val="none"/>
          <w:lang w:val="en-US" w:eastAsia="zh-CN"/>
        </w:rPr>
        <w:t>4</w:t>
      </w:r>
      <w:r>
        <w:rPr>
          <w:rFonts w:hint="eastAsia"/>
          <w:highlight w:val="none"/>
        </w:rPr>
        <w:t>初步评审</w:t>
      </w:r>
      <w:bookmarkEnd w:id="1324"/>
      <w:bookmarkEnd w:id="1325"/>
    </w:p>
    <w:p w14:paraId="0C7B0637">
      <w:pPr>
        <w:pStyle w:val="98"/>
        <w:rPr>
          <w:rFonts w:hint="eastAsia"/>
          <w:b/>
          <w:sz w:val="21"/>
          <w:szCs w:val="21"/>
          <w:highlight w:val="none"/>
        </w:rPr>
      </w:pPr>
      <w:bookmarkStart w:id="1326" w:name="_Toc17379"/>
      <w:bookmarkStart w:id="1327" w:name="_Toc107387611"/>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.1形式评审</w:t>
      </w:r>
      <w:bookmarkEnd w:id="1326"/>
      <w:bookmarkEnd w:id="1327"/>
    </w:p>
    <w:p w14:paraId="7FF3FB1D">
      <w:pPr>
        <w:adjustRightInd w:val="0"/>
        <w:snapToGrid w:val="0"/>
        <w:spacing w:line="402" w:lineRule="atLeast"/>
        <w:ind w:firstLine="420" w:firstLineChars="200"/>
        <w:rPr>
          <w:rFonts w:hint="eastAsia" w:ascii="宋体" w:hAnsi="宋体"/>
          <w:szCs w:val="21"/>
          <w:highlight w:val="none"/>
        </w:rPr>
      </w:pPr>
      <w:bookmarkStart w:id="1328" w:name="_Toc107387612"/>
      <w:r>
        <w:rPr>
          <w:rFonts w:hint="eastAsia" w:ascii="宋体" w:hAnsi="宋体"/>
          <w:szCs w:val="21"/>
          <w:highlight w:val="none"/>
        </w:rPr>
        <w:t>评标委员会根据评标办法前附表中规定的评审因素和评审标准，对投标人的投标文件进行形式评审，并使用</w:t>
      </w:r>
      <w:r>
        <w:rPr>
          <w:rFonts w:hint="eastAsia" w:ascii="宋体" w:hAnsi="宋体"/>
          <w:b/>
          <w:szCs w:val="21"/>
          <w:highlight w:val="none"/>
        </w:rPr>
        <w:t>附表A-5</w:t>
      </w:r>
      <w:r>
        <w:rPr>
          <w:rFonts w:hint="eastAsia" w:ascii="宋体" w:hAnsi="宋体"/>
          <w:szCs w:val="21"/>
          <w:highlight w:val="none"/>
        </w:rPr>
        <w:t>记录评审结果。</w:t>
      </w:r>
    </w:p>
    <w:p w14:paraId="0143F070">
      <w:pPr>
        <w:pStyle w:val="98"/>
        <w:rPr>
          <w:rFonts w:hint="eastAsia"/>
          <w:b/>
          <w:sz w:val="21"/>
          <w:szCs w:val="21"/>
          <w:highlight w:val="none"/>
        </w:rPr>
      </w:pPr>
      <w:bookmarkStart w:id="1329" w:name="_Toc24748"/>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.2资格评审</w:t>
      </w:r>
      <w:bookmarkEnd w:id="1328"/>
      <w:bookmarkEnd w:id="1329"/>
    </w:p>
    <w:p w14:paraId="690694CD">
      <w:pPr>
        <w:adjustRightInd w:val="0"/>
        <w:snapToGrid w:val="0"/>
        <w:spacing w:line="402" w:lineRule="atLeast"/>
        <w:ind w:firstLine="420" w:firstLineChars="200"/>
        <w:rPr>
          <w:rFonts w:hint="eastAsia" w:ascii="宋体" w:hAnsi="宋体"/>
          <w:szCs w:val="21"/>
          <w:highlight w:val="none"/>
        </w:rPr>
      </w:pPr>
      <w:bookmarkStart w:id="1330" w:name="_Toc107387613"/>
      <w:r>
        <w:rPr>
          <w:rFonts w:hint="eastAsia" w:ascii="宋体" w:hAnsi="宋体"/>
          <w:szCs w:val="21"/>
          <w:highlight w:val="none"/>
        </w:rPr>
        <w:t>评标委员会根据评标办法前附表中规定的评审因素和评审标准，对投标人的投标文件进行资格评审，并使用</w:t>
      </w:r>
      <w:r>
        <w:rPr>
          <w:rFonts w:hint="eastAsia" w:ascii="宋体" w:hAnsi="宋体"/>
          <w:b/>
          <w:szCs w:val="21"/>
          <w:highlight w:val="none"/>
        </w:rPr>
        <w:t>附表A-6</w:t>
      </w:r>
      <w:r>
        <w:rPr>
          <w:rFonts w:hint="eastAsia" w:ascii="宋体" w:hAnsi="宋体"/>
          <w:szCs w:val="21"/>
          <w:highlight w:val="none"/>
        </w:rPr>
        <w:t>记录评审结果。投标文件中提供的资料应当符合资格后审规定的审查标准，否则</w:t>
      </w:r>
      <w:r>
        <w:rPr>
          <w:rFonts w:hint="eastAsia"/>
          <w:highlight w:val="none"/>
        </w:rPr>
        <w:t>评标委员会应当否决其投标</w:t>
      </w:r>
      <w:r>
        <w:rPr>
          <w:rFonts w:hint="eastAsia" w:ascii="宋体" w:hAnsi="宋体"/>
          <w:szCs w:val="21"/>
          <w:highlight w:val="none"/>
        </w:rPr>
        <w:t xml:space="preserve">。(适用于资格后审的) </w:t>
      </w:r>
    </w:p>
    <w:p w14:paraId="16B8207C">
      <w:pPr>
        <w:adjustRightInd w:val="0"/>
        <w:snapToGrid w:val="0"/>
        <w:spacing w:line="402" w:lineRule="atLeast"/>
        <w:ind w:firstLine="420" w:firstLineChars="200"/>
        <w:rPr>
          <w:rFonts w:hint="eastAsia" w:ascii="宋体" w:hAnsi="宋体"/>
          <w:szCs w:val="21"/>
          <w:highlight w:val="none"/>
        </w:rPr>
      </w:pPr>
      <w:r>
        <w:rPr>
          <w:rFonts w:hint="eastAsia" w:ascii="宋体" w:hAnsi="宋体"/>
          <w:szCs w:val="21"/>
          <w:highlight w:val="none"/>
        </w:rPr>
        <w:t>当投标人资格预审申请文件的内容发生重大变化时，评标委员会依据资格预审文件中规定的标准和方法，对照投标人在资格预审阶段递交的资格预审文件中的资料以及在投标文件中更新的资料，对其更新的资料进行评审，并使用</w:t>
      </w:r>
      <w:r>
        <w:rPr>
          <w:rFonts w:hint="eastAsia" w:ascii="宋体" w:hAnsi="宋体"/>
          <w:b/>
          <w:szCs w:val="21"/>
          <w:highlight w:val="none"/>
        </w:rPr>
        <w:t>附表A-6-1</w:t>
      </w:r>
      <w:r>
        <w:rPr>
          <w:rFonts w:hint="eastAsia" w:ascii="宋体" w:hAnsi="宋体"/>
          <w:szCs w:val="21"/>
          <w:highlight w:val="none"/>
        </w:rPr>
        <w:t>记录评审结果。投标文件中更新的资料应当符合资格预审文件中规定的审查标准，否则</w:t>
      </w:r>
      <w:r>
        <w:rPr>
          <w:rFonts w:hint="eastAsia"/>
          <w:highlight w:val="none"/>
        </w:rPr>
        <w:t>评标委员会应当否决其投标</w:t>
      </w:r>
      <w:r>
        <w:rPr>
          <w:rFonts w:hint="eastAsia" w:ascii="宋体" w:hAnsi="宋体"/>
          <w:szCs w:val="21"/>
          <w:highlight w:val="none"/>
        </w:rPr>
        <w:t>。 (适用于已进行资格预审的)</w:t>
      </w:r>
    </w:p>
    <w:p w14:paraId="1C6B4E2B">
      <w:pPr>
        <w:pStyle w:val="98"/>
        <w:rPr>
          <w:rFonts w:hint="eastAsia"/>
          <w:b/>
          <w:sz w:val="21"/>
          <w:szCs w:val="21"/>
          <w:highlight w:val="none"/>
        </w:rPr>
      </w:pPr>
      <w:bookmarkStart w:id="1331" w:name="_Toc22346"/>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.3响应性评审</w:t>
      </w:r>
      <w:bookmarkEnd w:id="1330"/>
      <w:bookmarkEnd w:id="1331"/>
    </w:p>
    <w:p w14:paraId="42611EE3">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4</w:t>
      </w:r>
      <w:r>
        <w:rPr>
          <w:rFonts w:hint="eastAsia" w:ascii="宋体" w:hAnsi="宋体"/>
          <w:szCs w:val="21"/>
          <w:highlight w:val="none"/>
        </w:rPr>
        <w:t>.3.1评标委员会根据评标办法前附表中规定的评审因素和评审标准，对投标人的投标文件进行响应性评审，并使用</w:t>
      </w:r>
      <w:r>
        <w:rPr>
          <w:rFonts w:hint="eastAsia" w:ascii="宋体" w:hAnsi="宋体"/>
          <w:b/>
          <w:szCs w:val="21"/>
          <w:highlight w:val="none"/>
        </w:rPr>
        <w:t>附表A-</w:t>
      </w:r>
      <w:r>
        <w:rPr>
          <w:rFonts w:hint="eastAsia" w:ascii="宋体" w:hAnsi="宋体"/>
          <w:b/>
          <w:szCs w:val="21"/>
          <w:highlight w:val="none"/>
          <w:lang w:val="en-US" w:eastAsia="zh-CN"/>
        </w:rPr>
        <w:t>7</w:t>
      </w:r>
      <w:r>
        <w:rPr>
          <w:rFonts w:hint="eastAsia" w:ascii="宋体" w:hAnsi="宋体"/>
          <w:szCs w:val="21"/>
          <w:highlight w:val="none"/>
        </w:rPr>
        <w:t>记录评审结果。</w:t>
      </w:r>
    </w:p>
    <w:p w14:paraId="0BD09CD1">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4</w:t>
      </w:r>
      <w:r>
        <w:rPr>
          <w:rFonts w:hint="eastAsia" w:ascii="宋体" w:hAnsi="宋体"/>
          <w:szCs w:val="21"/>
          <w:highlight w:val="none"/>
        </w:rPr>
        <w:t>.3.2投标人投标价格不得超出(不含等于)按照第二章“投标人须知”前附表载明的招标控制价总价（投标人投标价格是指投标函中的大写报价或经投标人确认的算术错误修正后的价格不超过本项目招标控制价总价），凡投标人的投标价格超出招标控制价总价的，该投标人的投标文件不能通过响应性评审。</w:t>
      </w:r>
    </w:p>
    <w:p w14:paraId="31A60BA8">
      <w:pPr>
        <w:pStyle w:val="98"/>
        <w:rPr>
          <w:rFonts w:hint="eastAsia"/>
          <w:b/>
          <w:sz w:val="21"/>
          <w:szCs w:val="21"/>
          <w:highlight w:val="none"/>
        </w:rPr>
      </w:pPr>
      <w:bookmarkStart w:id="1332" w:name="_Toc30753"/>
      <w:bookmarkStart w:id="1333" w:name="_Toc107387615"/>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4</w:t>
      </w:r>
      <w:r>
        <w:rPr>
          <w:rFonts w:hint="eastAsia"/>
          <w:b/>
          <w:sz w:val="21"/>
          <w:szCs w:val="21"/>
          <w:highlight w:val="none"/>
        </w:rPr>
        <w:t>算术错误修正</w:t>
      </w:r>
      <w:bookmarkEnd w:id="1332"/>
      <w:bookmarkEnd w:id="1333"/>
    </w:p>
    <w:p w14:paraId="79084489">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评标委员会依据本章中规定的相关原则对投标报价中存在的算术错误进行修正，修正的价格经投标人书面确认后具有约束力。投标人不接受修正价格的，或者</w:t>
      </w:r>
      <w:r>
        <w:rPr>
          <w:rFonts w:ascii="宋体" w:hAnsi="宋体"/>
          <w:szCs w:val="21"/>
          <w:highlight w:val="none"/>
        </w:rPr>
        <w:t>修正后</w:t>
      </w:r>
      <w:r>
        <w:rPr>
          <w:rFonts w:hint="eastAsia" w:ascii="宋体" w:hAnsi="宋体"/>
          <w:szCs w:val="21"/>
          <w:highlight w:val="none"/>
        </w:rPr>
        <w:t>的价格</w:t>
      </w:r>
      <w:r>
        <w:rPr>
          <w:rFonts w:ascii="宋体" w:hAnsi="宋体"/>
          <w:szCs w:val="21"/>
          <w:highlight w:val="none"/>
        </w:rPr>
        <w:t>与投标报价相比偏差在</w:t>
      </w:r>
      <w:r>
        <w:rPr>
          <w:rFonts w:hint="eastAsia" w:ascii="宋体" w:hAnsi="宋体"/>
          <w:szCs w:val="21"/>
          <w:highlight w:val="none"/>
        </w:rPr>
        <w:t>±1</w:t>
      </w:r>
      <w:r>
        <w:rPr>
          <w:rFonts w:ascii="宋体" w:hAnsi="宋体"/>
          <w:szCs w:val="21"/>
          <w:highlight w:val="none"/>
        </w:rPr>
        <w:t>%以上</w:t>
      </w:r>
      <w:r>
        <w:rPr>
          <w:rFonts w:hint="eastAsia" w:ascii="宋体" w:hAnsi="宋体"/>
          <w:szCs w:val="21"/>
          <w:highlight w:val="none"/>
        </w:rPr>
        <w:t>的，或者修正后的投标价格超过招标控制价总价的（如有），其投标应当被否决。</w:t>
      </w:r>
    </w:p>
    <w:p w14:paraId="0B2E7C73">
      <w:pPr>
        <w:pStyle w:val="98"/>
        <w:rPr>
          <w:rFonts w:hint="eastAsia"/>
          <w:b/>
          <w:sz w:val="21"/>
          <w:szCs w:val="21"/>
          <w:highlight w:val="none"/>
        </w:rPr>
      </w:pPr>
      <w:bookmarkStart w:id="1334" w:name="_Toc107387616"/>
      <w:bookmarkStart w:id="1335" w:name="_Toc8849"/>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5</w:t>
      </w:r>
      <w:r>
        <w:rPr>
          <w:rFonts w:hint="eastAsia"/>
          <w:b/>
          <w:sz w:val="21"/>
          <w:szCs w:val="21"/>
          <w:highlight w:val="none"/>
        </w:rPr>
        <w:t xml:space="preserve"> 判断投标报价是否低于成本</w:t>
      </w:r>
      <w:bookmarkEnd w:id="1334"/>
      <w:bookmarkEnd w:id="1335"/>
    </w:p>
    <w:p w14:paraId="2DB3944D">
      <w:pPr>
        <w:adjustRightInd w:val="0"/>
        <w:snapToGrid w:val="0"/>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根据本章第3.</w:t>
      </w: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项的规定，评标委员会根据第二章“投标人须知”前附表</w:t>
      </w:r>
      <w:r>
        <w:rPr>
          <w:rFonts w:hint="eastAsia" w:ascii="宋体" w:hAnsi="宋体"/>
          <w:szCs w:val="21"/>
          <w:highlight w:val="none"/>
          <w:lang w:val="en-US" w:eastAsia="zh-CN"/>
        </w:rPr>
        <w:t>10.3条</w:t>
      </w:r>
      <w:r>
        <w:rPr>
          <w:rFonts w:hint="eastAsia" w:ascii="宋体" w:hAnsi="宋体"/>
          <w:szCs w:val="21"/>
          <w:highlight w:val="none"/>
        </w:rPr>
        <w:t>载明的程序、标准和方法，判断投标报价是否低于其成本。评标委员会认定投标人以低于成本竞标的，其投标应当被否决。</w:t>
      </w:r>
    </w:p>
    <w:p w14:paraId="3121A2E2">
      <w:pPr>
        <w:pStyle w:val="98"/>
        <w:rPr>
          <w:rFonts w:hint="eastAsia"/>
          <w:b/>
          <w:sz w:val="21"/>
          <w:szCs w:val="21"/>
          <w:highlight w:val="none"/>
        </w:rPr>
      </w:pPr>
      <w:bookmarkStart w:id="1336" w:name="_Toc28151"/>
      <w:bookmarkStart w:id="1337" w:name="_Toc107387617"/>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6</w:t>
      </w:r>
      <w:r>
        <w:rPr>
          <w:rFonts w:hint="eastAsia"/>
          <w:b/>
          <w:sz w:val="21"/>
          <w:szCs w:val="21"/>
          <w:highlight w:val="none"/>
        </w:rPr>
        <w:t xml:space="preserve"> 判断投标是否为应当被否决</w:t>
      </w:r>
      <w:bookmarkEnd w:id="1336"/>
      <w:bookmarkEnd w:id="1337"/>
    </w:p>
    <w:p w14:paraId="75B29F1C">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A3.</w:t>
      </w:r>
      <w:r>
        <w:rPr>
          <w:rFonts w:hint="eastAsia" w:ascii="宋体" w:hAnsi="宋体"/>
          <w:szCs w:val="21"/>
          <w:highlight w:val="none"/>
          <w:lang w:val="en-US" w:eastAsia="zh-CN"/>
        </w:rPr>
        <w:t>6</w:t>
      </w:r>
      <w:r>
        <w:rPr>
          <w:rFonts w:hint="eastAsia" w:ascii="宋体" w:hAnsi="宋体"/>
          <w:szCs w:val="21"/>
          <w:highlight w:val="none"/>
        </w:rPr>
        <w:t>.1</w:t>
      </w:r>
      <w:r>
        <w:rPr>
          <w:rFonts w:hint="eastAsia" w:ascii="黑体" w:hAnsi="宋体" w:eastAsia="黑体"/>
          <w:szCs w:val="21"/>
          <w:highlight w:val="none"/>
        </w:rPr>
        <w:t xml:space="preserve"> </w:t>
      </w:r>
      <w:r>
        <w:rPr>
          <w:rFonts w:hint="eastAsia" w:ascii="宋体" w:hAnsi="宋体"/>
          <w:szCs w:val="21"/>
          <w:highlight w:val="none"/>
        </w:rPr>
        <w:t>判断投标人的投标是否应当被否决的全部条件，在本章前附表中集中列示。并使用</w:t>
      </w:r>
      <w:r>
        <w:rPr>
          <w:rFonts w:hint="eastAsia" w:ascii="宋体" w:hAnsi="宋体"/>
          <w:b/>
          <w:szCs w:val="21"/>
          <w:highlight w:val="none"/>
        </w:rPr>
        <w:t>附表A-1</w:t>
      </w:r>
      <w:r>
        <w:rPr>
          <w:rFonts w:hint="eastAsia" w:ascii="宋体" w:hAnsi="宋体"/>
          <w:b/>
          <w:szCs w:val="21"/>
          <w:highlight w:val="none"/>
          <w:lang w:val="en-US" w:eastAsia="zh-CN"/>
        </w:rPr>
        <w:t>2</w:t>
      </w:r>
      <w:r>
        <w:rPr>
          <w:rFonts w:hint="eastAsia" w:ascii="宋体" w:hAnsi="宋体"/>
          <w:szCs w:val="21"/>
          <w:highlight w:val="none"/>
        </w:rPr>
        <w:t>记录评审结果。</w:t>
      </w:r>
    </w:p>
    <w:p w14:paraId="576B0F4F">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A3.</w:t>
      </w:r>
      <w:r>
        <w:rPr>
          <w:rFonts w:hint="eastAsia" w:ascii="宋体" w:hAnsi="宋体"/>
          <w:szCs w:val="21"/>
          <w:highlight w:val="none"/>
          <w:lang w:val="en-US" w:eastAsia="zh-CN"/>
        </w:rPr>
        <w:t>6</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评标委员会在评标(包括初步评审和详细评审)过程中，依据本章前附表和正文部分中规定的否决投标的条件判断投标人的投标是否为应当被否决。</w:t>
      </w:r>
    </w:p>
    <w:p w14:paraId="53273A3E">
      <w:pPr>
        <w:pStyle w:val="98"/>
        <w:rPr>
          <w:rFonts w:hint="eastAsia"/>
          <w:b/>
          <w:sz w:val="21"/>
          <w:szCs w:val="21"/>
          <w:highlight w:val="none"/>
        </w:rPr>
      </w:pPr>
      <w:bookmarkStart w:id="1338" w:name="_Toc29052"/>
      <w:bookmarkStart w:id="1339" w:name="_Toc107387618"/>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7</w:t>
      </w:r>
      <w:r>
        <w:rPr>
          <w:rFonts w:hint="eastAsia"/>
          <w:b/>
          <w:sz w:val="21"/>
          <w:szCs w:val="21"/>
          <w:highlight w:val="none"/>
        </w:rPr>
        <w:t xml:space="preserve"> 澄清、说明或补正</w:t>
      </w:r>
      <w:bookmarkEnd w:id="1338"/>
      <w:bookmarkEnd w:id="1339"/>
    </w:p>
    <w:p w14:paraId="53D20AEB">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在初步评审过程中，评标委员会应当就投标文件中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w:t>
      </w:r>
      <w:r>
        <w:rPr>
          <w:rFonts w:hint="eastAsia" w:ascii="宋体" w:hAnsi="宋体"/>
          <w:szCs w:val="21"/>
          <w:highlight w:val="none"/>
          <w:lang w:val="en-US" w:eastAsia="zh-CN"/>
        </w:rPr>
        <w:t>5</w:t>
      </w:r>
      <w:r>
        <w:rPr>
          <w:rFonts w:hint="eastAsia" w:ascii="宋体" w:hAnsi="宋体"/>
          <w:szCs w:val="21"/>
          <w:highlight w:val="none"/>
        </w:rPr>
        <w:t>款的规定执行。《</w:t>
      </w:r>
      <w:r>
        <w:rPr>
          <w:rFonts w:hint="eastAsia"/>
          <w:highlight w:val="none"/>
        </w:rPr>
        <w:t>投标文件</w:t>
      </w:r>
      <w:r>
        <w:rPr>
          <w:rFonts w:hint="eastAsia" w:ascii="宋体" w:hAnsi="宋体"/>
          <w:szCs w:val="21"/>
          <w:highlight w:val="none"/>
        </w:rPr>
        <w:t>澄清通知》及《</w:t>
      </w:r>
      <w:r>
        <w:rPr>
          <w:rFonts w:hint="eastAsia"/>
          <w:highlight w:val="none"/>
        </w:rPr>
        <w:t>投标文件</w:t>
      </w:r>
      <w:r>
        <w:rPr>
          <w:rFonts w:hint="eastAsia" w:ascii="宋体" w:hAnsi="宋体"/>
          <w:szCs w:val="21"/>
          <w:highlight w:val="none"/>
        </w:rPr>
        <w:t>的澄清》采用投标人须知附表六与投标人须知附表七所提供的格式，并</w:t>
      </w:r>
      <w:r>
        <w:rPr>
          <w:rFonts w:hint="eastAsia"/>
          <w:highlight w:val="none"/>
        </w:rPr>
        <w:t>通过“电子交易平台”“投标文件澄清”菜单以书面形式进行。</w:t>
      </w:r>
    </w:p>
    <w:p w14:paraId="116734BD">
      <w:pPr>
        <w:pStyle w:val="98"/>
        <w:rPr>
          <w:rFonts w:hint="eastAsia"/>
          <w:highlight w:val="none"/>
        </w:rPr>
      </w:pPr>
      <w:bookmarkStart w:id="1340" w:name="_Toc107387619"/>
      <w:bookmarkStart w:id="1341" w:name="_Toc27768"/>
      <w:r>
        <w:rPr>
          <w:rFonts w:hint="eastAsia"/>
          <w:highlight w:val="none"/>
        </w:rPr>
        <w:t>A</w:t>
      </w:r>
      <w:r>
        <w:rPr>
          <w:rFonts w:hint="eastAsia"/>
          <w:highlight w:val="none"/>
          <w:lang w:val="en-US" w:eastAsia="zh-CN"/>
        </w:rPr>
        <w:t>5</w:t>
      </w:r>
      <w:r>
        <w:rPr>
          <w:rFonts w:hint="eastAsia"/>
          <w:highlight w:val="none"/>
        </w:rPr>
        <w:t>．详细评审</w:t>
      </w:r>
      <w:bookmarkEnd w:id="1340"/>
      <w:bookmarkEnd w:id="1341"/>
    </w:p>
    <w:p w14:paraId="7BE2D84B">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只有通过了初步评审、被判定为合格的投标方可进入详细评审。</w:t>
      </w:r>
    </w:p>
    <w:p w14:paraId="66225FC6">
      <w:pPr>
        <w:pStyle w:val="98"/>
        <w:rPr>
          <w:rFonts w:hint="eastAsia"/>
          <w:b/>
          <w:sz w:val="21"/>
          <w:szCs w:val="21"/>
          <w:highlight w:val="none"/>
        </w:rPr>
      </w:pPr>
      <w:bookmarkStart w:id="1342" w:name="_Toc31392"/>
      <w:bookmarkStart w:id="1343" w:name="_Toc28563108"/>
      <w:bookmarkStart w:id="1344" w:name="_Toc107387624"/>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.1详细评审的程序</w:t>
      </w:r>
      <w:bookmarkEnd w:id="1342"/>
      <w:bookmarkEnd w:id="1343"/>
    </w:p>
    <w:p w14:paraId="6FC56F7F">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评标委员会按照本章第3.4款中规定的程序进行详细评审：</w:t>
      </w:r>
    </w:p>
    <w:p w14:paraId="6CB98BD6">
      <w:pPr>
        <w:numPr>
          <w:ilvl w:val="0"/>
          <w:numId w:val="2"/>
        </w:numPr>
        <w:adjustRightInd w:val="0"/>
        <w:snapToGrid w:val="0"/>
        <w:spacing w:line="430" w:lineRule="exact"/>
        <w:ind w:firstLine="420" w:firstLineChars="200"/>
        <w:rPr>
          <w:rFonts w:hint="eastAsia" w:ascii="宋体" w:hAnsi="宋体"/>
          <w:szCs w:val="21"/>
          <w:highlight w:val="none"/>
        </w:rPr>
      </w:pPr>
      <w:r>
        <w:rPr>
          <w:rFonts w:hint="eastAsia"/>
          <w:highlight w:val="none"/>
        </w:rPr>
        <w:t>承包人建议书</w:t>
      </w:r>
      <w:r>
        <w:rPr>
          <w:rFonts w:hint="eastAsia"/>
          <w:highlight w:val="none"/>
          <w:lang w:eastAsia="zh-CN"/>
        </w:rPr>
        <w:t>；</w:t>
      </w:r>
    </w:p>
    <w:p w14:paraId="2CFA71FF">
      <w:pPr>
        <w:numPr>
          <w:ilvl w:val="0"/>
          <w:numId w:val="2"/>
        </w:numPr>
        <w:adjustRightInd w:val="0"/>
        <w:snapToGrid w:val="0"/>
        <w:spacing w:line="430" w:lineRule="exact"/>
        <w:ind w:firstLine="420" w:firstLineChars="200"/>
        <w:rPr>
          <w:rFonts w:hint="eastAsia" w:ascii="宋体" w:hAnsi="宋体"/>
          <w:szCs w:val="21"/>
          <w:highlight w:val="none"/>
        </w:rPr>
      </w:pP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部分评</w:t>
      </w:r>
      <w:r>
        <w:rPr>
          <w:rFonts w:ascii="Calibri" w:hAnsi="Calibri" w:eastAsia="宋体" w:cs="Times New Roman"/>
          <w:color w:val="auto"/>
          <w:szCs w:val="21"/>
          <w:highlight w:val="none"/>
        </w:rPr>
        <w:t>分</w:t>
      </w:r>
      <w:r>
        <w:rPr>
          <w:rFonts w:hint="eastAsia" w:ascii="宋体" w:hAnsi="宋体"/>
          <w:szCs w:val="21"/>
          <w:highlight w:val="none"/>
        </w:rPr>
        <w:t>；</w:t>
      </w:r>
    </w:p>
    <w:p w14:paraId="23F2D933">
      <w:pPr>
        <w:numPr>
          <w:ilvl w:val="0"/>
          <w:numId w:val="0"/>
        </w:num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w:t>
      </w:r>
      <w:r>
        <w:rPr>
          <w:rFonts w:ascii="Calibri" w:hAnsi="Calibri" w:eastAsia="宋体" w:cs="Times New Roman"/>
          <w:color w:val="auto"/>
          <w:szCs w:val="21"/>
          <w:highlight w:val="none"/>
        </w:rPr>
        <w:t>其他评分因素</w:t>
      </w:r>
      <w:r>
        <w:rPr>
          <w:rFonts w:hint="eastAsia" w:ascii="Calibri" w:hAnsi="Calibri" w:cs="Times New Roman"/>
          <w:color w:val="auto"/>
          <w:szCs w:val="21"/>
          <w:highlight w:val="none"/>
          <w:lang w:val="en-US" w:eastAsia="zh-CN"/>
        </w:rPr>
        <w:t>评分</w:t>
      </w:r>
      <w:r>
        <w:rPr>
          <w:rFonts w:hint="eastAsia" w:ascii="宋体" w:hAnsi="宋体"/>
          <w:szCs w:val="21"/>
          <w:highlight w:val="none"/>
        </w:rPr>
        <w:t>；</w:t>
      </w:r>
    </w:p>
    <w:p w14:paraId="3BCBD40B">
      <w:pPr>
        <w:adjustRightInd w:val="0"/>
        <w:snapToGrid w:val="0"/>
        <w:spacing w:line="43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w:t>
      </w:r>
      <w:r>
        <w:rPr>
          <w:rFonts w:hint="eastAsia" w:ascii="宋体" w:hAnsi="宋体"/>
          <w:szCs w:val="21"/>
          <w:highlight w:val="none"/>
          <w:lang w:val="en-US" w:eastAsia="zh-CN"/>
        </w:rPr>
        <w:t>4</w:t>
      </w:r>
      <w:r>
        <w:rPr>
          <w:rFonts w:hint="eastAsia" w:ascii="宋体" w:hAnsi="宋体"/>
          <w:szCs w:val="21"/>
          <w:highlight w:val="none"/>
        </w:rPr>
        <w:t>）投标报价</w:t>
      </w:r>
      <w:r>
        <w:rPr>
          <w:rFonts w:hint="eastAsia" w:ascii="宋体" w:hAnsi="宋体"/>
          <w:szCs w:val="21"/>
          <w:highlight w:val="none"/>
          <w:lang w:val="en-US" w:eastAsia="zh-CN"/>
        </w:rPr>
        <w:t>评审和</w:t>
      </w:r>
      <w:r>
        <w:rPr>
          <w:rFonts w:hint="eastAsia" w:ascii="宋体" w:hAnsi="宋体"/>
          <w:szCs w:val="21"/>
          <w:highlight w:val="none"/>
        </w:rPr>
        <w:t>评分</w:t>
      </w:r>
      <w:r>
        <w:rPr>
          <w:rFonts w:hint="eastAsia" w:ascii="宋体" w:hAnsi="宋体"/>
          <w:szCs w:val="21"/>
          <w:highlight w:val="none"/>
          <w:lang w:eastAsia="zh-CN"/>
        </w:rPr>
        <w:t>。</w:t>
      </w:r>
    </w:p>
    <w:p w14:paraId="09DCBC5B">
      <w:pPr>
        <w:pStyle w:val="98"/>
        <w:rPr>
          <w:rFonts w:hint="eastAsia"/>
          <w:b/>
          <w:sz w:val="21"/>
          <w:szCs w:val="21"/>
          <w:highlight w:val="none"/>
        </w:rPr>
      </w:pPr>
      <w:bookmarkStart w:id="1345" w:name="_Toc11776"/>
      <w:bookmarkStart w:id="1346" w:name="_Toc28563111"/>
      <w:r>
        <w:rPr>
          <w:rFonts w:hint="eastAsia"/>
          <w:b/>
          <w:sz w:val="21"/>
          <w:szCs w:val="21"/>
          <w:highlight w:val="none"/>
        </w:rPr>
        <w:t>A5.</w:t>
      </w:r>
      <w:r>
        <w:rPr>
          <w:rFonts w:hint="eastAsia"/>
          <w:b/>
          <w:sz w:val="21"/>
          <w:szCs w:val="21"/>
          <w:highlight w:val="none"/>
          <w:lang w:val="en-US" w:eastAsia="zh-CN"/>
        </w:rPr>
        <w:t>2承包人建议书部分评</w:t>
      </w:r>
      <w:r>
        <w:rPr>
          <w:rFonts w:hint="eastAsia"/>
          <w:b/>
          <w:sz w:val="21"/>
          <w:szCs w:val="21"/>
          <w:highlight w:val="none"/>
        </w:rPr>
        <w:t>分</w:t>
      </w:r>
      <w:bookmarkEnd w:id="1345"/>
    </w:p>
    <w:p w14:paraId="0A4A4615">
      <w:pPr>
        <w:adjustRightInd w:val="0"/>
        <w:snapToGrid w:val="0"/>
        <w:spacing w:line="430" w:lineRule="exact"/>
        <w:ind w:firstLine="420" w:firstLineChars="200"/>
        <w:rPr>
          <w:rFonts w:hint="eastAsia"/>
          <w:highlight w:val="none"/>
        </w:rPr>
      </w:pPr>
      <w:r>
        <w:rPr>
          <w:rFonts w:hint="eastAsia" w:ascii="宋体" w:hAnsi="宋体"/>
          <w:szCs w:val="21"/>
          <w:highlight w:val="none"/>
        </w:rPr>
        <w:t>按照评标办法前附表中规定的分值设定、各项评分因素、评分标准，对</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进行评审和评分，并使用</w:t>
      </w:r>
      <w:r>
        <w:rPr>
          <w:rFonts w:hint="eastAsia" w:ascii="宋体" w:hAnsi="宋体"/>
          <w:b/>
          <w:color w:val="000000" w:themeColor="text1"/>
          <w:szCs w:val="21"/>
          <w:highlight w:val="none"/>
          <w14:textFill>
            <w14:solidFill>
              <w14:schemeClr w14:val="tx1"/>
            </w14:solidFill>
          </w14:textFill>
        </w:rPr>
        <w:t>附表A-8</w:t>
      </w:r>
      <w:r>
        <w:rPr>
          <w:rFonts w:hint="eastAsia" w:ascii="宋体" w:hAnsi="宋体"/>
          <w:color w:val="000000" w:themeColor="text1"/>
          <w:szCs w:val="21"/>
          <w:highlight w:val="none"/>
          <w14:textFill>
            <w14:solidFill>
              <w14:schemeClr w14:val="tx1"/>
            </w14:solidFill>
          </w14:textFill>
        </w:rPr>
        <w:t>记录</w:t>
      </w:r>
      <w:r>
        <w:rPr>
          <w:rFonts w:hint="eastAsia" w:ascii="宋体" w:hAnsi="宋体"/>
          <w:szCs w:val="21"/>
          <w:highlight w:val="none"/>
        </w:rPr>
        <w:t>对</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的评分结果，</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的得分记录为</w:t>
      </w:r>
      <w:r>
        <w:rPr>
          <w:rFonts w:hint="eastAsia"/>
          <w:b w:val="0"/>
          <w:bCs w:val="0"/>
          <w:color w:val="auto"/>
          <w:highlight w:val="none"/>
          <w:lang w:val="en-US" w:eastAsia="zh-CN"/>
        </w:rPr>
        <w:t>B</w:t>
      </w:r>
      <w:r>
        <w:rPr>
          <w:rFonts w:hint="eastAsia" w:ascii="宋体" w:hAnsi="宋体"/>
          <w:szCs w:val="21"/>
          <w:highlight w:val="none"/>
        </w:rPr>
        <w:t>。</w:t>
      </w:r>
    </w:p>
    <w:p w14:paraId="6DC21256">
      <w:pPr>
        <w:pStyle w:val="98"/>
        <w:rPr>
          <w:rFonts w:hint="eastAsia"/>
          <w:b/>
          <w:sz w:val="21"/>
          <w:szCs w:val="21"/>
          <w:highlight w:val="none"/>
        </w:rPr>
      </w:pPr>
      <w:bookmarkStart w:id="1347" w:name="_Toc10439"/>
      <w:r>
        <w:rPr>
          <w:rFonts w:hint="eastAsia"/>
          <w:b/>
          <w:sz w:val="21"/>
          <w:szCs w:val="21"/>
          <w:highlight w:val="none"/>
        </w:rPr>
        <w:t>A5.</w:t>
      </w:r>
      <w:bookmarkEnd w:id="1346"/>
      <w:r>
        <w:rPr>
          <w:rFonts w:hint="eastAsia"/>
          <w:b/>
          <w:sz w:val="21"/>
          <w:szCs w:val="21"/>
          <w:highlight w:val="none"/>
          <w:lang w:val="en-US" w:eastAsia="zh-CN"/>
        </w:rPr>
        <w:t>3</w:t>
      </w:r>
      <w:r>
        <w:rPr>
          <w:rFonts w:hint="eastAsia"/>
          <w:b/>
          <w:sz w:val="21"/>
          <w:szCs w:val="21"/>
          <w:highlight w:val="none"/>
        </w:rPr>
        <w:t>资信业绩</w:t>
      </w:r>
      <w:r>
        <w:rPr>
          <w:rFonts w:hint="eastAsia"/>
          <w:b/>
          <w:sz w:val="21"/>
          <w:szCs w:val="21"/>
          <w:highlight w:val="none"/>
          <w:lang w:val="en-US" w:eastAsia="zh-CN"/>
        </w:rPr>
        <w:t>部分评</w:t>
      </w:r>
      <w:r>
        <w:rPr>
          <w:rFonts w:hint="eastAsia"/>
          <w:b/>
          <w:sz w:val="21"/>
          <w:szCs w:val="21"/>
          <w:highlight w:val="none"/>
        </w:rPr>
        <w:t>分</w:t>
      </w:r>
      <w:bookmarkEnd w:id="1347"/>
    </w:p>
    <w:p w14:paraId="6F56438A">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按照评标办法前附表中规定的分值设定、各项评分因素、评分标准，对</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进行评审和评分，并使用</w:t>
      </w:r>
      <w:r>
        <w:rPr>
          <w:rFonts w:hint="eastAsia" w:ascii="宋体" w:hAnsi="宋体"/>
          <w:b/>
          <w:szCs w:val="21"/>
          <w:highlight w:val="none"/>
        </w:rPr>
        <w:t>附表A-</w:t>
      </w:r>
      <w:r>
        <w:rPr>
          <w:rFonts w:hint="eastAsia" w:ascii="宋体" w:hAnsi="宋体"/>
          <w:b/>
          <w:szCs w:val="21"/>
          <w:highlight w:val="none"/>
          <w:lang w:val="en-US" w:eastAsia="zh-CN"/>
        </w:rPr>
        <w:t>9</w:t>
      </w:r>
      <w:r>
        <w:rPr>
          <w:rFonts w:hint="eastAsia" w:ascii="宋体" w:hAnsi="宋体"/>
          <w:szCs w:val="21"/>
          <w:highlight w:val="none"/>
        </w:rPr>
        <w:t>记录对</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的评分结果，</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的得分记录为</w:t>
      </w:r>
      <w:r>
        <w:rPr>
          <w:rFonts w:hint="eastAsia"/>
          <w:color w:val="auto"/>
          <w:highlight w:val="none"/>
          <w:lang w:val="en-US" w:eastAsia="zh-CN"/>
        </w:rPr>
        <w:t>C</w:t>
      </w:r>
      <w:r>
        <w:rPr>
          <w:rFonts w:hint="eastAsia" w:ascii="宋体" w:hAnsi="宋体"/>
          <w:szCs w:val="21"/>
          <w:highlight w:val="none"/>
        </w:rPr>
        <w:t>。</w:t>
      </w:r>
    </w:p>
    <w:p w14:paraId="75F6FBCE">
      <w:pPr>
        <w:pStyle w:val="98"/>
        <w:rPr>
          <w:rFonts w:hint="eastAsia"/>
          <w:b/>
          <w:sz w:val="21"/>
          <w:szCs w:val="21"/>
          <w:highlight w:val="none"/>
        </w:rPr>
      </w:pPr>
      <w:bookmarkStart w:id="1348" w:name="_Toc11888"/>
      <w:bookmarkStart w:id="1349" w:name="_Toc28563109"/>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w:t>
      </w:r>
      <w:r>
        <w:rPr>
          <w:rFonts w:hint="eastAsia"/>
          <w:b/>
          <w:sz w:val="21"/>
          <w:szCs w:val="21"/>
          <w:highlight w:val="none"/>
          <w:lang w:val="en-US" w:eastAsia="zh-CN"/>
        </w:rPr>
        <w:t>4</w:t>
      </w:r>
      <w:r>
        <w:rPr>
          <w:rFonts w:hint="eastAsia"/>
          <w:b/>
          <w:sz w:val="21"/>
          <w:szCs w:val="21"/>
          <w:highlight w:val="none"/>
        </w:rPr>
        <w:t xml:space="preserve"> 其他因素的评审和评分</w:t>
      </w:r>
      <w:bookmarkEnd w:id="1348"/>
    </w:p>
    <w:p w14:paraId="1A4A7D03">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根据评标办法前附表中规定的分值设定、各项评分因素和相应的评分标准，对其他因素(如果有)进行评审和评分，并使用</w:t>
      </w:r>
      <w:r>
        <w:rPr>
          <w:rFonts w:hint="eastAsia" w:ascii="宋体" w:hAnsi="宋体"/>
          <w:b/>
          <w:szCs w:val="21"/>
          <w:highlight w:val="none"/>
        </w:rPr>
        <w:t>附表A-</w:t>
      </w:r>
      <w:r>
        <w:rPr>
          <w:rFonts w:hint="eastAsia" w:ascii="宋体" w:hAnsi="宋体"/>
          <w:b/>
          <w:szCs w:val="21"/>
          <w:highlight w:val="none"/>
          <w:lang w:val="en-US" w:eastAsia="zh-CN"/>
        </w:rPr>
        <w:t>10</w:t>
      </w:r>
      <w:r>
        <w:rPr>
          <w:rFonts w:hint="eastAsia" w:ascii="宋体" w:hAnsi="宋体"/>
          <w:szCs w:val="21"/>
          <w:highlight w:val="none"/>
        </w:rPr>
        <w:t>记录对其他因素的评分结果，其他因素的得分记录为</w:t>
      </w:r>
      <w:r>
        <w:rPr>
          <w:rFonts w:hint="eastAsia"/>
          <w:color w:val="auto"/>
          <w:highlight w:val="none"/>
          <w:lang w:val="en-US" w:eastAsia="zh-CN"/>
        </w:rPr>
        <w:t>D</w:t>
      </w:r>
      <w:r>
        <w:rPr>
          <w:rFonts w:hint="eastAsia" w:ascii="宋体" w:hAnsi="宋体"/>
          <w:szCs w:val="21"/>
          <w:highlight w:val="none"/>
        </w:rPr>
        <w:t>。</w:t>
      </w:r>
    </w:p>
    <w:p w14:paraId="41E36DEE">
      <w:pPr>
        <w:pStyle w:val="98"/>
        <w:rPr>
          <w:rFonts w:hint="eastAsia"/>
          <w:b/>
          <w:sz w:val="21"/>
          <w:szCs w:val="21"/>
          <w:highlight w:val="none"/>
        </w:rPr>
      </w:pPr>
      <w:bookmarkStart w:id="1350" w:name="_Toc23910"/>
      <w:r>
        <w:rPr>
          <w:rFonts w:hint="eastAsia"/>
          <w:b/>
          <w:sz w:val="21"/>
          <w:szCs w:val="21"/>
          <w:highlight w:val="none"/>
        </w:rPr>
        <w:t>A5.</w:t>
      </w:r>
      <w:r>
        <w:rPr>
          <w:rFonts w:hint="eastAsia"/>
          <w:b/>
          <w:sz w:val="21"/>
          <w:szCs w:val="21"/>
          <w:highlight w:val="none"/>
          <w:lang w:val="en-US" w:eastAsia="zh-CN"/>
        </w:rPr>
        <w:t>5</w:t>
      </w:r>
      <w:r>
        <w:rPr>
          <w:rFonts w:hint="eastAsia"/>
          <w:b/>
          <w:sz w:val="21"/>
          <w:szCs w:val="21"/>
          <w:highlight w:val="none"/>
        </w:rPr>
        <w:t>投标报价评审和评分</w:t>
      </w:r>
      <w:bookmarkEnd w:id="1349"/>
      <w:bookmarkEnd w:id="1350"/>
    </w:p>
    <w:p w14:paraId="468E1A22">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.1按照评标办法前附表中规定的方法计算“评标基准价”。</w:t>
      </w:r>
    </w:p>
    <w:p w14:paraId="11D9DE1A">
      <w:pPr>
        <w:adjustRightInd w:val="0"/>
        <w:snapToGrid w:val="0"/>
        <w:spacing w:before="48" w:beforeLines="20"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.2按照评标办法前附表中规定的方法，计算各个已通过了初步评审的投标报价的“偏差率”。</w:t>
      </w:r>
    </w:p>
    <w:p w14:paraId="73844949">
      <w:pPr>
        <w:adjustRightInd w:val="0"/>
        <w:snapToGrid w:val="0"/>
        <w:spacing w:before="48" w:beforeLines="20"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.3按照评标办法前附表中规定的评分标准，对照投标报价的偏差率，分别对各个投标报价进行评分，使用</w:t>
      </w:r>
      <w:r>
        <w:rPr>
          <w:rFonts w:hint="eastAsia" w:ascii="宋体" w:hAnsi="宋体"/>
          <w:b/>
          <w:szCs w:val="21"/>
          <w:highlight w:val="none"/>
        </w:rPr>
        <w:t>附表A-</w:t>
      </w:r>
      <w:r>
        <w:rPr>
          <w:rFonts w:hint="eastAsia" w:ascii="宋体" w:hAnsi="宋体"/>
          <w:b/>
          <w:szCs w:val="21"/>
          <w:highlight w:val="none"/>
          <w:lang w:val="en-US" w:eastAsia="zh-CN"/>
        </w:rPr>
        <w:t>11</w:t>
      </w:r>
      <w:r>
        <w:rPr>
          <w:rFonts w:hint="eastAsia" w:ascii="宋体" w:hAnsi="宋体"/>
          <w:szCs w:val="21"/>
          <w:highlight w:val="none"/>
        </w:rPr>
        <w:t>记录对投标报价的评分结果，投标报价的得分记录为</w:t>
      </w:r>
      <w:r>
        <w:rPr>
          <w:rFonts w:hint="eastAsia"/>
          <w:color w:val="auto"/>
          <w:highlight w:val="none"/>
          <w:lang w:val="en-US" w:eastAsia="zh-CN"/>
        </w:rPr>
        <w:t>E</w:t>
      </w:r>
      <w:r>
        <w:rPr>
          <w:rFonts w:hint="eastAsia" w:ascii="宋体" w:hAnsi="宋体"/>
          <w:szCs w:val="21"/>
          <w:highlight w:val="none"/>
        </w:rPr>
        <w:t>。</w:t>
      </w:r>
    </w:p>
    <w:bookmarkEnd w:id="1344"/>
    <w:p w14:paraId="0AB9995C">
      <w:pPr>
        <w:pStyle w:val="98"/>
        <w:rPr>
          <w:rFonts w:hint="eastAsia"/>
          <w:b/>
          <w:sz w:val="21"/>
          <w:szCs w:val="21"/>
          <w:highlight w:val="none"/>
        </w:rPr>
      </w:pPr>
      <w:bookmarkStart w:id="1351" w:name="_Toc107387625"/>
      <w:bookmarkStart w:id="1352" w:name="_Toc27361"/>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w:t>
      </w:r>
      <w:r>
        <w:rPr>
          <w:rFonts w:hint="eastAsia"/>
          <w:b/>
          <w:sz w:val="21"/>
          <w:szCs w:val="21"/>
          <w:highlight w:val="none"/>
          <w:lang w:val="en-US" w:eastAsia="zh-CN"/>
        </w:rPr>
        <w:t>6</w:t>
      </w:r>
      <w:r>
        <w:rPr>
          <w:rFonts w:hint="eastAsia"/>
          <w:b/>
          <w:sz w:val="21"/>
          <w:szCs w:val="21"/>
          <w:highlight w:val="none"/>
        </w:rPr>
        <w:t xml:space="preserve"> 澄清、说明或补正</w:t>
      </w:r>
      <w:bookmarkEnd w:id="1351"/>
      <w:bookmarkEnd w:id="1352"/>
    </w:p>
    <w:p w14:paraId="4D2E1E0F">
      <w:pPr>
        <w:spacing w:line="410" w:lineRule="exact"/>
        <w:ind w:firstLine="420" w:firstLineChars="200"/>
        <w:rPr>
          <w:rFonts w:hint="eastAsia" w:ascii="宋体" w:hAnsi="宋体"/>
          <w:szCs w:val="21"/>
          <w:highlight w:val="none"/>
        </w:rPr>
      </w:pPr>
      <w:r>
        <w:rPr>
          <w:rFonts w:hint="eastAsia" w:ascii="宋体" w:hAnsi="宋体"/>
          <w:szCs w:val="21"/>
          <w:highlight w:val="none"/>
        </w:rPr>
        <w:t>在详细评审过程中，评标委员会应当就投标文件中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w:t>
      </w:r>
      <w:r>
        <w:rPr>
          <w:rFonts w:hint="eastAsia" w:ascii="宋体" w:hAnsi="宋体"/>
          <w:szCs w:val="21"/>
          <w:highlight w:val="none"/>
          <w:lang w:val="en-US" w:eastAsia="zh-CN"/>
        </w:rPr>
        <w:t>5</w:t>
      </w:r>
      <w:r>
        <w:rPr>
          <w:rFonts w:hint="eastAsia" w:ascii="宋体" w:hAnsi="宋体"/>
          <w:szCs w:val="21"/>
          <w:highlight w:val="none"/>
        </w:rPr>
        <w:t>款的规定执行。《</w:t>
      </w:r>
      <w:r>
        <w:rPr>
          <w:rFonts w:hint="eastAsia"/>
          <w:highlight w:val="none"/>
        </w:rPr>
        <w:t>投标文件</w:t>
      </w:r>
      <w:r>
        <w:rPr>
          <w:rFonts w:hint="eastAsia" w:ascii="宋体" w:hAnsi="宋体"/>
          <w:szCs w:val="21"/>
          <w:highlight w:val="none"/>
        </w:rPr>
        <w:t>澄清通知》及《</w:t>
      </w:r>
      <w:r>
        <w:rPr>
          <w:rFonts w:hint="eastAsia"/>
          <w:highlight w:val="none"/>
        </w:rPr>
        <w:t>投标文件</w:t>
      </w:r>
      <w:r>
        <w:rPr>
          <w:rFonts w:hint="eastAsia" w:ascii="宋体" w:hAnsi="宋体"/>
          <w:szCs w:val="21"/>
          <w:highlight w:val="none"/>
        </w:rPr>
        <w:t>的澄清》采用投标人须知附表七与投标人须知附表八所提供的格式，并</w:t>
      </w:r>
      <w:r>
        <w:rPr>
          <w:rFonts w:hint="eastAsia"/>
          <w:highlight w:val="none"/>
        </w:rPr>
        <w:t>通过“电子交易平台”“投标文件澄清”菜单以书面形式进行。</w:t>
      </w:r>
    </w:p>
    <w:p w14:paraId="7ECFDA33">
      <w:pPr>
        <w:pStyle w:val="98"/>
        <w:rPr>
          <w:rFonts w:hint="eastAsia"/>
          <w:b/>
          <w:color w:val="000000" w:themeColor="text1"/>
          <w:sz w:val="21"/>
          <w:szCs w:val="21"/>
          <w:highlight w:val="none"/>
          <w14:textFill>
            <w14:solidFill>
              <w14:schemeClr w14:val="tx1"/>
            </w14:solidFill>
          </w14:textFill>
        </w:rPr>
      </w:pPr>
      <w:bookmarkStart w:id="1353" w:name="_Toc9417"/>
      <w:bookmarkStart w:id="1354" w:name="_Toc107387626"/>
      <w:r>
        <w:rPr>
          <w:rFonts w:hint="eastAsia"/>
          <w:b/>
          <w:color w:val="000000" w:themeColor="text1"/>
          <w:sz w:val="21"/>
          <w:szCs w:val="21"/>
          <w:highlight w:val="none"/>
          <w14:textFill>
            <w14:solidFill>
              <w14:schemeClr w14:val="tx1"/>
            </w14:solidFill>
          </w14:textFill>
        </w:rPr>
        <w:t>A</w:t>
      </w:r>
      <w:r>
        <w:rPr>
          <w:rFonts w:hint="eastAsia"/>
          <w:b/>
          <w:color w:val="000000" w:themeColor="text1"/>
          <w:sz w:val="21"/>
          <w:szCs w:val="21"/>
          <w:highlight w:val="none"/>
          <w:lang w:val="en-US" w:eastAsia="zh-CN"/>
          <w14:textFill>
            <w14:solidFill>
              <w14:schemeClr w14:val="tx1"/>
            </w14:solidFill>
          </w14:textFill>
        </w:rPr>
        <w:t>5</w:t>
      </w:r>
      <w:r>
        <w:rPr>
          <w:rFonts w:hint="eastAsia"/>
          <w:b/>
          <w:color w:val="000000" w:themeColor="text1"/>
          <w:sz w:val="21"/>
          <w:szCs w:val="21"/>
          <w:highlight w:val="none"/>
          <w14:textFill>
            <w14:solidFill>
              <w14:schemeClr w14:val="tx1"/>
            </w14:solidFill>
          </w14:textFill>
        </w:rPr>
        <w:t>.</w:t>
      </w:r>
      <w:r>
        <w:rPr>
          <w:rFonts w:hint="eastAsia"/>
          <w:b/>
          <w:color w:val="000000" w:themeColor="text1"/>
          <w:sz w:val="21"/>
          <w:szCs w:val="21"/>
          <w:highlight w:val="none"/>
          <w:lang w:val="en-US" w:eastAsia="zh-CN"/>
          <w14:textFill>
            <w14:solidFill>
              <w14:schemeClr w14:val="tx1"/>
            </w14:solidFill>
          </w14:textFill>
        </w:rPr>
        <w:t>7综合</w:t>
      </w:r>
      <w:r>
        <w:rPr>
          <w:rFonts w:hint="eastAsia"/>
          <w:b/>
          <w:color w:val="000000" w:themeColor="text1"/>
          <w:sz w:val="21"/>
          <w:szCs w:val="21"/>
          <w:highlight w:val="none"/>
          <w14:textFill>
            <w14:solidFill>
              <w14:schemeClr w14:val="tx1"/>
            </w14:solidFill>
          </w14:textFill>
        </w:rPr>
        <w:t>评分（评审）结果</w:t>
      </w:r>
      <w:bookmarkEnd w:id="1353"/>
      <w:bookmarkEnd w:id="1354"/>
    </w:p>
    <w:p w14:paraId="61FA76F5">
      <w:pPr>
        <w:spacing w:line="360" w:lineRule="auto"/>
        <w:ind w:firstLine="420" w:firstLineChars="200"/>
        <w:rPr>
          <w:rFonts w:hint="eastAsia"/>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评标委员会的承包人建议书</w:t>
      </w:r>
      <w:r>
        <w:rPr>
          <w:rFonts w:hint="eastAsia" w:ascii="宋体" w:hAnsi="宋体"/>
          <w:color w:val="000000" w:themeColor="text1"/>
          <w:szCs w:val="21"/>
          <w:highlight w:val="none"/>
          <w:lang w:val="en-US" w:eastAsia="zh-CN"/>
          <w14:textFill>
            <w14:solidFill>
              <w14:schemeClr w14:val="tx1"/>
            </w14:solidFill>
          </w14:textFill>
        </w:rPr>
        <w:t>得分</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承包人实施方案</w:t>
      </w:r>
      <w:r>
        <w:rPr>
          <w:rFonts w:hint="eastAsia" w:ascii="宋体" w:hAnsi="宋体"/>
          <w:color w:val="000000" w:themeColor="text1"/>
          <w:szCs w:val="21"/>
          <w:highlight w:val="none"/>
          <w:lang w:val="en-US" w:eastAsia="zh-CN"/>
          <w14:textFill>
            <w14:solidFill>
              <w14:schemeClr w14:val="tx1"/>
            </w14:solidFill>
          </w14:textFill>
        </w:rPr>
        <w:t>得分</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资信业绩部分</w:t>
      </w:r>
      <w:r>
        <w:rPr>
          <w:rFonts w:hint="eastAsia" w:ascii="宋体" w:hAnsi="宋体"/>
          <w:color w:val="000000" w:themeColor="text1"/>
          <w:szCs w:val="21"/>
          <w:highlight w:val="none"/>
          <w:lang w:val="en-US" w:eastAsia="zh-CN"/>
          <w14:textFill>
            <w14:solidFill>
              <w14:schemeClr w14:val="tx1"/>
            </w14:solidFill>
          </w14:textFill>
        </w:rPr>
        <w:t>得分、</w:t>
      </w:r>
      <w:r>
        <w:rPr>
          <w:rFonts w:hint="eastAsia" w:ascii="宋体" w:hAnsi="宋体"/>
          <w:color w:val="000000" w:themeColor="text1"/>
          <w:szCs w:val="21"/>
          <w:highlight w:val="none"/>
          <w14:textFill>
            <w14:solidFill>
              <w14:schemeClr w14:val="tx1"/>
            </w14:solidFill>
          </w14:textFill>
        </w:rPr>
        <w:t>其他评分因素得分</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投标报价得分</w:t>
      </w:r>
      <w:r>
        <w:rPr>
          <w:rFonts w:hint="eastAsia" w:ascii="宋体" w:hAnsi="宋体"/>
          <w:color w:val="000000" w:themeColor="text1"/>
          <w:szCs w:val="21"/>
          <w:highlight w:val="none"/>
          <w:lang w:val="en-US" w:eastAsia="zh-CN"/>
          <w14:textFill>
            <w14:solidFill>
              <w14:schemeClr w14:val="tx1"/>
            </w14:solidFill>
          </w14:textFill>
        </w:rPr>
        <w:t>五</w:t>
      </w:r>
      <w:r>
        <w:rPr>
          <w:rFonts w:hint="eastAsia" w:ascii="宋体" w:hAnsi="宋体"/>
          <w:color w:val="000000" w:themeColor="text1"/>
          <w:szCs w:val="21"/>
          <w:highlight w:val="none"/>
          <w14:textFill>
            <w14:solidFill>
              <w14:schemeClr w14:val="tx1"/>
            </w14:solidFill>
          </w14:textFill>
        </w:rPr>
        <w:t>项得分之和去掉一个最高分和一个最低分之后的算术平均值为各投标人投标文件</w:t>
      </w:r>
      <w:r>
        <w:rPr>
          <w:rFonts w:hint="eastAsia" w:ascii="宋体" w:hAnsi="宋体"/>
          <w:color w:val="000000" w:themeColor="text1"/>
          <w:szCs w:val="21"/>
          <w:highlight w:val="none"/>
          <w:lang w:val="en-US" w:eastAsia="zh-CN"/>
          <w14:textFill>
            <w14:solidFill>
              <w14:schemeClr w14:val="tx1"/>
            </w14:solidFill>
          </w14:textFill>
        </w:rPr>
        <w:t>综合评</w:t>
      </w:r>
      <w:r>
        <w:rPr>
          <w:rFonts w:hint="eastAsia" w:ascii="宋体" w:hAnsi="宋体"/>
          <w:color w:val="000000" w:themeColor="text1"/>
          <w:szCs w:val="21"/>
          <w:highlight w:val="none"/>
          <w14:textFill>
            <w14:solidFill>
              <w14:schemeClr w14:val="tx1"/>
            </w14:solidFill>
          </w14:textFill>
        </w:rPr>
        <w:t>分结果，</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标明排列顺序。</w:t>
      </w:r>
    </w:p>
    <w:p w14:paraId="43F0380C">
      <w:pPr>
        <w:pStyle w:val="98"/>
        <w:rPr>
          <w:rFonts w:hint="eastAsia"/>
          <w:highlight w:val="none"/>
        </w:rPr>
      </w:pPr>
      <w:bookmarkStart w:id="1355" w:name="_Toc107387627"/>
      <w:bookmarkStart w:id="1356" w:name="_Toc31676"/>
      <w:r>
        <w:rPr>
          <w:rFonts w:hint="eastAsia"/>
          <w:highlight w:val="none"/>
        </w:rPr>
        <w:t>A</w:t>
      </w:r>
      <w:r>
        <w:rPr>
          <w:rFonts w:hint="eastAsia"/>
          <w:highlight w:val="none"/>
          <w:lang w:val="en-US" w:eastAsia="zh-CN"/>
        </w:rPr>
        <w:t>6</w:t>
      </w:r>
      <w:r>
        <w:rPr>
          <w:rFonts w:hint="eastAsia"/>
          <w:highlight w:val="none"/>
        </w:rPr>
        <w:t>. 推荐中标候选人</w:t>
      </w:r>
      <w:bookmarkEnd w:id="1355"/>
      <w:bookmarkEnd w:id="1356"/>
      <w:bookmarkStart w:id="1357" w:name="_Toc107387628"/>
    </w:p>
    <w:p w14:paraId="191F4126">
      <w:pPr>
        <w:pStyle w:val="98"/>
        <w:rPr>
          <w:rFonts w:hint="eastAsia"/>
          <w:b/>
          <w:sz w:val="21"/>
          <w:szCs w:val="21"/>
          <w:highlight w:val="none"/>
        </w:rPr>
      </w:pPr>
      <w:bookmarkStart w:id="1358" w:name="_Toc9683"/>
      <w:r>
        <w:rPr>
          <w:rFonts w:hint="eastAsia"/>
          <w:b/>
          <w:sz w:val="21"/>
          <w:szCs w:val="21"/>
          <w:highlight w:val="none"/>
        </w:rPr>
        <w:t>A</w:t>
      </w:r>
      <w:r>
        <w:rPr>
          <w:rFonts w:hint="eastAsia"/>
          <w:b/>
          <w:sz w:val="21"/>
          <w:szCs w:val="21"/>
          <w:highlight w:val="none"/>
          <w:lang w:val="en-US" w:eastAsia="zh-CN"/>
        </w:rPr>
        <w:t>6</w:t>
      </w:r>
      <w:r>
        <w:rPr>
          <w:rFonts w:hint="eastAsia"/>
          <w:b/>
          <w:sz w:val="21"/>
          <w:szCs w:val="21"/>
          <w:highlight w:val="none"/>
        </w:rPr>
        <w:t>.1 推荐中标候选人</w:t>
      </w:r>
      <w:bookmarkEnd w:id="1357"/>
      <w:bookmarkEnd w:id="1358"/>
    </w:p>
    <w:p w14:paraId="65FA6F7F">
      <w:pPr>
        <w:adjustRightInd w:val="0"/>
        <w:snapToGrid w:val="0"/>
        <w:spacing w:line="440" w:lineRule="exact"/>
        <w:ind w:left="0" w:leftChars="0"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6</w:t>
      </w:r>
      <w:r>
        <w:rPr>
          <w:rFonts w:hint="eastAsia" w:ascii="宋体" w:hAnsi="宋体"/>
          <w:szCs w:val="21"/>
          <w:highlight w:val="none"/>
        </w:rPr>
        <w:t>.1.1 评标委员会在推荐中标候选人时，应遵照以下原则:</w:t>
      </w:r>
    </w:p>
    <w:p w14:paraId="21CE3BFC">
      <w:pPr>
        <w:adjustRightInd w:val="0"/>
        <w:snapToGrid w:val="0"/>
        <w:spacing w:line="441" w:lineRule="exact"/>
        <w:ind w:left="0" w:leftChars="0" w:firstLine="420" w:firstLineChars="200"/>
        <w:rPr>
          <w:rFonts w:hint="eastAsia" w:ascii="宋体" w:hAnsi="宋体"/>
          <w:szCs w:val="21"/>
          <w:highlight w:val="none"/>
        </w:rPr>
      </w:pPr>
      <w:r>
        <w:rPr>
          <w:rFonts w:hint="eastAsia" w:ascii="宋体" w:hAnsi="宋体"/>
          <w:szCs w:val="21"/>
          <w:highlight w:val="none"/>
        </w:rPr>
        <w:t>(1)评标委员会按照</w:t>
      </w:r>
      <w:r>
        <w:rPr>
          <w:color w:val="auto"/>
          <w:highlight w:val="none"/>
        </w:rPr>
        <w:t>综合评分</w:t>
      </w:r>
      <w:r>
        <w:rPr>
          <w:rFonts w:hint="eastAsia" w:ascii="宋体" w:hAnsi="宋体"/>
          <w:szCs w:val="21"/>
          <w:highlight w:val="none"/>
        </w:rPr>
        <w:t>由高至低的次序排列，将排序在前的投标人推荐为中标候选人。</w:t>
      </w:r>
      <w:r>
        <w:rPr>
          <w:rFonts w:hint="eastAsia"/>
          <w:highlight w:val="none"/>
        </w:rPr>
        <w:t>招标文件允许多标段投标、多标段中标的，各标段中标候选人的推荐按第二章“投标人须知” 第10.1款规定执行，对某些标段由此产生的空缺由排序在后的投标人依次替补。</w:t>
      </w:r>
    </w:p>
    <w:p w14:paraId="646BF71A">
      <w:pPr>
        <w:adjustRightInd w:val="0"/>
        <w:snapToGrid w:val="0"/>
        <w:spacing w:line="441" w:lineRule="exact"/>
        <w:ind w:left="0" w:leftChars="0" w:firstLine="420" w:firstLineChars="200"/>
        <w:rPr>
          <w:rFonts w:hint="eastAsia" w:ascii="宋体" w:hAnsi="宋体"/>
          <w:szCs w:val="21"/>
          <w:highlight w:val="none"/>
        </w:rPr>
      </w:pPr>
      <w:r>
        <w:rPr>
          <w:rFonts w:hint="eastAsia" w:ascii="宋体" w:hAnsi="宋体"/>
          <w:szCs w:val="21"/>
          <w:highlight w:val="none"/>
        </w:rPr>
        <w:t>(2)如果评标委员会根据本章的规定否决有关投标后，有效投标不足三个，则评标委员会可以将所有有效投标按</w:t>
      </w:r>
      <w:r>
        <w:rPr>
          <w:rFonts w:hint="eastAsia" w:ascii="宋体" w:hAnsi="宋体"/>
          <w:szCs w:val="21"/>
          <w:highlight w:val="none"/>
          <w:lang w:eastAsia="zh-CN"/>
        </w:rPr>
        <w:t>综合评分</w:t>
      </w:r>
      <w:r>
        <w:rPr>
          <w:rFonts w:hint="eastAsia" w:ascii="宋体" w:hAnsi="宋体"/>
          <w:szCs w:val="21"/>
          <w:highlight w:val="none"/>
        </w:rPr>
        <w:t>由高至低的次序作为中标候选人向招标人推荐。如果因有效投标不足三个使得投标明显缺乏竞争的，评标委员会可以否决所有投标，并建议招标人重新招标。</w:t>
      </w:r>
    </w:p>
    <w:p w14:paraId="49A03BF4">
      <w:pPr>
        <w:adjustRightInd w:val="0"/>
        <w:snapToGrid w:val="0"/>
        <w:spacing w:line="441" w:lineRule="exact"/>
        <w:ind w:left="0" w:leftChars="0" w:firstLine="420" w:firstLineChars="200"/>
        <w:rPr>
          <w:rFonts w:hint="eastAsia" w:ascii="宋体" w:hAnsi="宋体"/>
          <w:szCs w:val="21"/>
          <w:highlight w:val="none"/>
        </w:rPr>
      </w:pPr>
      <w:r>
        <w:rPr>
          <w:rFonts w:hint="eastAsia" w:ascii="宋体" w:hAnsi="宋体"/>
          <w:szCs w:val="21"/>
          <w:highlight w:val="none"/>
        </w:rPr>
        <w:t>A6.1.2</w:t>
      </w:r>
      <w:r>
        <w:rPr>
          <w:rFonts w:hint="eastAsia" w:ascii="黑体" w:hAnsi="宋体" w:eastAsia="黑体"/>
          <w:szCs w:val="21"/>
          <w:highlight w:val="none"/>
        </w:rPr>
        <w:t xml:space="preserve"> </w:t>
      </w:r>
      <w:r>
        <w:rPr>
          <w:rFonts w:hint="eastAsia" w:ascii="宋体" w:hAnsi="宋体"/>
          <w:szCs w:val="21"/>
          <w:highlight w:val="none"/>
        </w:rPr>
        <w:t>投标人数量少于三个或者所有投标被否决的，招标人应当依法重新招标。</w:t>
      </w:r>
    </w:p>
    <w:p w14:paraId="349C1CC3">
      <w:pPr>
        <w:pStyle w:val="98"/>
        <w:rPr>
          <w:rFonts w:hint="eastAsia"/>
          <w:b/>
          <w:sz w:val="21"/>
          <w:szCs w:val="21"/>
          <w:highlight w:val="none"/>
        </w:rPr>
      </w:pPr>
      <w:bookmarkStart w:id="1359" w:name="_Toc22776"/>
      <w:bookmarkStart w:id="1360" w:name="_Toc107387630"/>
      <w:r>
        <w:rPr>
          <w:rFonts w:hint="eastAsia"/>
          <w:b/>
          <w:sz w:val="21"/>
          <w:szCs w:val="21"/>
          <w:highlight w:val="none"/>
        </w:rPr>
        <w:t>A</w:t>
      </w:r>
      <w:r>
        <w:rPr>
          <w:rFonts w:hint="eastAsia"/>
          <w:b/>
          <w:sz w:val="21"/>
          <w:szCs w:val="21"/>
          <w:highlight w:val="none"/>
          <w:lang w:val="en-US" w:eastAsia="zh-CN"/>
        </w:rPr>
        <w:t>6</w:t>
      </w:r>
      <w:r>
        <w:rPr>
          <w:rFonts w:hint="eastAsia"/>
          <w:b/>
          <w:sz w:val="21"/>
          <w:szCs w:val="21"/>
          <w:highlight w:val="none"/>
        </w:rPr>
        <w:t>.</w:t>
      </w:r>
      <w:r>
        <w:rPr>
          <w:rFonts w:hint="eastAsia"/>
          <w:b/>
          <w:sz w:val="21"/>
          <w:szCs w:val="21"/>
          <w:highlight w:val="none"/>
          <w:lang w:val="en-US" w:eastAsia="zh-CN"/>
        </w:rPr>
        <w:t>2</w:t>
      </w:r>
      <w:r>
        <w:rPr>
          <w:rFonts w:hint="eastAsia"/>
          <w:b/>
          <w:sz w:val="21"/>
          <w:szCs w:val="21"/>
          <w:highlight w:val="none"/>
        </w:rPr>
        <w:t>编制评标报告</w:t>
      </w:r>
      <w:bookmarkEnd w:id="1359"/>
      <w:bookmarkEnd w:id="1360"/>
    </w:p>
    <w:p w14:paraId="30CE4B65">
      <w:pPr>
        <w:adjustRightInd w:val="0"/>
        <w:snapToGrid w:val="0"/>
        <w:spacing w:line="441" w:lineRule="exact"/>
        <w:ind w:firstLine="420" w:firstLineChars="200"/>
        <w:rPr>
          <w:rFonts w:hint="eastAsia" w:ascii="宋体" w:hAnsi="宋体"/>
          <w:szCs w:val="21"/>
          <w:highlight w:val="none"/>
        </w:rPr>
      </w:pPr>
      <w:r>
        <w:rPr>
          <w:rFonts w:hint="eastAsia" w:ascii="宋体" w:hAnsi="宋体"/>
          <w:szCs w:val="21"/>
          <w:highlight w:val="none"/>
        </w:rPr>
        <w:t>评标委员会根据本章第3.</w:t>
      </w:r>
      <w:r>
        <w:rPr>
          <w:rFonts w:hint="eastAsia" w:ascii="宋体" w:hAnsi="宋体"/>
          <w:szCs w:val="21"/>
          <w:highlight w:val="none"/>
          <w:lang w:val="en-US" w:eastAsia="zh-CN"/>
        </w:rPr>
        <w:t>6</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项的规定向招标人提交评标报告。评标报告应当由全体评标委员会成员签字，并于评标结束时抄送有关行政监督部门。评标报告应当包括以下内容：</w:t>
      </w:r>
    </w:p>
    <w:p w14:paraId="65E8BBA0">
      <w:pPr>
        <w:adjustRightInd w:val="0"/>
        <w:snapToGrid w:val="0"/>
        <w:spacing w:before="72" w:beforeLines="30" w:line="441" w:lineRule="exact"/>
        <w:ind w:firstLine="420" w:firstLineChars="200"/>
        <w:rPr>
          <w:rFonts w:hint="eastAsia" w:ascii="宋体" w:hAnsi="宋体"/>
          <w:szCs w:val="21"/>
          <w:highlight w:val="none"/>
        </w:rPr>
      </w:pPr>
      <w:bookmarkStart w:id="1361" w:name="_Toc107387631"/>
      <w:r>
        <w:rPr>
          <w:rFonts w:hint="eastAsia" w:ascii="宋体" w:hAnsi="宋体"/>
          <w:szCs w:val="21"/>
          <w:highlight w:val="none"/>
        </w:rPr>
        <w:t>（1）基本情况和数据表；</w:t>
      </w:r>
    </w:p>
    <w:p w14:paraId="5C8E6937">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（2）评标委员会成员名单、评标专家声明书；</w:t>
      </w:r>
    </w:p>
    <w:p w14:paraId="482ECE31">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（3）技术标评审（承包人实施方案）记录表、</w:t>
      </w:r>
      <w:r>
        <w:rPr>
          <w:rFonts w:ascii="宋体" w:hAnsi="宋体"/>
          <w:szCs w:val="21"/>
          <w:highlight w:val="none"/>
        </w:rPr>
        <w:t>技术</w:t>
      </w:r>
      <w:r>
        <w:rPr>
          <w:rFonts w:hint="eastAsia" w:ascii="宋体" w:hAnsi="宋体"/>
          <w:szCs w:val="21"/>
          <w:highlight w:val="none"/>
          <w:lang w:val="en-US" w:eastAsia="zh-CN"/>
        </w:rPr>
        <w:t>标</w:t>
      </w:r>
      <w:r>
        <w:rPr>
          <w:rFonts w:hint="eastAsia" w:ascii="宋体" w:hAnsi="宋体"/>
          <w:szCs w:val="21"/>
          <w:highlight w:val="none"/>
          <w:lang w:eastAsia="zh-CN"/>
        </w:rPr>
        <w:t>（</w:t>
      </w:r>
      <w:r>
        <w:rPr>
          <w:rFonts w:ascii="宋体" w:hAnsi="宋体"/>
          <w:szCs w:val="21"/>
          <w:highlight w:val="none"/>
        </w:rPr>
        <w:t>暗标</w:t>
      </w:r>
      <w:r>
        <w:rPr>
          <w:rFonts w:hint="eastAsia" w:ascii="宋体" w:hAnsi="宋体"/>
          <w:szCs w:val="21"/>
          <w:highlight w:val="none"/>
          <w:lang w:eastAsia="zh-CN"/>
        </w:rPr>
        <w:t>）</w:t>
      </w:r>
      <w:r>
        <w:rPr>
          <w:rFonts w:ascii="宋体" w:hAnsi="宋体"/>
          <w:szCs w:val="21"/>
          <w:highlight w:val="none"/>
        </w:rPr>
        <w:t>编号确认表</w:t>
      </w:r>
      <w:r>
        <w:rPr>
          <w:rFonts w:hint="eastAsia" w:ascii="宋体" w:hAnsi="宋体"/>
          <w:szCs w:val="21"/>
          <w:highlight w:val="none"/>
        </w:rPr>
        <w:t>；</w:t>
      </w:r>
    </w:p>
    <w:p w14:paraId="30FD7EAC">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（4）形式评审记录表；</w:t>
      </w:r>
    </w:p>
    <w:p w14:paraId="245A66C3">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（5）资格评审记录表（如有）；</w:t>
      </w:r>
    </w:p>
    <w:p w14:paraId="0D46D4C3">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（6）响应性评审记录表；</w:t>
      </w:r>
    </w:p>
    <w:p w14:paraId="6EB0F2FE">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（7）详细评审标准、评标方法或者评标因素一览表；</w:t>
      </w:r>
    </w:p>
    <w:p w14:paraId="35419BDD">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（8）评标结果汇总表；</w:t>
      </w:r>
    </w:p>
    <w:p w14:paraId="6297530D">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（9）否决投标的情况说明表；</w:t>
      </w:r>
    </w:p>
    <w:p w14:paraId="2CEB0048">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（10）澄清、说明、补正事项纪要。</w:t>
      </w:r>
    </w:p>
    <w:p w14:paraId="58C23D44">
      <w:pPr>
        <w:pStyle w:val="98"/>
        <w:rPr>
          <w:rFonts w:hint="eastAsia"/>
          <w:highlight w:val="none"/>
        </w:rPr>
      </w:pPr>
      <w:bookmarkStart w:id="1362" w:name="_Toc32387"/>
      <w:r>
        <w:rPr>
          <w:rFonts w:hint="eastAsia"/>
          <w:highlight w:val="none"/>
        </w:rPr>
        <w:t>A</w:t>
      </w:r>
      <w:r>
        <w:rPr>
          <w:rFonts w:hint="eastAsia"/>
          <w:highlight w:val="none"/>
          <w:lang w:val="en-US" w:eastAsia="zh-CN"/>
        </w:rPr>
        <w:t>7</w:t>
      </w:r>
      <w:r>
        <w:rPr>
          <w:rFonts w:hint="eastAsia"/>
          <w:highlight w:val="none"/>
        </w:rPr>
        <w:t>．特殊情况的处置程序</w:t>
      </w:r>
      <w:bookmarkEnd w:id="1361"/>
      <w:bookmarkEnd w:id="1362"/>
    </w:p>
    <w:p w14:paraId="5D052FBF">
      <w:pPr>
        <w:pStyle w:val="98"/>
        <w:rPr>
          <w:rFonts w:hint="eastAsia"/>
          <w:b/>
          <w:sz w:val="21"/>
          <w:szCs w:val="21"/>
          <w:highlight w:val="none"/>
        </w:rPr>
      </w:pPr>
      <w:bookmarkStart w:id="1363" w:name="_Toc107387633"/>
      <w:bookmarkStart w:id="1364" w:name="_Toc1982"/>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1</w:t>
      </w:r>
      <w:r>
        <w:rPr>
          <w:rFonts w:hint="eastAsia"/>
          <w:b/>
          <w:sz w:val="21"/>
          <w:szCs w:val="21"/>
          <w:highlight w:val="none"/>
        </w:rPr>
        <w:t>关于评标活动暂停</w:t>
      </w:r>
      <w:bookmarkEnd w:id="1363"/>
      <w:bookmarkEnd w:id="1364"/>
    </w:p>
    <w:p w14:paraId="25DCBB68">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1</w:t>
      </w:r>
      <w:r>
        <w:rPr>
          <w:rFonts w:hint="eastAsia" w:ascii="宋体" w:hAnsi="宋体"/>
          <w:szCs w:val="21"/>
          <w:highlight w:val="none"/>
        </w:rPr>
        <w:t>.1评标委员会应当执行连续评标的原则，按评标办法中规定的程序、内容、方法、标准完成全部评标工作。只有发生不可抗力导致评标工作无法继续时，评标活动方可暂停。</w:t>
      </w:r>
    </w:p>
    <w:p w14:paraId="7F35E2C9">
      <w:pPr>
        <w:adjustRightInd w:val="0"/>
        <w:snapToGrid w:val="0"/>
        <w:spacing w:before="48" w:beforeLines="20"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7.1</w:t>
      </w:r>
      <w:r>
        <w:rPr>
          <w:rFonts w:hint="eastAsia" w:ascii="宋体" w:hAnsi="宋体"/>
          <w:szCs w:val="21"/>
          <w:highlight w:val="none"/>
        </w:rPr>
        <w:t>.2发生评标暂停情况时，评标委员会应当封存全部投标文件和评标记录，待不可抗力的影响结束且具备继续评标的条件时，由原评标委员会继续评标。</w:t>
      </w:r>
    </w:p>
    <w:p w14:paraId="1C1A1348">
      <w:pPr>
        <w:pStyle w:val="98"/>
        <w:rPr>
          <w:rFonts w:hint="eastAsia"/>
          <w:b/>
          <w:sz w:val="21"/>
          <w:szCs w:val="21"/>
          <w:highlight w:val="none"/>
        </w:rPr>
      </w:pPr>
      <w:bookmarkStart w:id="1365" w:name="_Toc26282"/>
      <w:bookmarkStart w:id="1366" w:name="_Toc107387634"/>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2</w:t>
      </w:r>
      <w:r>
        <w:rPr>
          <w:rFonts w:hint="eastAsia"/>
          <w:b/>
          <w:sz w:val="21"/>
          <w:szCs w:val="21"/>
          <w:highlight w:val="none"/>
        </w:rPr>
        <w:t xml:space="preserve">  关于评标中途更换评标委员会成员</w:t>
      </w:r>
      <w:bookmarkEnd w:id="1365"/>
      <w:bookmarkEnd w:id="1366"/>
    </w:p>
    <w:p w14:paraId="29D5729D">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.1  除非发生下列情况之一，评标委员会成员不得在评标中途更换：</w:t>
      </w:r>
    </w:p>
    <w:p w14:paraId="02C4E64D">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(1) 因不可抗拒的客观原因，不能到场或需在评标中途退出评标活动。</w:t>
      </w:r>
    </w:p>
    <w:p w14:paraId="7E8526FB">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(2) 根据法律法规规定，某个或某几个评标委员会成员需要回避。</w:t>
      </w:r>
    </w:p>
    <w:p w14:paraId="4D282190">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.2退出评标的评标委员会成员，其已完成的评标行为无效。由招标人根据本招标文件规定的评标委员会成员生产方式另行确定替代者进行评标。</w:t>
      </w:r>
    </w:p>
    <w:p w14:paraId="3AD19150">
      <w:pPr>
        <w:pStyle w:val="98"/>
        <w:rPr>
          <w:rFonts w:hint="eastAsia"/>
          <w:b/>
          <w:sz w:val="21"/>
          <w:szCs w:val="21"/>
          <w:highlight w:val="none"/>
        </w:rPr>
      </w:pPr>
      <w:bookmarkStart w:id="1367" w:name="_Toc24964"/>
      <w:bookmarkStart w:id="1368" w:name="_Toc107387635"/>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3</w:t>
      </w:r>
      <w:r>
        <w:rPr>
          <w:rFonts w:hint="eastAsia"/>
          <w:b/>
          <w:sz w:val="21"/>
          <w:szCs w:val="21"/>
          <w:highlight w:val="none"/>
        </w:rPr>
        <w:t xml:space="preserve"> 评标争议处理</w:t>
      </w:r>
      <w:bookmarkEnd w:id="1367"/>
      <w:bookmarkEnd w:id="1368"/>
    </w:p>
    <w:p w14:paraId="7BDD9E40">
      <w:pPr>
        <w:spacing w:line="430" w:lineRule="exact"/>
        <w:ind w:firstLine="525" w:firstLineChars="25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.1 评标委员会全体成员应独立评审，对所提出的评审意见承担个人责任。</w:t>
      </w:r>
    </w:p>
    <w:p w14:paraId="39832A95">
      <w:pPr>
        <w:spacing w:line="430" w:lineRule="exact"/>
        <w:ind w:firstLine="420" w:firstLineChars="200"/>
        <w:rPr>
          <w:rFonts w:hint="eastAsia" w:ascii="宋体" w:hAnsi="宋体"/>
          <w:szCs w:val="21"/>
          <w:highlight w:val="none"/>
        </w:rPr>
      </w:pPr>
      <w:r>
        <w:rPr>
          <w:rFonts w:hint="eastAsia" w:ascii="宋体" w:hAnsi="宋体"/>
          <w:szCs w:val="21"/>
          <w:highlight w:val="none"/>
        </w:rPr>
        <w:t xml:space="preserve"> 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.2在任何评标环节中，需评标委员会就某项定性的评审结论做出表决的，由评标委员会全体成员按照少数服从多数的原则，以记名投票方式表决。表决不得违背法律、法规、规章和招标文件的规定。</w:t>
      </w:r>
    </w:p>
    <w:p w14:paraId="5FC9D4C4">
      <w:pPr>
        <w:adjustRightInd w:val="0"/>
        <w:snapToGrid w:val="0"/>
        <w:spacing w:line="440" w:lineRule="exact"/>
        <w:ind w:firstLine="525" w:firstLineChars="250"/>
        <w:rPr>
          <w:rFonts w:hint="eastAsia" w:ascii="宋体" w:hAnsi="宋体"/>
          <w:szCs w:val="21"/>
          <w:highlight w:val="none"/>
          <w:bdr w:val="single" w:color="auto" w:sz="4" w:space="0"/>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 xml:space="preserve">.3 </w:t>
      </w:r>
      <w:r>
        <w:rPr>
          <w:rFonts w:hint="eastAsia"/>
          <w:highlight w:val="none"/>
        </w:rPr>
        <w:t>评标委员会成员对书面决议或评审结论持有异议的，</w:t>
      </w:r>
      <w:r>
        <w:rPr>
          <w:rFonts w:hint="eastAsia" w:ascii="宋体" w:hAnsi="宋体"/>
          <w:highlight w:val="none"/>
        </w:rPr>
        <w:t>可以</w:t>
      </w:r>
      <w:r>
        <w:rPr>
          <w:rFonts w:hint="eastAsia"/>
          <w:highlight w:val="none"/>
        </w:rPr>
        <w:t>书面阐述其不同意见和理由。拒绝在书面决议或评标报告上签名，且不陈述其不同意见和理由的，视为同意书面决议或评标结论，评标委员会应当</w:t>
      </w:r>
      <w:r>
        <w:rPr>
          <w:rFonts w:hint="eastAsia" w:ascii="宋体" w:hAnsi="宋体"/>
          <w:highlight w:val="none"/>
        </w:rPr>
        <w:t>对此</w:t>
      </w:r>
      <w:r>
        <w:rPr>
          <w:rFonts w:hint="eastAsia"/>
          <w:highlight w:val="none"/>
        </w:rPr>
        <w:t>在评标报告中做出书面说明。</w:t>
      </w:r>
    </w:p>
    <w:p w14:paraId="72DBB49B">
      <w:pPr>
        <w:pStyle w:val="98"/>
        <w:rPr>
          <w:rFonts w:hint="eastAsia"/>
          <w:highlight w:val="none"/>
        </w:rPr>
      </w:pPr>
      <w:bookmarkStart w:id="1369" w:name="_Toc107387636"/>
      <w:bookmarkStart w:id="1370" w:name="_Toc21449"/>
      <w:r>
        <w:rPr>
          <w:rFonts w:hint="eastAsia"/>
          <w:highlight w:val="none"/>
        </w:rPr>
        <w:t>A</w:t>
      </w:r>
      <w:r>
        <w:rPr>
          <w:rFonts w:hint="eastAsia"/>
          <w:highlight w:val="none"/>
          <w:lang w:val="en-US" w:eastAsia="zh-CN"/>
        </w:rPr>
        <w:t>8</w:t>
      </w:r>
      <w:r>
        <w:rPr>
          <w:rFonts w:hint="eastAsia"/>
          <w:highlight w:val="none"/>
        </w:rPr>
        <w:t>.补充条款</w:t>
      </w:r>
      <w:bookmarkEnd w:id="1369"/>
      <w:bookmarkEnd w:id="1370"/>
    </w:p>
    <w:p w14:paraId="278D7F86">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w:t>
      </w:r>
    </w:p>
    <w:p w14:paraId="0502748F">
      <w:pPr>
        <w:pStyle w:val="117"/>
        <w:rPr>
          <w:rFonts w:hint="eastAsia"/>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p>
    <w:p w14:paraId="15FE9EC4">
      <w:pPr>
        <w:pStyle w:val="98"/>
        <w:rPr>
          <w:rFonts w:hint="eastAsia"/>
          <w:highlight w:val="none"/>
        </w:rPr>
      </w:pPr>
      <w:bookmarkStart w:id="1371" w:name="_Toc5998"/>
      <w:bookmarkStart w:id="1372" w:name="_Toc13447"/>
      <w:bookmarkStart w:id="1373" w:name="_Toc16343_WPSOffice_Level1"/>
      <w:bookmarkStart w:id="1374" w:name="_Toc20915"/>
      <w:bookmarkStart w:id="1375" w:name="_Toc9500"/>
      <w:bookmarkStart w:id="1376" w:name="_Toc25871"/>
      <w:bookmarkStart w:id="1377" w:name="_Toc20608"/>
      <w:r>
        <w:rPr>
          <w:rFonts w:hint="eastAsia"/>
          <w:highlight w:val="none"/>
        </w:rPr>
        <w:t>附表A-1：评标委员会签到表</w:t>
      </w:r>
      <w:bookmarkEnd w:id="1371"/>
    </w:p>
    <w:p w14:paraId="29398E71">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hint="eastAsia" w:ascii="黑体" w:hAnsi="宋体" w:eastAsia="黑体"/>
          <w:sz w:val="28"/>
          <w:szCs w:val="28"/>
          <w:highlight w:val="none"/>
        </w:rPr>
        <w:t>评标委员会签到表</w:t>
      </w:r>
    </w:p>
    <w:p w14:paraId="0555DCB4">
      <w:pPr>
        <w:rPr>
          <w:szCs w:val="44"/>
          <w:highlight w:val="none"/>
        </w:rPr>
      </w:pPr>
    </w:p>
    <w:p w14:paraId="4D0FF7AB">
      <w:pPr>
        <w:spacing w:after="240" w:afterLines="100"/>
        <w:rPr>
          <w:szCs w:val="44"/>
          <w:highlight w:val="none"/>
        </w:rPr>
      </w:pPr>
      <w:r>
        <w:rPr>
          <w:rFonts w:hint="eastAsia"/>
          <w:szCs w:val="44"/>
          <w:highlight w:val="none"/>
        </w:rPr>
        <w:t>工程名称：</w:t>
      </w:r>
      <w:r>
        <w:rPr>
          <w:rFonts w:hint="eastAsia"/>
          <w:szCs w:val="44"/>
          <w:highlight w:val="none"/>
          <w:u w:val="single"/>
        </w:rPr>
        <w:t xml:space="preserve">          </w:t>
      </w:r>
      <w:r>
        <w:rPr>
          <w:rFonts w:hint="eastAsia"/>
          <w:szCs w:val="44"/>
          <w:highlight w:val="none"/>
        </w:rPr>
        <w:t>(项目名称)</w:t>
      </w:r>
      <w:r>
        <w:rPr>
          <w:rFonts w:hint="eastAsia"/>
          <w:szCs w:val="44"/>
          <w:highlight w:val="none"/>
          <w:u w:val="single"/>
        </w:rPr>
        <w:t xml:space="preserve">          </w:t>
      </w:r>
      <w:r>
        <w:rPr>
          <w:rFonts w:hint="eastAsia"/>
          <w:highlight w:val="none"/>
        </w:rPr>
        <w:t>（标段名称）</w:t>
      </w:r>
      <w:r>
        <w:rPr>
          <w:rFonts w:hint="eastAsia"/>
          <w:szCs w:val="44"/>
          <w:highlight w:val="none"/>
        </w:rPr>
        <w:t xml:space="preserve"> </w:t>
      </w:r>
      <w:r>
        <w:rPr>
          <w:rFonts w:hint="eastAsia"/>
          <w:szCs w:val="44"/>
          <w:highlight w:val="none"/>
          <w:lang w:val="en-US" w:eastAsia="zh-CN"/>
        </w:rPr>
        <w:t>工程总承包</w:t>
      </w:r>
      <w:r>
        <w:rPr>
          <w:rFonts w:hint="eastAsia"/>
          <w:szCs w:val="44"/>
          <w:highlight w:val="none"/>
        </w:rPr>
        <w:t xml:space="preserve"> 招标                  </w:t>
      </w:r>
      <w:r>
        <w:rPr>
          <w:szCs w:val="44"/>
          <w:highlight w:val="none"/>
        </w:rPr>
        <w:t xml:space="preserve">      </w:t>
      </w:r>
      <w:r>
        <w:rPr>
          <w:rFonts w:hint="eastAsia"/>
          <w:szCs w:val="44"/>
          <w:highlight w:val="none"/>
        </w:rPr>
        <w:t xml:space="preserve">    评标时间：         年    月    日</w:t>
      </w:r>
    </w:p>
    <w:tbl>
      <w:tblPr>
        <w:tblStyle w:val="39"/>
        <w:tblW w:w="13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3359"/>
        <w:gridCol w:w="2257"/>
        <w:gridCol w:w="2257"/>
        <w:gridCol w:w="2257"/>
        <w:gridCol w:w="2257"/>
      </w:tblGrid>
      <w:tr w14:paraId="1B68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45919FF2">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序号</w:t>
            </w:r>
          </w:p>
        </w:tc>
        <w:tc>
          <w:tcPr>
            <w:tcW w:w="3359" w:type="dxa"/>
            <w:vAlign w:val="center"/>
          </w:tcPr>
          <w:p w14:paraId="12EDC591">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姓名</w:t>
            </w:r>
          </w:p>
        </w:tc>
        <w:tc>
          <w:tcPr>
            <w:tcW w:w="2257" w:type="dxa"/>
            <w:vAlign w:val="center"/>
          </w:tcPr>
          <w:p w14:paraId="6142F38E">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职称</w:t>
            </w:r>
          </w:p>
        </w:tc>
        <w:tc>
          <w:tcPr>
            <w:tcW w:w="2257" w:type="dxa"/>
            <w:vAlign w:val="center"/>
          </w:tcPr>
          <w:p w14:paraId="4FD7811C">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工作单位</w:t>
            </w:r>
          </w:p>
        </w:tc>
        <w:tc>
          <w:tcPr>
            <w:tcW w:w="2257" w:type="dxa"/>
            <w:vAlign w:val="center"/>
          </w:tcPr>
          <w:p w14:paraId="14920C7A">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专家身份证证号</w:t>
            </w:r>
          </w:p>
        </w:tc>
        <w:tc>
          <w:tcPr>
            <w:tcW w:w="2257" w:type="dxa"/>
            <w:vAlign w:val="center"/>
          </w:tcPr>
          <w:p w14:paraId="36D9F64B">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签到时间</w:t>
            </w:r>
          </w:p>
        </w:tc>
      </w:tr>
      <w:tr w14:paraId="44FA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754BD6F5">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1</w:t>
            </w:r>
          </w:p>
        </w:tc>
        <w:tc>
          <w:tcPr>
            <w:tcW w:w="3359" w:type="dxa"/>
            <w:vAlign w:val="center"/>
          </w:tcPr>
          <w:p w14:paraId="167C314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1830943">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BCD2A02">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ADD014E">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EF6732D">
            <w:pPr>
              <w:keepNext w:val="0"/>
              <w:keepLines w:val="0"/>
              <w:suppressLineNumbers w:val="0"/>
              <w:spacing w:before="0" w:beforeAutospacing="0" w:after="0" w:afterAutospacing="0"/>
              <w:ind w:left="0" w:right="0"/>
              <w:jc w:val="center"/>
              <w:rPr>
                <w:rFonts w:ascii="黑体" w:eastAsia="黑体"/>
                <w:szCs w:val="44"/>
                <w:highlight w:val="none"/>
              </w:rPr>
            </w:pPr>
          </w:p>
        </w:tc>
      </w:tr>
      <w:tr w14:paraId="64EB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7494C230">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2</w:t>
            </w:r>
          </w:p>
        </w:tc>
        <w:tc>
          <w:tcPr>
            <w:tcW w:w="3359" w:type="dxa"/>
            <w:vAlign w:val="center"/>
          </w:tcPr>
          <w:p w14:paraId="23BE59B1">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E5397CB">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5FBEA7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B228B25">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2D2CA67">
            <w:pPr>
              <w:keepNext w:val="0"/>
              <w:keepLines w:val="0"/>
              <w:suppressLineNumbers w:val="0"/>
              <w:spacing w:before="0" w:beforeAutospacing="0" w:after="0" w:afterAutospacing="0"/>
              <w:ind w:left="0" w:right="0"/>
              <w:jc w:val="center"/>
              <w:rPr>
                <w:rFonts w:ascii="黑体" w:eastAsia="黑体"/>
                <w:szCs w:val="44"/>
                <w:highlight w:val="none"/>
              </w:rPr>
            </w:pPr>
          </w:p>
        </w:tc>
      </w:tr>
      <w:tr w14:paraId="0E36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58D5A4AF">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3</w:t>
            </w:r>
          </w:p>
        </w:tc>
        <w:tc>
          <w:tcPr>
            <w:tcW w:w="3359" w:type="dxa"/>
            <w:vAlign w:val="center"/>
          </w:tcPr>
          <w:p w14:paraId="17A176F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C85AF2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4E25B0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4C9D87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5B7C44C">
            <w:pPr>
              <w:keepNext w:val="0"/>
              <w:keepLines w:val="0"/>
              <w:suppressLineNumbers w:val="0"/>
              <w:spacing w:before="0" w:beforeAutospacing="0" w:after="0" w:afterAutospacing="0"/>
              <w:ind w:left="0" w:right="0"/>
              <w:jc w:val="center"/>
              <w:rPr>
                <w:rFonts w:ascii="黑体" w:eastAsia="黑体"/>
                <w:szCs w:val="44"/>
                <w:highlight w:val="none"/>
              </w:rPr>
            </w:pPr>
          </w:p>
        </w:tc>
      </w:tr>
      <w:tr w14:paraId="5236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360EEDB2">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4</w:t>
            </w:r>
          </w:p>
        </w:tc>
        <w:tc>
          <w:tcPr>
            <w:tcW w:w="3359" w:type="dxa"/>
            <w:vAlign w:val="center"/>
          </w:tcPr>
          <w:p w14:paraId="33950A9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DB4ACF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812F4E4">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EF42AA3">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0A0852A">
            <w:pPr>
              <w:keepNext w:val="0"/>
              <w:keepLines w:val="0"/>
              <w:suppressLineNumbers w:val="0"/>
              <w:spacing w:before="0" w:beforeAutospacing="0" w:after="0" w:afterAutospacing="0"/>
              <w:ind w:left="0" w:right="0"/>
              <w:jc w:val="center"/>
              <w:rPr>
                <w:rFonts w:ascii="黑体" w:eastAsia="黑体"/>
                <w:szCs w:val="44"/>
                <w:highlight w:val="none"/>
              </w:rPr>
            </w:pPr>
          </w:p>
        </w:tc>
      </w:tr>
      <w:tr w14:paraId="7AAE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7219D8F8">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5</w:t>
            </w:r>
          </w:p>
        </w:tc>
        <w:tc>
          <w:tcPr>
            <w:tcW w:w="3359" w:type="dxa"/>
            <w:vAlign w:val="center"/>
          </w:tcPr>
          <w:p w14:paraId="78DBC95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25E8492">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7D87A7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9732E80">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96B2569">
            <w:pPr>
              <w:keepNext w:val="0"/>
              <w:keepLines w:val="0"/>
              <w:suppressLineNumbers w:val="0"/>
              <w:spacing w:before="0" w:beforeAutospacing="0" w:after="0" w:afterAutospacing="0"/>
              <w:ind w:left="0" w:right="0"/>
              <w:jc w:val="center"/>
              <w:rPr>
                <w:rFonts w:ascii="黑体" w:eastAsia="黑体"/>
                <w:szCs w:val="44"/>
                <w:highlight w:val="none"/>
              </w:rPr>
            </w:pPr>
          </w:p>
        </w:tc>
      </w:tr>
      <w:tr w14:paraId="462F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0B1CBEEC">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6</w:t>
            </w:r>
          </w:p>
        </w:tc>
        <w:tc>
          <w:tcPr>
            <w:tcW w:w="3359" w:type="dxa"/>
            <w:vAlign w:val="center"/>
          </w:tcPr>
          <w:p w14:paraId="2E25E3A4">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F23529C">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550F389">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ACEF2C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9524BD5">
            <w:pPr>
              <w:keepNext w:val="0"/>
              <w:keepLines w:val="0"/>
              <w:suppressLineNumbers w:val="0"/>
              <w:spacing w:before="0" w:beforeAutospacing="0" w:after="0" w:afterAutospacing="0"/>
              <w:ind w:left="0" w:right="0"/>
              <w:jc w:val="center"/>
              <w:rPr>
                <w:rFonts w:ascii="黑体" w:eastAsia="黑体"/>
                <w:szCs w:val="44"/>
                <w:highlight w:val="none"/>
              </w:rPr>
            </w:pPr>
          </w:p>
        </w:tc>
      </w:tr>
      <w:tr w14:paraId="5408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50FB4467">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7</w:t>
            </w:r>
          </w:p>
        </w:tc>
        <w:tc>
          <w:tcPr>
            <w:tcW w:w="3359" w:type="dxa"/>
            <w:vAlign w:val="center"/>
          </w:tcPr>
          <w:p w14:paraId="45CA9FBB">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C13EC22">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56D063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56A1050">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1156748">
            <w:pPr>
              <w:keepNext w:val="0"/>
              <w:keepLines w:val="0"/>
              <w:suppressLineNumbers w:val="0"/>
              <w:spacing w:before="0" w:beforeAutospacing="0" w:after="0" w:afterAutospacing="0"/>
              <w:ind w:left="0" w:right="0"/>
              <w:jc w:val="center"/>
              <w:rPr>
                <w:rFonts w:ascii="黑体" w:eastAsia="黑体"/>
                <w:szCs w:val="44"/>
                <w:highlight w:val="none"/>
              </w:rPr>
            </w:pPr>
          </w:p>
        </w:tc>
      </w:tr>
      <w:tr w14:paraId="66D5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07337C43">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8</w:t>
            </w:r>
          </w:p>
        </w:tc>
        <w:tc>
          <w:tcPr>
            <w:tcW w:w="3359" w:type="dxa"/>
            <w:vAlign w:val="center"/>
          </w:tcPr>
          <w:p w14:paraId="099B9E9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3042550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AFA0D64">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3066A24">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F66A03A">
            <w:pPr>
              <w:keepNext w:val="0"/>
              <w:keepLines w:val="0"/>
              <w:suppressLineNumbers w:val="0"/>
              <w:spacing w:before="0" w:beforeAutospacing="0" w:after="0" w:afterAutospacing="0"/>
              <w:ind w:left="0" w:right="0"/>
              <w:jc w:val="center"/>
              <w:rPr>
                <w:rFonts w:ascii="黑体" w:eastAsia="黑体"/>
                <w:szCs w:val="44"/>
                <w:highlight w:val="none"/>
              </w:rPr>
            </w:pPr>
          </w:p>
        </w:tc>
      </w:tr>
      <w:tr w14:paraId="53F9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7B2EFCF7">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9</w:t>
            </w:r>
          </w:p>
        </w:tc>
        <w:tc>
          <w:tcPr>
            <w:tcW w:w="3359" w:type="dxa"/>
            <w:vAlign w:val="center"/>
          </w:tcPr>
          <w:p w14:paraId="5A92BA4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BB673E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7C8FC53">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A060BB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8E5CA92">
            <w:pPr>
              <w:keepNext w:val="0"/>
              <w:keepLines w:val="0"/>
              <w:suppressLineNumbers w:val="0"/>
              <w:spacing w:before="0" w:beforeAutospacing="0" w:after="0" w:afterAutospacing="0"/>
              <w:ind w:left="0" w:right="0"/>
              <w:jc w:val="center"/>
              <w:rPr>
                <w:rFonts w:ascii="黑体" w:eastAsia="黑体"/>
                <w:szCs w:val="44"/>
                <w:highlight w:val="none"/>
              </w:rPr>
            </w:pPr>
          </w:p>
        </w:tc>
      </w:tr>
    </w:tbl>
    <w:p w14:paraId="784CF69E">
      <w:pPr>
        <w:pStyle w:val="109"/>
        <w:rPr>
          <w:highlight w:val="none"/>
        </w:rPr>
        <w:sectPr>
          <w:pgSz w:w="16840" w:h="11907" w:orient="landscape"/>
          <w:pgMar w:top="1531" w:right="1588" w:bottom="1474" w:left="1701" w:header="851" w:footer="992" w:gutter="0"/>
          <w:cols w:space="425" w:num="1"/>
          <w:docGrid w:linePitch="312" w:charSpace="0"/>
        </w:sectPr>
      </w:pPr>
      <w:r>
        <w:rPr>
          <w:highlight w:val="none"/>
        </w:rPr>
        <w:br w:type="page"/>
      </w:r>
    </w:p>
    <w:p w14:paraId="6586919E">
      <w:pPr>
        <w:pStyle w:val="98"/>
        <w:rPr>
          <w:rFonts w:hint="eastAsia"/>
          <w:highlight w:val="none"/>
        </w:rPr>
      </w:pPr>
      <w:bookmarkStart w:id="1378" w:name="_Toc29779"/>
      <w:r>
        <w:rPr>
          <w:rFonts w:hint="eastAsia"/>
          <w:highlight w:val="none"/>
        </w:rPr>
        <w:t>附表A-2：评标专家声明书</w:t>
      </w:r>
      <w:bookmarkEnd w:id="1378"/>
    </w:p>
    <w:p w14:paraId="0168E169">
      <w:pPr>
        <w:adjustRightInd w:val="0"/>
        <w:snapToGrid w:val="0"/>
        <w:spacing w:line="440" w:lineRule="exact"/>
        <w:rPr>
          <w:rFonts w:ascii="黑体" w:eastAsia="黑体"/>
          <w:sz w:val="24"/>
          <w:highlight w:val="none"/>
        </w:rPr>
      </w:pPr>
    </w:p>
    <w:p w14:paraId="17BEBA28">
      <w:pPr>
        <w:adjustRightInd w:val="0"/>
        <w:snapToGrid w:val="0"/>
        <w:spacing w:line="440" w:lineRule="exact"/>
        <w:rPr>
          <w:rFonts w:ascii="黑体" w:eastAsia="黑体"/>
          <w:sz w:val="24"/>
          <w:highlight w:val="none"/>
        </w:rPr>
      </w:pPr>
    </w:p>
    <w:p w14:paraId="68EF9A51">
      <w:pPr>
        <w:adjustRightInd w:val="0"/>
        <w:snapToGrid w:val="0"/>
        <w:spacing w:line="440" w:lineRule="exact"/>
        <w:rPr>
          <w:rFonts w:ascii="黑体" w:eastAsia="黑体"/>
          <w:sz w:val="24"/>
          <w:highlight w:val="none"/>
        </w:rPr>
      </w:pPr>
    </w:p>
    <w:p w14:paraId="3EA264C4">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ascii="黑体" w:hAnsi="宋体" w:eastAsia="黑体"/>
          <w:sz w:val="28"/>
          <w:szCs w:val="28"/>
          <w:highlight w:val="none"/>
        </w:rPr>
        <w:t>评标专家声明书</w:t>
      </w:r>
    </w:p>
    <w:p w14:paraId="4F85A9EC">
      <w:pPr>
        <w:spacing w:line="720" w:lineRule="auto"/>
        <w:jc w:val="center"/>
        <w:rPr>
          <w:rFonts w:ascii="仿宋_GB2312" w:eastAsia="仿宋_GB2312"/>
          <w:b/>
          <w:sz w:val="28"/>
          <w:szCs w:val="28"/>
          <w:highlight w:val="none"/>
        </w:rPr>
      </w:pPr>
    </w:p>
    <w:p w14:paraId="35D97C02">
      <w:pPr>
        <w:spacing w:line="430" w:lineRule="exact"/>
        <w:ind w:firstLine="420" w:firstLineChars="200"/>
        <w:rPr>
          <w:highlight w:val="none"/>
        </w:rPr>
      </w:pPr>
      <w:r>
        <w:rPr>
          <w:highlight w:val="none"/>
        </w:rPr>
        <w:t>本人接受招标人邀请，担任</w:t>
      </w:r>
      <w:r>
        <w:rPr>
          <w:rFonts w:hint="eastAsia"/>
          <w:highlight w:val="none"/>
        </w:rPr>
        <w:t xml:space="preserve"> </w:t>
      </w:r>
      <w:r>
        <w:rPr>
          <w:rFonts w:hint="eastAsia"/>
          <w:highlight w:val="none"/>
          <w:u w:val="single"/>
        </w:rPr>
        <w:t xml:space="preserve">         </w:t>
      </w:r>
      <w:r>
        <w:rPr>
          <w:highlight w:val="none"/>
        </w:rPr>
        <w:t>（项目名称）</w:t>
      </w:r>
      <w:r>
        <w:rPr>
          <w:rFonts w:hint="eastAsia"/>
          <w:highlight w:val="none"/>
          <w:u w:val="single"/>
        </w:rPr>
        <w:t xml:space="preserve">    </w:t>
      </w:r>
      <w:r>
        <w:rPr>
          <w:rFonts w:hint="eastAsia"/>
          <w:highlight w:val="none"/>
        </w:rPr>
        <w:t xml:space="preserve">（标段名称） </w:t>
      </w:r>
      <w:r>
        <w:rPr>
          <w:rFonts w:hint="eastAsia"/>
          <w:szCs w:val="44"/>
          <w:highlight w:val="none"/>
          <w:u w:val="single"/>
          <w:lang w:val="en-US" w:eastAsia="zh-CN"/>
        </w:rPr>
        <w:t>工程总承包</w:t>
      </w:r>
      <w:r>
        <w:rPr>
          <w:rFonts w:hint="eastAsia"/>
          <w:szCs w:val="44"/>
          <w:highlight w:val="none"/>
          <w:u w:val="single"/>
        </w:rPr>
        <w:t xml:space="preserve"> </w:t>
      </w:r>
      <w:r>
        <w:rPr>
          <w:highlight w:val="none"/>
        </w:rPr>
        <w:t>招标的评标专家。</w:t>
      </w:r>
    </w:p>
    <w:p w14:paraId="4AC703E1">
      <w:pPr>
        <w:spacing w:line="430" w:lineRule="exact"/>
        <w:ind w:firstLine="420" w:firstLineChars="200"/>
        <w:rPr>
          <w:highlight w:val="none"/>
        </w:rPr>
      </w:pPr>
      <w:r>
        <w:rPr>
          <w:highlight w:val="none"/>
        </w:rPr>
        <w:t>本人声明：本人在评标前未与招标人、招标代理机构以及</w:t>
      </w:r>
      <w:r>
        <w:rPr>
          <w:rFonts w:hint="eastAsia"/>
          <w:highlight w:val="none"/>
        </w:rPr>
        <w:t>任何投标人或者与招标结果有利害关系的人</w:t>
      </w:r>
      <w:r>
        <w:rPr>
          <w:highlight w:val="none"/>
        </w:rPr>
        <w:t>发生可能影响评标结果的接触；在中标结果确定之前，不向外透露对投标文件的评审、中标候选人的推荐情况以及与评标有关的其他情况；不收受招标人超出合理报酬以外的任何现金、有价证券和礼物；不收受关利害关系人的任何财物和好处；</w:t>
      </w:r>
      <w:r>
        <w:rPr>
          <w:rFonts w:hint="eastAsia"/>
          <w:highlight w:val="none"/>
        </w:rPr>
        <w:t>不存在按投标人须知第6.1.2款</w:t>
      </w:r>
      <w:r>
        <w:rPr>
          <w:highlight w:val="none"/>
        </w:rPr>
        <w:t>规定需要回避的情形。</w:t>
      </w:r>
    </w:p>
    <w:p w14:paraId="584CC302">
      <w:pPr>
        <w:spacing w:line="430" w:lineRule="exact"/>
        <w:ind w:firstLine="420" w:firstLineChars="200"/>
        <w:rPr>
          <w:highlight w:val="none"/>
        </w:rPr>
      </w:pPr>
      <w:r>
        <w:rPr>
          <w:highlight w:val="none"/>
        </w:rPr>
        <w:t>本人保证：在评标过程中，遵守评标纪律</w:t>
      </w:r>
      <w:r>
        <w:rPr>
          <w:rFonts w:hint="eastAsia"/>
          <w:highlight w:val="none"/>
        </w:rPr>
        <w:t>，不向招标人征询其确定中标人的意向，不接受任何单位或者个人明示或者暗示提出的倾向或者排斥特定投标人的要求，不对依法应当否决的投标不提出否决意见，不暗示或者诱导投标人作出澄清、说明或者接受投标人主动提出的澄清、说明；</w:t>
      </w:r>
      <w:r>
        <w:rPr>
          <w:highlight w:val="none"/>
        </w:rPr>
        <w:t>服从评标委员会的统一安排；独立、客观、公正地履行评标专家职责。</w:t>
      </w:r>
    </w:p>
    <w:p w14:paraId="0265F80C">
      <w:pPr>
        <w:spacing w:line="430" w:lineRule="exact"/>
        <w:ind w:firstLine="420" w:firstLineChars="200"/>
        <w:rPr>
          <w:highlight w:val="none"/>
        </w:rPr>
      </w:pPr>
      <w:r>
        <w:rPr>
          <w:highlight w:val="none"/>
        </w:rPr>
        <w:t>本人接受</w:t>
      </w:r>
      <w:r>
        <w:rPr>
          <w:rFonts w:hint="eastAsia"/>
          <w:highlight w:val="none"/>
        </w:rPr>
        <w:t>相关行政监督部门和综合监督管理部门</w:t>
      </w:r>
      <w:r>
        <w:rPr>
          <w:highlight w:val="none"/>
        </w:rPr>
        <w:t>依法实施监督。如违反上述承诺或者不能履行评标专家职责，本人愿意承担一切由此带来的法律责任。</w:t>
      </w:r>
    </w:p>
    <w:p w14:paraId="377275CE">
      <w:pPr>
        <w:spacing w:line="430" w:lineRule="exact"/>
        <w:ind w:firstLine="420" w:firstLineChars="200"/>
        <w:rPr>
          <w:highlight w:val="none"/>
        </w:rPr>
      </w:pPr>
      <w:r>
        <w:rPr>
          <w:highlight w:val="none"/>
        </w:rPr>
        <w:t>特此声明。</w:t>
      </w:r>
    </w:p>
    <w:p w14:paraId="0BBE05A4">
      <w:pPr>
        <w:spacing w:line="430" w:lineRule="exact"/>
        <w:ind w:firstLine="420" w:firstLineChars="200"/>
        <w:rPr>
          <w:highlight w:val="none"/>
        </w:rPr>
      </w:pPr>
    </w:p>
    <w:p w14:paraId="592CF83C">
      <w:pPr>
        <w:spacing w:line="430" w:lineRule="exact"/>
        <w:ind w:firstLine="420" w:firstLineChars="200"/>
        <w:rPr>
          <w:highlight w:val="none"/>
        </w:rPr>
      </w:pPr>
    </w:p>
    <w:p w14:paraId="68E9C36C">
      <w:pPr>
        <w:spacing w:line="430" w:lineRule="exact"/>
        <w:rPr>
          <w:highlight w:val="none"/>
        </w:rPr>
      </w:pPr>
      <w:r>
        <w:rPr>
          <w:highlight w:val="none"/>
        </w:rPr>
        <w:t>评标委员会</w:t>
      </w:r>
      <w:r>
        <w:rPr>
          <w:rFonts w:hint="eastAsia"/>
          <w:highlight w:val="none"/>
        </w:rPr>
        <w:t>全体</w:t>
      </w:r>
      <w:r>
        <w:rPr>
          <w:highlight w:val="none"/>
        </w:rPr>
        <w:t>成员签名：</w:t>
      </w:r>
    </w:p>
    <w:p w14:paraId="29D24EFF">
      <w:pPr>
        <w:spacing w:line="430" w:lineRule="exact"/>
        <w:rPr>
          <w:highlight w:val="none"/>
        </w:rPr>
      </w:pPr>
    </w:p>
    <w:p w14:paraId="45AF2B4D">
      <w:pPr>
        <w:spacing w:line="430" w:lineRule="exact"/>
        <w:ind w:firstLine="5145" w:firstLineChars="2450"/>
        <w:rPr>
          <w:highlight w:val="none"/>
        </w:rPr>
      </w:pPr>
    </w:p>
    <w:p w14:paraId="678BE04D">
      <w:pPr>
        <w:spacing w:line="430" w:lineRule="exact"/>
        <w:rPr>
          <w:highlight w:val="none"/>
        </w:rPr>
      </w:pPr>
      <w:r>
        <w:rPr>
          <w:rFonts w:hint="eastAsia"/>
          <w:highlight w:val="none"/>
        </w:rPr>
        <w:t>日期：      年    月    日</w:t>
      </w:r>
    </w:p>
    <w:p w14:paraId="78CD5BB4">
      <w:pPr>
        <w:spacing w:line="430" w:lineRule="exact"/>
        <w:ind w:firstLine="5460" w:firstLineChars="2600"/>
        <w:rPr>
          <w:highlight w:val="none"/>
        </w:rPr>
        <w:sectPr>
          <w:pgSz w:w="11907" w:h="16840"/>
          <w:pgMar w:top="1701" w:right="1531" w:bottom="1588" w:left="1474" w:header="851" w:footer="992" w:gutter="0"/>
          <w:cols w:space="425" w:num="1"/>
          <w:docGrid w:linePitch="312" w:charSpace="0"/>
        </w:sectPr>
      </w:pPr>
    </w:p>
    <w:p w14:paraId="25291872">
      <w:pPr>
        <w:pStyle w:val="98"/>
        <w:rPr>
          <w:rFonts w:hint="eastAsia"/>
          <w:highlight w:val="none"/>
        </w:rPr>
      </w:pPr>
      <w:bookmarkStart w:id="1379" w:name="_Toc16535"/>
      <w:r>
        <w:rPr>
          <w:rFonts w:hint="eastAsia"/>
          <w:highlight w:val="none"/>
        </w:rPr>
        <w:t>附表A-3：技术评审（暗标）记录表（评分）</w:t>
      </w:r>
      <w:bookmarkEnd w:id="1379"/>
    </w:p>
    <w:p w14:paraId="2225FC02">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hint="eastAsia" w:ascii="黑体" w:hAnsi="宋体" w:eastAsia="黑体"/>
          <w:sz w:val="28"/>
          <w:szCs w:val="28"/>
          <w:highlight w:val="none"/>
        </w:rPr>
        <w:t>技术标评审（暗标）记录表</w:t>
      </w:r>
    </w:p>
    <w:p w14:paraId="6AEFDEC7">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4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986"/>
        <w:gridCol w:w="2099"/>
        <w:gridCol w:w="2100"/>
        <w:gridCol w:w="712"/>
        <w:gridCol w:w="784"/>
        <w:gridCol w:w="785"/>
        <w:gridCol w:w="785"/>
        <w:gridCol w:w="784"/>
        <w:gridCol w:w="785"/>
        <w:gridCol w:w="785"/>
        <w:gridCol w:w="784"/>
        <w:gridCol w:w="785"/>
        <w:gridCol w:w="785"/>
      </w:tblGrid>
      <w:tr w14:paraId="62B3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Merge w:val="restart"/>
            <w:vAlign w:val="center"/>
          </w:tcPr>
          <w:p w14:paraId="5C47F56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1986" w:type="dxa"/>
            <w:vMerge w:val="restart"/>
            <w:vAlign w:val="center"/>
          </w:tcPr>
          <w:p w14:paraId="0E40995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评分项目</w:t>
            </w:r>
          </w:p>
        </w:tc>
        <w:tc>
          <w:tcPr>
            <w:tcW w:w="2099" w:type="dxa"/>
            <w:vMerge w:val="restart"/>
            <w:vAlign w:val="center"/>
          </w:tcPr>
          <w:p w14:paraId="55636DC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Source Han Sans CN" w:hAnsi="Source Han Sans CN" w:eastAsia="Source Han Sans CN" w:cs="Source Han Sans CN"/>
                <w:i w:val="0"/>
                <w:caps w:val="0"/>
                <w:spacing w:val="0"/>
                <w:sz w:val="24"/>
                <w:szCs w:val="24"/>
                <w:highlight w:val="none"/>
                <w:shd w:val="clear" w:fill="FFFFFF"/>
              </w:rPr>
              <w:t>评</w:t>
            </w:r>
            <w:r>
              <w:rPr>
                <w:rFonts w:hint="default" w:ascii="Source Han Sans CN" w:hAnsi="Source Han Sans CN" w:eastAsia="Source Han Sans CN" w:cs="Source Han Sans CN"/>
                <w:i w:val="0"/>
                <w:caps w:val="0"/>
                <w:spacing w:val="0"/>
                <w:sz w:val="24"/>
                <w:szCs w:val="24"/>
                <w:highlight w:val="none"/>
                <w:shd w:val="clear" w:fill="FFFFFF"/>
              </w:rPr>
              <w:t>分因素</w:t>
            </w:r>
          </w:p>
        </w:tc>
        <w:tc>
          <w:tcPr>
            <w:tcW w:w="2100" w:type="dxa"/>
            <w:vMerge w:val="restart"/>
            <w:vAlign w:val="center"/>
          </w:tcPr>
          <w:p w14:paraId="5F7BA6A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评分标准</w:t>
            </w:r>
          </w:p>
        </w:tc>
        <w:tc>
          <w:tcPr>
            <w:tcW w:w="712" w:type="dxa"/>
            <w:vMerge w:val="restart"/>
            <w:vAlign w:val="center"/>
          </w:tcPr>
          <w:p w14:paraId="75ACC895">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标准分</w:t>
            </w:r>
          </w:p>
        </w:tc>
        <w:tc>
          <w:tcPr>
            <w:tcW w:w="7062" w:type="dxa"/>
            <w:gridSpan w:val="9"/>
            <w:vAlign w:val="center"/>
          </w:tcPr>
          <w:p w14:paraId="3D593DD0">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暗标编号及评审得分</w:t>
            </w:r>
          </w:p>
        </w:tc>
      </w:tr>
      <w:tr w14:paraId="0115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Merge w:val="continue"/>
            <w:vAlign w:val="center"/>
          </w:tcPr>
          <w:p w14:paraId="36D82A4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986" w:type="dxa"/>
            <w:vMerge w:val="continue"/>
            <w:vAlign w:val="center"/>
          </w:tcPr>
          <w:p w14:paraId="34F029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099" w:type="dxa"/>
            <w:vMerge w:val="continue"/>
            <w:vAlign w:val="center"/>
          </w:tcPr>
          <w:p w14:paraId="73BDFB1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100" w:type="dxa"/>
            <w:vMerge w:val="continue"/>
            <w:vAlign w:val="center"/>
          </w:tcPr>
          <w:p w14:paraId="78765FD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12" w:type="dxa"/>
            <w:vMerge w:val="continue"/>
            <w:vAlign w:val="center"/>
          </w:tcPr>
          <w:p w14:paraId="257F491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36B4D3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6FAFE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100157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541AB8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19D414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9110FA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3943EA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B622CA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F5A862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042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345A7FFE">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1</w:t>
            </w:r>
          </w:p>
        </w:tc>
        <w:tc>
          <w:tcPr>
            <w:tcW w:w="1986" w:type="dxa"/>
            <w:vMerge w:val="restart"/>
            <w:vAlign w:val="center"/>
          </w:tcPr>
          <w:p w14:paraId="3A68EE01">
            <w:pPr>
              <w:keepNext w:val="0"/>
              <w:keepLines w:val="0"/>
              <w:suppressLineNumbers w:val="0"/>
              <w:spacing w:before="0" w:beforeAutospacing="0" w:after="0" w:afterAutospacing="0"/>
              <w:ind w:left="0" w:right="0"/>
              <w:rPr>
                <w:rFonts w:hint="eastAsia" w:ascii="宋体" w:hAnsi="宋体" w:cs="宋体"/>
                <w:kern w:val="0"/>
                <w:szCs w:val="21"/>
                <w:highlight w:val="none"/>
              </w:rPr>
            </w:pPr>
            <w:r>
              <w:rPr>
                <w:rFonts w:ascii="Calibri" w:hAnsi="Calibri" w:eastAsia="宋体" w:cs="Times New Roman"/>
                <w:color w:val="auto"/>
                <w:szCs w:val="21"/>
                <w:highlight w:val="none"/>
              </w:rPr>
              <w:t>承包人实施方案</w:t>
            </w:r>
          </w:p>
        </w:tc>
        <w:tc>
          <w:tcPr>
            <w:tcW w:w="2099" w:type="dxa"/>
            <w:vAlign w:val="center"/>
          </w:tcPr>
          <w:p w14:paraId="5207C27D">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总体实施方案</w:t>
            </w:r>
          </w:p>
        </w:tc>
        <w:tc>
          <w:tcPr>
            <w:tcW w:w="2100" w:type="dxa"/>
            <w:vAlign w:val="center"/>
          </w:tcPr>
          <w:p w14:paraId="53E1E9E6">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cs="宋体"/>
                <w:kern w:val="0"/>
                <w:sz w:val="21"/>
                <w:szCs w:val="21"/>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3B2B44A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7AC266C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B7708A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840BA7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1A74B17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12AA1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062296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15DE694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6C6204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B24FA6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D5D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4A13757C">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2</w:t>
            </w:r>
          </w:p>
        </w:tc>
        <w:tc>
          <w:tcPr>
            <w:tcW w:w="1986" w:type="dxa"/>
            <w:vMerge w:val="continue"/>
            <w:vAlign w:val="center"/>
          </w:tcPr>
          <w:p w14:paraId="4BCE870A">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064890BF">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项目实施要点</w:t>
            </w:r>
          </w:p>
        </w:tc>
        <w:tc>
          <w:tcPr>
            <w:tcW w:w="2100" w:type="dxa"/>
            <w:vAlign w:val="center"/>
          </w:tcPr>
          <w:p w14:paraId="184AAB05">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2DF43CE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5EC191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89626B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86926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723823B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5C3971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3BA773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2733F34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46DFE7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793690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558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68A491CB">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3</w:t>
            </w:r>
          </w:p>
        </w:tc>
        <w:tc>
          <w:tcPr>
            <w:tcW w:w="1986" w:type="dxa"/>
            <w:vMerge w:val="continue"/>
            <w:vAlign w:val="center"/>
          </w:tcPr>
          <w:p w14:paraId="5F6C9DB4">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789F7657">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项目管理要点</w:t>
            </w:r>
          </w:p>
        </w:tc>
        <w:tc>
          <w:tcPr>
            <w:tcW w:w="2100" w:type="dxa"/>
            <w:vAlign w:val="center"/>
          </w:tcPr>
          <w:p w14:paraId="661E7790">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3351D92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332D07D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E9C6CB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57094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07360EA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4B3F7B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8CEFD6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23B0B74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EB9D46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AAA2EE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BB4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2B988D7D">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4</w:t>
            </w:r>
          </w:p>
        </w:tc>
        <w:tc>
          <w:tcPr>
            <w:tcW w:w="1986" w:type="dxa"/>
            <w:vMerge w:val="continue"/>
            <w:vAlign w:val="center"/>
          </w:tcPr>
          <w:p w14:paraId="47DC466E">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30B4AFAA">
            <w:pPr>
              <w:keepNext w:val="0"/>
              <w:keepLines w:val="0"/>
              <w:suppressLineNumbers w:val="0"/>
              <w:spacing w:before="0" w:beforeAutospacing="0" w:after="0" w:afterAutospacing="0" w:line="440" w:lineRule="exact"/>
              <w:ind w:left="0" w:leftChars="0" w:right="0" w:rightChars="0"/>
              <w:jc w:val="center"/>
              <w:rPr>
                <w:highlight w:val="none"/>
              </w:rPr>
            </w:pPr>
            <w:r>
              <w:rPr>
                <w:rFonts w:hint="eastAsia" w:ascii="Calibri" w:hAnsi="Calibri" w:eastAsia="宋体" w:cs="Times New Roman"/>
                <w:color w:val="auto"/>
                <w:szCs w:val="21"/>
                <w:highlight w:val="none"/>
              </w:rPr>
              <w:t>……</w:t>
            </w:r>
          </w:p>
        </w:tc>
        <w:tc>
          <w:tcPr>
            <w:tcW w:w="2100" w:type="dxa"/>
            <w:vAlign w:val="center"/>
          </w:tcPr>
          <w:p w14:paraId="74DC1D17">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528F8C55">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4336F11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84C1FB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BEADA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7BF7FBB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91EF76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848B95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219A93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7777F27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50F7E6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B37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628" w:type="dxa"/>
            <w:gridSpan w:val="5"/>
            <w:vAlign w:val="center"/>
          </w:tcPr>
          <w:p w14:paraId="601B115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Calibri" w:hAnsi="Calibri" w:eastAsia="宋体" w:cs="Times New Roman"/>
                <w:color w:val="auto"/>
                <w:szCs w:val="21"/>
                <w:highlight w:val="none"/>
              </w:rPr>
              <w:t>承包人实施方案</w:t>
            </w:r>
            <w:r>
              <w:rPr>
                <w:rFonts w:hint="eastAsia" w:ascii="宋体" w:hAnsi="宋体"/>
                <w:bCs/>
                <w:szCs w:val="21"/>
                <w:highlight w:val="none"/>
              </w:rPr>
              <w:t>合计</w:t>
            </w:r>
            <w:r>
              <w:rPr>
                <w:rFonts w:hint="eastAsia" w:ascii="宋体" w:hAnsi="宋体"/>
                <w:bCs/>
                <w:szCs w:val="21"/>
                <w:highlight w:val="none"/>
                <w:lang w:val="en-US" w:eastAsia="zh-CN"/>
              </w:rPr>
              <w:t>A</w:t>
            </w:r>
            <w:r>
              <w:rPr>
                <w:rFonts w:hint="eastAsia" w:ascii="宋体" w:hAnsi="宋体"/>
                <w:bCs/>
                <w:szCs w:val="21"/>
                <w:highlight w:val="none"/>
                <w:lang w:eastAsia="zh-CN"/>
              </w:rPr>
              <w:t>（</w:t>
            </w:r>
            <w:r>
              <w:rPr>
                <w:rFonts w:hint="eastAsia" w:ascii="宋体" w:hAnsi="宋体"/>
                <w:bCs/>
                <w:szCs w:val="21"/>
                <w:highlight w:val="none"/>
                <w:lang w:val="en-US" w:eastAsia="zh-CN"/>
              </w:rPr>
              <w:t xml:space="preserve"> 满分  分）</w:t>
            </w:r>
          </w:p>
        </w:tc>
        <w:tc>
          <w:tcPr>
            <w:tcW w:w="784" w:type="dxa"/>
            <w:vAlign w:val="center"/>
          </w:tcPr>
          <w:p w14:paraId="113E865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CE887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F116F6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16565B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82D647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7CD382C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0EAE278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28086D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AFB87CC">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0C313EE1">
      <w:pPr>
        <w:spacing w:line="430" w:lineRule="exact"/>
        <w:rPr>
          <w:highlight w:val="none"/>
        </w:rPr>
      </w:pPr>
      <w:r>
        <w:rPr>
          <w:rFonts w:hint="eastAsia"/>
          <w:highlight w:val="none"/>
        </w:rPr>
        <w:t xml:space="preserve">     </w:t>
      </w:r>
    </w:p>
    <w:p w14:paraId="424B0295">
      <w:pPr>
        <w:widowControl/>
        <w:jc w:val="left"/>
        <w:rPr>
          <w:highlight w:val="none"/>
        </w:rPr>
        <w:sectPr>
          <w:pgSz w:w="16840" w:h="11907" w:orient="landscape"/>
          <w:pgMar w:top="1531" w:right="1588" w:bottom="1474" w:left="1701" w:header="851" w:footer="992" w:gutter="0"/>
          <w:cols w:space="425" w:num="1"/>
          <w:docGrid w:linePitch="312" w:charSpace="0"/>
        </w:sectPr>
      </w:pPr>
    </w:p>
    <w:p w14:paraId="7FB90076">
      <w:pPr>
        <w:pStyle w:val="98"/>
        <w:rPr>
          <w:rFonts w:hint="eastAsia"/>
          <w:highlight w:val="none"/>
        </w:rPr>
      </w:pPr>
      <w:bookmarkStart w:id="1380" w:name="_Toc25502"/>
      <w:r>
        <w:rPr>
          <w:rFonts w:hint="eastAsia"/>
          <w:highlight w:val="none"/>
        </w:rPr>
        <w:t>附表A-4：技术暗标编号确认表</w:t>
      </w:r>
      <w:bookmarkEnd w:id="1380"/>
    </w:p>
    <w:p w14:paraId="6C327F2F">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ascii="黑体" w:hAnsi="宋体" w:eastAsia="黑体"/>
          <w:sz w:val="28"/>
          <w:szCs w:val="28"/>
          <w:highlight w:val="none"/>
        </w:rPr>
        <w:t>技术暗标编号确认表</w:t>
      </w:r>
    </w:p>
    <w:p w14:paraId="3AED4FD5">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lang w:val="en-US" w:eastAsia="zh-CN"/>
        </w:rPr>
        <w:t xml:space="preserve">工程总承包 </w:t>
      </w:r>
      <w:r>
        <w:rPr>
          <w:rFonts w:hint="eastAsia"/>
          <w:highlight w:val="none"/>
        </w:rPr>
        <w:t>招标</w:t>
      </w:r>
    </w:p>
    <w:tbl>
      <w:tblPr>
        <w:tblStyle w:val="39"/>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5388"/>
        <w:gridCol w:w="2693"/>
      </w:tblGrid>
      <w:tr w14:paraId="51E4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vAlign w:val="center"/>
          </w:tcPr>
          <w:p w14:paraId="3BB8DCC0">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5388" w:type="dxa"/>
            <w:vAlign w:val="center"/>
          </w:tcPr>
          <w:p w14:paraId="5A38036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投</w:t>
            </w:r>
            <w:r>
              <w:rPr>
                <w:rFonts w:hint="eastAsia" w:ascii="宋体" w:hAnsi="宋体"/>
                <w:szCs w:val="44"/>
                <w:highlight w:val="none"/>
              </w:rPr>
              <w:t xml:space="preserve"> </w:t>
            </w:r>
            <w:r>
              <w:rPr>
                <w:rFonts w:ascii="宋体" w:hAnsi="宋体"/>
                <w:szCs w:val="44"/>
                <w:highlight w:val="none"/>
              </w:rPr>
              <w:t>标</w:t>
            </w:r>
            <w:r>
              <w:rPr>
                <w:rFonts w:hint="eastAsia" w:ascii="宋体" w:hAnsi="宋体"/>
                <w:szCs w:val="44"/>
                <w:highlight w:val="none"/>
              </w:rPr>
              <w:t xml:space="preserve"> </w:t>
            </w:r>
            <w:r>
              <w:rPr>
                <w:rFonts w:ascii="宋体" w:hAnsi="宋体"/>
                <w:szCs w:val="44"/>
                <w:highlight w:val="none"/>
              </w:rPr>
              <w:t>人</w:t>
            </w:r>
            <w:r>
              <w:rPr>
                <w:rFonts w:hint="eastAsia" w:ascii="宋体" w:hAnsi="宋体"/>
                <w:szCs w:val="44"/>
                <w:highlight w:val="none"/>
              </w:rPr>
              <w:t xml:space="preserve"> </w:t>
            </w:r>
            <w:r>
              <w:rPr>
                <w:rFonts w:ascii="宋体" w:hAnsi="宋体"/>
                <w:szCs w:val="44"/>
                <w:highlight w:val="none"/>
              </w:rPr>
              <w:t>名</w:t>
            </w:r>
            <w:r>
              <w:rPr>
                <w:rFonts w:hint="eastAsia" w:ascii="宋体" w:hAnsi="宋体"/>
                <w:szCs w:val="44"/>
                <w:highlight w:val="none"/>
              </w:rPr>
              <w:t xml:space="preserve"> </w:t>
            </w:r>
            <w:r>
              <w:rPr>
                <w:rFonts w:ascii="宋体" w:hAnsi="宋体"/>
                <w:szCs w:val="44"/>
                <w:highlight w:val="none"/>
              </w:rPr>
              <w:t>称</w:t>
            </w:r>
          </w:p>
        </w:tc>
        <w:tc>
          <w:tcPr>
            <w:tcW w:w="2693" w:type="dxa"/>
            <w:vAlign w:val="center"/>
          </w:tcPr>
          <w:p w14:paraId="14989ED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暗</w:t>
            </w:r>
            <w:r>
              <w:rPr>
                <w:rFonts w:hint="eastAsia" w:ascii="宋体" w:hAnsi="宋体"/>
                <w:szCs w:val="44"/>
                <w:highlight w:val="none"/>
              </w:rPr>
              <w:t xml:space="preserve"> </w:t>
            </w:r>
            <w:r>
              <w:rPr>
                <w:rFonts w:ascii="宋体" w:hAnsi="宋体"/>
                <w:szCs w:val="44"/>
                <w:highlight w:val="none"/>
              </w:rPr>
              <w:t>标</w:t>
            </w:r>
            <w:r>
              <w:rPr>
                <w:rFonts w:hint="eastAsia" w:ascii="宋体" w:hAnsi="宋体"/>
                <w:szCs w:val="44"/>
                <w:highlight w:val="none"/>
              </w:rPr>
              <w:t xml:space="preserve"> </w:t>
            </w:r>
            <w:r>
              <w:rPr>
                <w:rFonts w:ascii="宋体" w:hAnsi="宋体"/>
                <w:szCs w:val="44"/>
                <w:highlight w:val="none"/>
              </w:rPr>
              <w:t>编</w:t>
            </w:r>
            <w:r>
              <w:rPr>
                <w:rFonts w:hint="eastAsia" w:ascii="宋体" w:hAnsi="宋体"/>
                <w:szCs w:val="44"/>
                <w:highlight w:val="none"/>
              </w:rPr>
              <w:t xml:space="preserve"> </w:t>
            </w:r>
            <w:r>
              <w:rPr>
                <w:rFonts w:ascii="宋体" w:hAnsi="宋体"/>
                <w:szCs w:val="44"/>
                <w:highlight w:val="none"/>
              </w:rPr>
              <w:t>号</w:t>
            </w:r>
          </w:p>
        </w:tc>
      </w:tr>
      <w:tr w14:paraId="77E8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1A612157">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67186605">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3B15A26C">
            <w:pPr>
              <w:keepNext w:val="0"/>
              <w:keepLines w:val="0"/>
              <w:suppressLineNumbers w:val="0"/>
              <w:spacing w:before="0" w:beforeAutospacing="0" w:after="240" w:afterLines="100" w:afterAutospacing="0"/>
              <w:ind w:left="0" w:right="0"/>
              <w:rPr>
                <w:rFonts w:ascii="黑体" w:eastAsia="黑体"/>
                <w:sz w:val="24"/>
                <w:highlight w:val="none"/>
              </w:rPr>
            </w:pPr>
          </w:p>
        </w:tc>
      </w:tr>
      <w:tr w14:paraId="5A67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59AD6A16">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3B8EF4D7">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060EC177">
            <w:pPr>
              <w:keepNext w:val="0"/>
              <w:keepLines w:val="0"/>
              <w:suppressLineNumbers w:val="0"/>
              <w:spacing w:before="0" w:beforeAutospacing="0" w:after="240" w:afterLines="100" w:afterAutospacing="0"/>
              <w:ind w:left="0" w:right="0"/>
              <w:rPr>
                <w:rFonts w:ascii="黑体" w:eastAsia="黑体"/>
                <w:sz w:val="24"/>
                <w:highlight w:val="none"/>
              </w:rPr>
            </w:pPr>
          </w:p>
        </w:tc>
      </w:tr>
      <w:tr w14:paraId="5AD5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4F683DAC">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F2A97BD">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27F1257D">
            <w:pPr>
              <w:keepNext w:val="0"/>
              <w:keepLines w:val="0"/>
              <w:suppressLineNumbers w:val="0"/>
              <w:spacing w:before="0" w:beforeAutospacing="0" w:after="240" w:afterLines="100" w:afterAutospacing="0"/>
              <w:ind w:left="0" w:right="0"/>
              <w:rPr>
                <w:rFonts w:ascii="黑体" w:eastAsia="黑体"/>
                <w:sz w:val="24"/>
                <w:highlight w:val="none"/>
              </w:rPr>
            </w:pPr>
          </w:p>
        </w:tc>
      </w:tr>
      <w:tr w14:paraId="16F1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17BD8CE2">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A373847">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6EDD01D2">
            <w:pPr>
              <w:keepNext w:val="0"/>
              <w:keepLines w:val="0"/>
              <w:suppressLineNumbers w:val="0"/>
              <w:spacing w:before="0" w:beforeAutospacing="0" w:after="240" w:afterLines="100" w:afterAutospacing="0"/>
              <w:ind w:left="0" w:right="0"/>
              <w:rPr>
                <w:rFonts w:ascii="黑体" w:eastAsia="黑体"/>
                <w:sz w:val="24"/>
                <w:highlight w:val="none"/>
              </w:rPr>
            </w:pPr>
          </w:p>
        </w:tc>
      </w:tr>
      <w:tr w14:paraId="75E9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79B39659">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6DB4C481">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1006E195">
            <w:pPr>
              <w:keepNext w:val="0"/>
              <w:keepLines w:val="0"/>
              <w:suppressLineNumbers w:val="0"/>
              <w:spacing w:before="0" w:beforeAutospacing="0" w:after="240" w:afterLines="100" w:afterAutospacing="0"/>
              <w:ind w:left="0" w:right="0"/>
              <w:rPr>
                <w:rFonts w:ascii="黑体" w:eastAsia="黑体"/>
                <w:sz w:val="24"/>
                <w:highlight w:val="none"/>
              </w:rPr>
            </w:pPr>
          </w:p>
        </w:tc>
      </w:tr>
      <w:tr w14:paraId="4B42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523A7BCB">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37F762EB">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6EC4F7AB">
            <w:pPr>
              <w:keepNext w:val="0"/>
              <w:keepLines w:val="0"/>
              <w:suppressLineNumbers w:val="0"/>
              <w:spacing w:before="0" w:beforeAutospacing="0" w:after="240" w:afterLines="100" w:afterAutospacing="0"/>
              <w:ind w:left="0" w:right="0"/>
              <w:rPr>
                <w:rFonts w:ascii="黑体" w:eastAsia="黑体"/>
                <w:sz w:val="24"/>
                <w:highlight w:val="none"/>
              </w:rPr>
            </w:pPr>
          </w:p>
        </w:tc>
      </w:tr>
      <w:tr w14:paraId="3301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16" w:type="dxa"/>
          </w:tcPr>
          <w:p w14:paraId="45C66C58">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5C0A701">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1B29E50E">
            <w:pPr>
              <w:keepNext w:val="0"/>
              <w:keepLines w:val="0"/>
              <w:suppressLineNumbers w:val="0"/>
              <w:spacing w:before="0" w:beforeAutospacing="0" w:after="240" w:afterLines="100" w:afterAutospacing="0"/>
              <w:ind w:left="0" w:right="0"/>
              <w:rPr>
                <w:rFonts w:ascii="黑体" w:eastAsia="黑体"/>
                <w:sz w:val="24"/>
                <w:highlight w:val="none"/>
              </w:rPr>
            </w:pPr>
          </w:p>
        </w:tc>
      </w:tr>
      <w:tr w14:paraId="7C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62AFB62C">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3C27D813">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591EFA03">
            <w:pPr>
              <w:keepNext w:val="0"/>
              <w:keepLines w:val="0"/>
              <w:suppressLineNumbers w:val="0"/>
              <w:spacing w:before="0" w:beforeAutospacing="0" w:after="240" w:afterLines="100" w:afterAutospacing="0"/>
              <w:ind w:left="0" w:right="0"/>
              <w:rPr>
                <w:rFonts w:ascii="黑体" w:eastAsia="黑体"/>
                <w:sz w:val="24"/>
                <w:highlight w:val="none"/>
              </w:rPr>
            </w:pPr>
          </w:p>
        </w:tc>
      </w:tr>
      <w:tr w14:paraId="714D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5794FC25">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6F29557D">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66320680">
            <w:pPr>
              <w:keepNext w:val="0"/>
              <w:keepLines w:val="0"/>
              <w:suppressLineNumbers w:val="0"/>
              <w:spacing w:before="0" w:beforeAutospacing="0" w:after="240" w:afterLines="100" w:afterAutospacing="0"/>
              <w:ind w:left="0" w:right="0"/>
              <w:rPr>
                <w:rFonts w:ascii="黑体" w:eastAsia="黑体"/>
                <w:sz w:val="24"/>
                <w:highlight w:val="none"/>
              </w:rPr>
            </w:pPr>
          </w:p>
        </w:tc>
      </w:tr>
      <w:tr w14:paraId="4375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7960E55A">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1734D12">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380B5693">
            <w:pPr>
              <w:keepNext w:val="0"/>
              <w:keepLines w:val="0"/>
              <w:suppressLineNumbers w:val="0"/>
              <w:spacing w:before="0" w:beforeAutospacing="0" w:after="240" w:afterLines="100" w:afterAutospacing="0"/>
              <w:ind w:left="0" w:right="0"/>
              <w:rPr>
                <w:rFonts w:ascii="黑体" w:eastAsia="黑体"/>
                <w:sz w:val="24"/>
                <w:highlight w:val="none"/>
              </w:rPr>
            </w:pPr>
          </w:p>
        </w:tc>
      </w:tr>
      <w:tr w14:paraId="49FF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53D6EE52">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4CC3F952">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7DA40DCA">
            <w:pPr>
              <w:keepNext w:val="0"/>
              <w:keepLines w:val="0"/>
              <w:suppressLineNumbers w:val="0"/>
              <w:spacing w:before="0" w:beforeAutospacing="0" w:after="240" w:afterLines="100" w:afterAutospacing="0"/>
              <w:ind w:left="0" w:right="0"/>
              <w:rPr>
                <w:rFonts w:ascii="黑体" w:eastAsia="黑体"/>
                <w:sz w:val="24"/>
                <w:highlight w:val="none"/>
              </w:rPr>
            </w:pPr>
          </w:p>
        </w:tc>
      </w:tr>
      <w:tr w14:paraId="349D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25EDA54F">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7DE89FDE">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09A48BC7">
            <w:pPr>
              <w:keepNext w:val="0"/>
              <w:keepLines w:val="0"/>
              <w:suppressLineNumbers w:val="0"/>
              <w:spacing w:before="0" w:beforeAutospacing="0" w:after="240" w:afterLines="100" w:afterAutospacing="0"/>
              <w:ind w:left="0" w:right="0"/>
              <w:rPr>
                <w:rFonts w:ascii="黑体" w:eastAsia="黑体"/>
                <w:sz w:val="24"/>
                <w:highlight w:val="none"/>
              </w:rPr>
            </w:pPr>
          </w:p>
        </w:tc>
      </w:tr>
      <w:tr w14:paraId="7AB6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220DA004">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5C3E700">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0D078BAD">
            <w:pPr>
              <w:keepNext w:val="0"/>
              <w:keepLines w:val="0"/>
              <w:suppressLineNumbers w:val="0"/>
              <w:spacing w:before="0" w:beforeAutospacing="0" w:after="240" w:afterLines="100" w:afterAutospacing="0"/>
              <w:ind w:left="0" w:right="0"/>
              <w:rPr>
                <w:rFonts w:ascii="黑体" w:eastAsia="黑体"/>
                <w:sz w:val="24"/>
                <w:highlight w:val="none"/>
              </w:rPr>
            </w:pPr>
          </w:p>
        </w:tc>
      </w:tr>
    </w:tbl>
    <w:p w14:paraId="720E3A77">
      <w:pPr>
        <w:spacing w:line="430" w:lineRule="exact"/>
        <w:rPr>
          <w:highlight w:val="none"/>
        </w:rPr>
      </w:pPr>
      <w:r>
        <w:rPr>
          <w:highlight w:val="none"/>
        </w:rPr>
        <w:t>评标委员会</w:t>
      </w:r>
      <w:r>
        <w:rPr>
          <w:rFonts w:hint="eastAsia"/>
          <w:highlight w:val="none"/>
        </w:rPr>
        <w:t>全体</w:t>
      </w:r>
      <w:r>
        <w:rPr>
          <w:highlight w:val="none"/>
        </w:rPr>
        <w:t>成员签名：</w:t>
      </w:r>
    </w:p>
    <w:p w14:paraId="33DD4593">
      <w:pPr>
        <w:spacing w:line="430" w:lineRule="exact"/>
        <w:rPr>
          <w:highlight w:val="none"/>
        </w:rPr>
      </w:pPr>
    </w:p>
    <w:p w14:paraId="064FE624">
      <w:pPr>
        <w:spacing w:line="430" w:lineRule="exact"/>
        <w:rPr>
          <w:highlight w:val="none"/>
        </w:rPr>
      </w:pPr>
      <w:r>
        <w:rPr>
          <w:rFonts w:hint="eastAsia"/>
          <w:highlight w:val="none"/>
        </w:rPr>
        <w:t>日期：      年    月    日</w:t>
      </w:r>
    </w:p>
    <w:p w14:paraId="4C94AD52">
      <w:pPr>
        <w:pStyle w:val="98"/>
        <w:rPr>
          <w:rFonts w:hint="eastAsia"/>
          <w:szCs w:val="21"/>
          <w:highlight w:val="none"/>
        </w:rPr>
        <w:sectPr>
          <w:pgSz w:w="11907" w:h="16840"/>
          <w:pgMar w:top="1701" w:right="1531" w:bottom="1588" w:left="1474" w:header="851" w:footer="992" w:gutter="0"/>
          <w:cols w:space="425" w:num="1"/>
          <w:docGrid w:linePitch="312" w:charSpace="0"/>
        </w:sectPr>
      </w:pPr>
    </w:p>
    <w:p w14:paraId="29262913">
      <w:pPr>
        <w:pStyle w:val="98"/>
        <w:rPr>
          <w:rFonts w:hint="eastAsia"/>
          <w:highlight w:val="none"/>
        </w:rPr>
      </w:pPr>
      <w:bookmarkStart w:id="1381" w:name="_Toc4354"/>
      <w:r>
        <w:rPr>
          <w:rFonts w:hint="eastAsia"/>
          <w:highlight w:val="none"/>
        </w:rPr>
        <w:t>附表A-5：形式评审记录表</w:t>
      </w:r>
      <w:bookmarkEnd w:id="1381"/>
    </w:p>
    <w:p w14:paraId="5942298F">
      <w:pPr>
        <w:spacing w:after="240" w:afterLines="100"/>
        <w:jc w:val="center"/>
        <w:rPr>
          <w:rFonts w:ascii="黑体" w:eastAsia="黑体"/>
          <w:sz w:val="28"/>
          <w:szCs w:val="28"/>
          <w:highlight w:val="none"/>
        </w:rPr>
      </w:pPr>
      <w:r>
        <w:rPr>
          <w:rFonts w:hint="eastAsia" w:ascii="黑体" w:eastAsia="黑体"/>
          <w:sz w:val="28"/>
          <w:szCs w:val="28"/>
          <w:highlight w:val="none"/>
        </w:rPr>
        <w:t>形式评审记录表</w:t>
      </w:r>
    </w:p>
    <w:p w14:paraId="308C4D04">
      <w:pPr>
        <w:spacing w:line="430" w:lineRule="exact"/>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lang w:val="en-US" w:eastAsia="zh-CN"/>
        </w:rPr>
        <w:t xml:space="preserve">工程总承包 </w:t>
      </w:r>
      <w:r>
        <w:rPr>
          <w:rFonts w:hint="eastAsia"/>
          <w:highlight w:val="none"/>
        </w:rPr>
        <w:t xml:space="preserve">招标   </w:t>
      </w:r>
    </w:p>
    <w:tbl>
      <w:tblPr>
        <w:tblStyle w:val="39"/>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179"/>
        <w:gridCol w:w="2694"/>
        <w:gridCol w:w="708"/>
        <w:gridCol w:w="709"/>
        <w:gridCol w:w="709"/>
        <w:gridCol w:w="708"/>
        <w:gridCol w:w="709"/>
        <w:gridCol w:w="709"/>
        <w:gridCol w:w="709"/>
      </w:tblGrid>
      <w:tr w14:paraId="6C88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30" w:type="dxa"/>
            <w:vMerge w:val="restart"/>
            <w:vAlign w:val="center"/>
          </w:tcPr>
          <w:p w14:paraId="1E426C3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w:t>
            </w:r>
          </w:p>
          <w:p w14:paraId="0689A8C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号</w:t>
            </w:r>
          </w:p>
        </w:tc>
        <w:tc>
          <w:tcPr>
            <w:tcW w:w="1179" w:type="dxa"/>
            <w:vMerge w:val="restart"/>
            <w:vAlign w:val="center"/>
          </w:tcPr>
          <w:p w14:paraId="33D15B1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评审因素</w:t>
            </w:r>
          </w:p>
        </w:tc>
        <w:tc>
          <w:tcPr>
            <w:tcW w:w="2694" w:type="dxa"/>
            <w:vMerge w:val="restart"/>
            <w:vAlign w:val="center"/>
          </w:tcPr>
          <w:p w14:paraId="071F54F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评审标准</w:t>
            </w:r>
          </w:p>
        </w:tc>
        <w:tc>
          <w:tcPr>
            <w:tcW w:w="4961" w:type="dxa"/>
            <w:gridSpan w:val="7"/>
            <w:vAlign w:val="center"/>
          </w:tcPr>
          <w:p w14:paraId="0AF147D6">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183F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30" w:type="dxa"/>
            <w:vMerge w:val="continue"/>
            <w:vAlign w:val="center"/>
          </w:tcPr>
          <w:p w14:paraId="49607E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179" w:type="dxa"/>
            <w:vMerge w:val="continue"/>
            <w:vAlign w:val="center"/>
          </w:tcPr>
          <w:p w14:paraId="67CF49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694" w:type="dxa"/>
            <w:vMerge w:val="continue"/>
            <w:vAlign w:val="center"/>
          </w:tcPr>
          <w:p w14:paraId="4FFA38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B7D37C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A85BBB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AEB37F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5CC7C7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74CE3D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B7D748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D71CB4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2CD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3CF806E6">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1</w:t>
            </w:r>
          </w:p>
        </w:tc>
        <w:tc>
          <w:tcPr>
            <w:tcW w:w="1179" w:type="dxa"/>
            <w:vAlign w:val="center"/>
          </w:tcPr>
          <w:p w14:paraId="14EF2F77">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21"/>
                <w:highlight w:val="none"/>
              </w:rPr>
              <w:t>投标文件</w:t>
            </w:r>
          </w:p>
        </w:tc>
        <w:tc>
          <w:tcPr>
            <w:tcW w:w="2694" w:type="dxa"/>
            <w:vAlign w:val="center"/>
          </w:tcPr>
          <w:p w14:paraId="4CB8547D">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21"/>
                <w:highlight w:val="none"/>
              </w:rPr>
              <w:t>投标文件能正常</w:t>
            </w:r>
            <w:r>
              <w:rPr>
                <w:rFonts w:ascii="宋体" w:hAnsi="宋体"/>
                <w:highlight w:val="none"/>
              </w:rPr>
              <w:t>打开</w:t>
            </w:r>
          </w:p>
        </w:tc>
        <w:tc>
          <w:tcPr>
            <w:tcW w:w="708" w:type="dxa"/>
            <w:vAlign w:val="center"/>
          </w:tcPr>
          <w:p w14:paraId="265FBF2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4A27DF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076E92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A88177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887C98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150644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3345ED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CC1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7EB421CE">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2</w:t>
            </w:r>
          </w:p>
        </w:tc>
        <w:tc>
          <w:tcPr>
            <w:tcW w:w="1179" w:type="dxa"/>
            <w:vAlign w:val="center"/>
          </w:tcPr>
          <w:p w14:paraId="60699C78">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投标人名称</w:t>
            </w:r>
          </w:p>
        </w:tc>
        <w:tc>
          <w:tcPr>
            <w:tcW w:w="2694" w:type="dxa"/>
            <w:vAlign w:val="center"/>
          </w:tcPr>
          <w:p w14:paraId="38D4D53C">
            <w:pPr>
              <w:keepNext w:val="0"/>
              <w:keepLines w:val="0"/>
              <w:suppressLineNumbers w:val="0"/>
              <w:spacing w:before="0" w:beforeAutospacing="0" w:after="0" w:afterAutospacing="0"/>
              <w:ind w:left="0" w:right="0"/>
              <w:rPr>
                <w:highlight w:val="none"/>
              </w:rPr>
            </w:pPr>
            <w:r>
              <w:rPr>
                <w:highlight w:val="none"/>
              </w:rPr>
              <w:t>投标人名称与营业执照</w:t>
            </w:r>
            <w:r>
              <w:rPr>
                <w:rFonts w:hint="eastAsia"/>
                <w:highlight w:val="none"/>
              </w:rPr>
              <w:t>、资质证书、安全生产许可证</w:t>
            </w:r>
            <w:r>
              <w:rPr>
                <w:highlight w:val="none"/>
              </w:rPr>
              <w:t>一致</w:t>
            </w:r>
          </w:p>
        </w:tc>
        <w:tc>
          <w:tcPr>
            <w:tcW w:w="708" w:type="dxa"/>
            <w:vAlign w:val="center"/>
          </w:tcPr>
          <w:p w14:paraId="1E76A1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084B6D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6A608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770B72A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930531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4481D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68A0A6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4D3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28BEE61">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3</w:t>
            </w:r>
          </w:p>
        </w:tc>
        <w:tc>
          <w:tcPr>
            <w:tcW w:w="1179" w:type="dxa"/>
            <w:vAlign w:val="center"/>
          </w:tcPr>
          <w:p w14:paraId="61BDA1CA">
            <w:pPr>
              <w:keepNext w:val="0"/>
              <w:keepLines w:val="0"/>
              <w:suppressLineNumbers w:val="0"/>
              <w:adjustRightInd w:val="0"/>
              <w:spacing w:before="95" w:beforeLines="30" w:beforeAutospacing="0" w:after="0" w:afterAutospacing="0"/>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2694" w:type="dxa"/>
            <w:vAlign w:val="center"/>
          </w:tcPr>
          <w:p w14:paraId="38928A4B">
            <w:pPr>
              <w:keepNext w:val="0"/>
              <w:keepLines w:val="0"/>
              <w:suppressLineNumbers w:val="0"/>
              <w:snapToGrid w:val="0"/>
              <w:spacing w:before="0" w:beforeAutospacing="0" w:after="0" w:afterAutospacing="0"/>
              <w:ind w:left="0" w:leftChars="0" w:right="0" w:rightChars="0"/>
              <w:rPr>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c>
          <w:tcPr>
            <w:tcW w:w="708" w:type="dxa"/>
            <w:vAlign w:val="center"/>
          </w:tcPr>
          <w:p w14:paraId="23D3A3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12376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923A60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4919E7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16290C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0CB27A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7F2CC1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74F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49CA88D8">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4</w:t>
            </w:r>
          </w:p>
        </w:tc>
        <w:tc>
          <w:tcPr>
            <w:tcW w:w="1179" w:type="dxa"/>
            <w:vAlign w:val="center"/>
          </w:tcPr>
          <w:p w14:paraId="7ECBB2B9">
            <w:pPr>
              <w:keepNext w:val="0"/>
              <w:keepLines w:val="0"/>
              <w:suppressLineNumbers w:val="0"/>
              <w:snapToGrid w:val="0"/>
              <w:spacing w:before="0" w:beforeAutospacing="0" w:after="0" w:afterAutospacing="0"/>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投标文件格式、内容</w:t>
            </w:r>
          </w:p>
        </w:tc>
        <w:tc>
          <w:tcPr>
            <w:tcW w:w="2694" w:type="dxa"/>
            <w:vAlign w:val="center"/>
          </w:tcPr>
          <w:p w14:paraId="04878C69">
            <w:pPr>
              <w:keepNext w:val="0"/>
              <w:keepLines w:val="0"/>
              <w:suppressLineNumbers w:val="0"/>
              <w:snapToGrid w:val="0"/>
              <w:spacing w:before="0" w:beforeAutospacing="0" w:after="0" w:afterAutospacing="0"/>
              <w:ind w:left="0" w:leftChars="0" w:right="0" w:rightChars="0"/>
              <w:rPr>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c>
          <w:tcPr>
            <w:tcW w:w="708" w:type="dxa"/>
            <w:vAlign w:val="center"/>
          </w:tcPr>
          <w:p w14:paraId="690A522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F1F0D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362E0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2D6FDDC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448104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C63E3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9EB38E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861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4E69F45C">
            <w:pPr>
              <w:keepNext w:val="0"/>
              <w:keepLines w:val="0"/>
              <w:suppressLineNumbers w:val="0"/>
              <w:spacing w:before="0" w:beforeAutospacing="0" w:after="0" w:afterAutospacing="0"/>
              <w:ind w:left="0" w:right="0"/>
              <w:jc w:val="center"/>
              <w:rPr>
                <w:rFonts w:hint="eastAsia" w:ascii="黑体" w:hAnsi="宋体" w:eastAsia="黑体"/>
                <w:szCs w:val="44"/>
                <w:highlight w:val="none"/>
                <w:lang w:val="en-US" w:eastAsia="zh-CN"/>
              </w:rPr>
            </w:pPr>
            <w:r>
              <w:rPr>
                <w:rFonts w:hint="eastAsia" w:ascii="黑体" w:hAnsi="宋体" w:eastAsia="黑体"/>
                <w:szCs w:val="44"/>
                <w:highlight w:val="none"/>
                <w:lang w:val="en-US" w:eastAsia="zh-CN"/>
              </w:rPr>
              <w:t>5</w:t>
            </w:r>
          </w:p>
        </w:tc>
        <w:tc>
          <w:tcPr>
            <w:tcW w:w="1179" w:type="dxa"/>
            <w:vAlign w:val="center"/>
          </w:tcPr>
          <w:p w14:paraId="69ADF5C7">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技术</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暗标</w:t>
            </w:r>
            <w:r>
              <w:rPr>
                <w:rFonts w:hint="eastAsia" w:ascii="Calibri" w:hAnsi="Calibri" w:eastAsia="宋体" w:cs="Times New Roman"/>
                <w:color w:val="auto"/>
                <w:szCs w:val="21"/>
                <w:highlight w:val="none"/>
              </w:rPr>
              <w:t>”</w:t>
            </w:r>
          </w:p>
        </w:tc>
        <w:tc>
          <w:tcPr>
            <w:tcW w:w="2694" w:type="dxa"/>
            <w:vAlign w:val="center"/>
          </w:tcPr>
          <w:p w14:paraId="332C9CAD">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符合第二章</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投标人须知</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 xml:space="preserve"> 第3.</w:t>
            </w:r>
            <w:r>
              <w:rPr>
                <w:rFonts w:hint="eastAsia" w:ascii="Calibri" w:hAnsi="Calibri" w:eastAsia="宋体" w:cs="Times New Roman"/>
                <w:color w:val="auto"/>
                <w:szCs w:val="21"/>
                <w:highlight w:val="none"/>
                <w:lang w:val="en-US" w:eastAsia="zh-CN"/>
              </w:rPr>
              <w:t>7</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lang w:val="en-US" w:eastAsia="zh-CN"/>
              </w:rPr>
              <w:t>4</w:t>
            </w:r>
            <w:r>
              <w:rPr>
                <w:rFonts w:ascii="Calibri" w:hAnsi="Calibri" w:eastAsia="宋体" w:cs="Times New Roman"/>
                <w:color w:val="auto"/>
                <w:szCs w:val="21"/>
                <w:highlight w:val="none"/>
              </w:rPr>
              <w:t>项规定</w:t>
            </w:r>
          </w:p>
        </w:tc>
        <w:tc>
          <w:tcPr>
            <w:tcW w:w="708" w:type="dxa"/>
            <w:vAlign w:val="center"/>
          </w:tcPr>
          <w:p w14:paraId="66F1692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B12405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9E735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239D32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695AB3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9C1DFE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84B861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946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50B746CA">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6</w:t>
            </w:r>
          </w:p>
        </w:tc>
        <w:tc>
          <w:tcPr>
            <w:tcW w:w="1179" w:type="dxa"/>
            <w:vAlign w:val="center"/>
          </w:tcPr>
          <w:p w14:paraId="0DF43BFE">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联合体投标人</w:t>
            </w:r>
            <w:r>
              <w:rPr>
                <w:rFonts w:hint="eastAsia"/>
                <w:highlight w:val="none"/>
              </w:rPr>
              <w:t>(如有)</w:t>
            </w:r>
          </w:p>
        </w:tc>
        <w:tc>
          <w:tcPr>
            <w:tcW w:w="2694" w:type="dxa"/>
            <w:vAlign w:val="center"/>
          </w:tcPr>
          <w:p w14:paraId="7F6DB466">
            <w:pPr>
              <w:keepNext w:val="0"/>
              <w:keepLines w:val="0"/>
              <w:suppressLineNumbers w:val="0"/>
              <w:spacing w:before="0" w:beforeAutospacing="0" w:after="0" w:afterAutospacing="0"/>
              <w:ind w:left="0" w:right="0"/>
              <w:rPr>
                <w:highlight w:val="none"/>
              </w:rPr>
            </w:pPr>
            <w:r>
              <w:rPr>
                <w:highlight w:val="none"/>
              </w:rPr>
              <w:t>提交联合体协议书，并明确联合体牵头人</w:t>
            </w:r>
          </w:p>
        </w:tc>
        <w:tc>
          <w:tcPr>
            <w:tcW w:w="708" w:type="dxa"/>
            <w:vAlign w:val="center"/>
          </w:tcPr>
          <w:p w14:paraId="6E7E17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F9A216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2AF300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43B0128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8DD725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832EA3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B474FF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A11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FDA191E">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7</w:t>
            </w:r>
          </w:p>
        </w:tc>
        <w:tc>
          <w:tcPr>
            <w:tcW w:w="1179" w:type="dxa"/>
            <w:vAlign w:val="center"/>
          </w:tcPr>
          <w:p w14:paraId="6E2623CC">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报价唯一</w:t>
            </w:r>
          </w:p>
        </w:tc>
        <w:tc>
          <w:tcPr>
            <w:tcW w:w="2694" w:type="dxa"/>
            <w:vAlign w:val="center"/>
          </w:tcPr>
          <w:p w14:paraId="0E40F541">
            <w:pPr>
              <w:keepNext w:val="0"/>
              <w:keepLines w:val="0"/>
              <w:suppressLineNumbers w:val="0"/>
              <w:spacing w:before="0" w:beforeAutospacing="0" w:after="0" w:afterAutospacing="0"/>
              <w:ind w:left="0" w:right="0"/>
              <w:rPr>
                <w:highlight w:val="none"/>
              </w:rPr>
            </w:pPr>
            <w:r>
              <w:rPr>
                <w:highlight w:val="none"/>
              </w:rPr>
              <w:t>只能有一个有效报价</w:t>
            </w:r>
            <w:r>
              <w:rPr>
                <w:rFonts w:hint="eastAsia" w:ascii="宋体" w:hAnsi="宋体"/>
                <w:szCs w:val="21"/>
                <w:highlight w:val="none"/>
              </w:rPr>
              <w:t>（指投标函中的大写报价）</w:t>
            </w:r>
          </w:p>
        </w:tc>
        <w:tc>
          <w:tcPr>
            <w:tcW w:w="708" w:type="dxa"/>
            <w:vAlign w:val="center"/>
          </w:tcPr>
          <w:p w14:paraId="2A26C5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02FC9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7BF5A4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435B9E2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C34E77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CB0AF3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D6C478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AF9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2E555F61">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8</w:t>
            </w:r>
          </w:p>
        </w:tc>
        <w:tc>
          <w:tcPr>
            <w:tcW w:w="1179" w:type="dxa"/>
            <w:vAlign w:val="center"/>
          </w:tcPr>
          <w:p w14:paraId="4F8BFC74">
            <w:pPr>
              <w:keepNext w:val="0"/>
              <w:keepLines w:val="0"/>
              <w:suppressLineNumbers w:val="0"/>
              <w:spacing w:before="0" w:beforeAutospacing="0" w:after="0" w:afterAutospacing="0"/>
              <w:ind w:left="0" w:right="0"/>
              <w:rPr>
                <w:rFonts w:hint="eastAsia" w:ascii="宋体" w:hAnsi="宋体"/>
                <w:szCs w:val="21"/>
                <w:highlight w:val="none"/>
              </w:rPr>
            </w:pPr>
            <w:r>
              <w:rPr>
                <w:rFonts w:hint="eastAsia"/>
                <w:szCs w:val="21"/>
                <w:highlight w:val="none"/>
              </w:rPr>
              <w:t>多标段投标</w:t>
            </w:r>
          </w:p>
        </w:tc>
        <w:tc>
          <w:tcPr>
            <w:tcW w:w="2694" w:type="dxa"/>
            <w:vAlign w:val="center"/>
          </w:tcPr>
          <w:p w14:paraId="7E11E080">
            <w:pPr>
              <w:keepNext w:val="0"/>
              <w:keepLines w:val="0"/>
              <w:suppressLineNumbers w:val="0"/>
              <w:spacing w:before="0" w:beforeAutospacing="0" w:after="0" w:afterAutospacing="0"/>
              <w:ind w:left="0" w:right="0"/>
              <w:rPr>
                <w:highlight w:val="none"/>
              </w:rPr>
            </w:pPr>
            <w:r>
              <w:rPr>
                <w:rFonts w:hint="eastAsia"/>
                <w:highlight w:val="none"/>
              </w:rPr>
              <w:t>符合第二章“投标人须知”第10.1款规定</w:t>
            </w:r>
          </w:p>
        </w:tc>
        <w:tc>
          <w:tcPr>
            <w:tcW w:w="708" w:type="dxa"/>
            <w:vAlign w:val="center"/>
          </w:tcPr>
          <w:p w14:paraId="14F16A0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105BA1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517879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76C07DE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F19E46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9F0194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8CE4F3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D76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043242F0">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9</w:t>
            </w:r>
          </w:p>
        </w:tc>
        <w:tc>
          <w:tcPr>
            <w:tcW w:w="1179" w:type="dxa"/>
            <w:vAlign w:val="center"/>
          </w:tcPr>
          <w:p w14:paraId="5095AD2E">
            <w:pPr>
              <w:keepNext w:val="0"/>
              <w:keepLines w:val="0"/>
              <w:suppressLineNumbers w:val="0"/>
              <w:spacing w:before="0" w:beforeAutospacing="0" w:after="0" w:afterAutospacing="0"/>
              <w:ind w:left="0" w:right="0"/>
              <w:rPr>
                <w:highlight w:val="none"/>
              </w:rPr>
            </w:pPr>
            <w:r>
              <w:rPr>
                <w:rFonts w:hint="eastAsia"/>
                <w:szCs w:val="21"/>
                <w:highlight w:val="none"/>
              </w:rPr>
              <w:t>澄清和说明情况</w:t>
            </w:r>
          </w:p>
        </w:tc>
        <w:tc>
          <w:tcPr>
            <w:tcW w:w="2694" w:type="dxa"/>
            <w:vAlign w:val="center"/>
          </w:tcPr>
          <w:p w14:paraId="34FA3FD0">
            <w:pPr>
              <w:keepNext w:val="0"/>
              <w:keepLines w:val="0"/>
              <w:suppressLineNumbers w:val="0"/>
              <w:spacing w:before="0" w:beforeAutospacing="0" w:after="0" w:afterAutospacing="0"/>
              <w:ind w:left="0" w:right="0"/>
              <w:rPr>
                <w:highlight w:val="none"/>
              </w:rPr>
            </w:pPr>
            <w:r>
              <w:rPr>
                <w:rFonts w:hint="eastAsia"/>
                <w:szCs w:val="21"/>
                <w:highlight w:val="none"/>
              </w:rPr>
              <w:t>按照评标委员会要求澄清、说明或者补正</w:t>
            </w:r>
          </w:p>
        </w:tc>
        <w:tc>
          <w:tcPr>
            <w:tcW w:w="708" w:type="dxa"/>
            <w:vAlign w:val="center"/>
          </w:tcPr>
          <w:p w14:paraId="1308D181">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4DB60427">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14D4FC3">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8" w:type="dxa"/>
            <w:vAlign w:val="center"/>
          </w:tcPr>
          <w:p w14:paraId="71CE3F04">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276C6C80">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4E9A970D">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EDE5812">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r>
      <w:tr w14:paraId="1650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B67C4F9">
            <w:pPr>
              <w:keepNext w:val="0"/>
              <w:keepLines w:val="0"/>
              <w:suppressLineNumbers w:val="0"/>
              <w:spacing w:before="0" w:beforeAutospacing="0" w:after="0" w:afterAutospacing="0"/>
              <w:ind w:left="0" w:right="0"/>
              <w:jc w:val="center"/>
              <w:rPr>
                <w:rFonts w:hint="default" w:ascii="黑体" w:hAnsi="宋体" w:eastAsia="黑体"/>
                <w:szCs w:val="44"/>
                <w:highlight w:val="none"/>
                <w:lang w:val="en-US" w:eastAsia="zh-CN"/>
              </w:rPr>
            </w:pPr>
            <w:r>
              <w:rPr>
                <w:rFonts w:hint="eastAsia" w:ascii="黑体" w:hAnsi="宋体" w:eastAsia="黑体"/>
                <w:szCs w:val="44"/>
                <w:highlight w:val="none"/>
                <w:lang w:val="en-US" w:eastAsia="zh-CN"/>
              </w:rPr>
              <w:t>10</w:t>
            </w:r>
          </w:p>
        </w:tc>
        <w:tc>
          <w:tcPr>
            <w:tcW w:w="1179" w:type="dxa"/>
            <w:vAlign w:val="center"/>
          </w:tcPr>
          <w:p w14:paraId="213D2161">
            <w:pPr>
              <w:keepNext w:val="0"/>
              <w:keepLines w:val="0"/>
              <w:suppressLineNumbers w:val="0"/>
              <w:spacing w:before="0" w:beforeAutospacing="0" w:after="0" w:afterAutospacing="0"/>
              <w:ind w:left="0" w:right="0"/>
              <w:rPr>
                <w:highlight w:val="none"/>
              </w:rPr>
            </w:pPr>
            <w:r>
              <w:rPr>
                <w:rFonts w:hint="eastAsia"/>
                <w:szCs w:val="21"/>
                <w:highlight w:val="none"/>
              </w:rPr>
              <w:t>投标人遵规守法</w:t>
            </w:r>
          </w:p>
        </w:tc>
        <w:tc>
          <w:tcPr>
            <w:tcW w:w="2694" w:type="dxa"/>
            <w:vAlign w:val="center"/>
          </w:tcPr>
          <w:p w14:paraId="236008C7">
            <w:pPr>
              <w:keepNext w:val="0"/>
              <w:keepLines w:val="0"/>
              <w:suppressLineNumbers w:val="0"/>
              <w:spacing w:before="0" w:beforeAutospacing="0" w:after="0" w:afterAutospacing="0"/>
              <w:ind w:left="0" w:right="0"/>
              <w:rPr>
                <w:highlight w:val="none"/>
              </w:rPr>
            </w:pPr>
            <w:r>
              <w:rPr>
                <w:rFonts w:hint="eastAsia"/>
                <w:szCs w:val="21"/>
                <w:highlight w:val="none"/>
              </w:rPr>
              <w:t>没有</w:t>
            </w:r>
            <w:r>
              <w:rPr>
                <w:rFonts w:hint="eastAsia"/>
                <w:highlight w:val="none"/>
              </w:rPr>
              <w:t>串通投标、</w:t>
            </w:r>
            <w:r>
              <w:rPr>
                <w:rFonts w:hint="eastAsia"/>
                <w:szCs w:val="21"/>
                <w:highlight w:val="none"/>
              </w:rPr>
              <w:t>弄虚作假、行贿或其他违法违规行为</w:t>
            </w:r>
          </w:p>
        </w:tc>
        <w:tc>
          <w:tcPr>
            <w:tcW w:w="708" w:type="dxa"/>
            <w:vAlign w:val="center"/>
          </w:tcPr>
          <w:p w14:paraId="7D0106EE">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26DC757">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05D22A8F">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8" w:type="dxa"/>
            <w:vAlign w:val="center"/>
          </w:tcPr>
          <w:p w14:paraId="243B47F9">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5DEA1954">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5303EB6A">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789AC783">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r>
      <w:tr w14:paraId="4B4B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03" w:type="dxa"/>
            <w:gridSpan w:val="3"/>
            <w:vAlign w:val="center"/>
          </w:tcPr>
          <w:p w14:paraId="6601535C">
            <w:pPr>
              <w:keepNext w:val="0"/>
              <w:keepLines w:val="0"/>
              <w:suppressLineNumbers w:val="0"/>
              <w:spacing w:before="0" w:beforeAutospacing="0" w:after="0" w:afterAutospacing="0"/>
              <w:ind w:left="0" w:right="0"/>
              <w:rPr>
                <w:rFonts w:hint="eastAsia" w:ascii="宋体" w:hAnsi="宋体"/>
                <w:szCs w:val="21"/>
                <w:highlight w:val="none"/>
              </w:rPr>
            </w:pPr>
            <w:r>
              <w:rPr>
                <w:rFonts w:ascii="宋体" w:hAnsi="宋体"/>
                <w:szCs w:val="21"/>
                <w:highlight w:val="none"/>
              </w:rPr>
              <w:t>形式评审结论：通过形式评审标注为√；未通过形式评审标注为×</w:t>
            </w:r>
          </w:p>
        </w:tc>
        <w:tc>
          <w:tcPr>
            <w:tcW w:w="708" w:type="dxa"/>
            <w:vAlign w:val="center"/>
          </w:tcPr>
          <w:p w14:paraId="0D48453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9081C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D16699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74B657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493C18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C0C23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B92D57B">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21790027">
      <w:pPr>
        <w:spacing w:line="430" w:lineRule="exact"/>
        <w:rPr>
          <w:highlight w:val="none"/>
        </w:rPr>
      </w:pPr>
      <w:r>
        <w:rPr>
          <w:highlight w:val="none"/>
        </w:rPr>
        <w:t>评标委员会</w:t>
      </w:r>
      <w:r>
        <w:rPr>
          <w:rFonts w:hint="eastAsia"/>
          <w:highlight w:val="none"/>
        </w:rPr>
        <w:t>全体</w:t>
      </w:r>
      <w:r>
        <w:rPr>
          <w:highlight w:val="none"/>
        </w:rPr>
        <w:t>成员签名：</w:t>
      </w:r>
    </w:p>
    <w:p w14:paraId="3B585670">
      <w:pPr>
        <w:spacing w:line="430" w:lineRule="exact"/>
        <w:rPr>
          <w:highlight w:val="none"/>
        </w:rPr>
      </w:pPr>
    </w:p>
    <w:p w14:paraId="46B06936">
      <w:pPr>
        <w:spacing w:line="430" w:lineRule="exact"/>
        <w:rPr>
          <w:highlight w:val="none"/>
        </w:rPr>
        <w:sectPr>
          <w:pgSz w:w="11907" w:h="16840"/>
          <w:pgMar w:top="1701" w:right="1531" w:bottom="1588" w:left="1474" w:header="851" w:footer="992" w:gutter="0"/>
          <w:cols w:space="425" w:num="1"/>
          <w:docGrid w:linePitch="312" w:charSpace="0"/>
        </w:sectPr>
      </w:pPr>
      <w:r>
        <w:rPr>
          <w:rFonts w:hint="eastAsia"/>
          <w:highlight w:val="none"/>
        </w:rPr>
        <w:t>日期：      年    月    日</w:t>
      </w:r>
      <w:r>
        <w:rPr>
          <w:highlight w:val="none"/>
        </w:rPr>
        <w:br w:type="page"/>
      </w:r>
    </w:p>
    <w:p w14:paraId="38F45634">
      <w:pPr>
        <w:pStyle w:val="98"/>
        <w:rPr>
          <w:rFonts w:hint="eastAsia"/>
          <w:highlight w:val="none"/>
        </w:rPr>
      </w:pPr>
      <w:bookmarkStart w:id="1382" w:name="_Toc31648"/>
      <w:r>
        <w:rPr>
          <w:rFonts w:hint="eastAsia"/>
          <w:highlight w:val="none"/>
        </w:rPr>
        <w:t>附表A-6：资格评审记录表</w:t>
      </w:r>
      <w:bookmarkEnd w:id="1382"/>
    </w:p>
    <w:p w14:paraId="612CA5B1">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资格</w:t>
      </w:r>
      <w:r>
        <w:rPr>
          <w:rFonts w:ascii="黑体" w:hAnsi="宋体" w:eastAsia="黑体"/>
          <w:sz w:val="28"/>
          <w:szCs w:val="28"/>
          <w:highlight w:val="none"/>
        </w:rPr>
        <w:t>审查</w:t>
      </w:r>
      <w:r>
        <w:rPr>
          <w:rFonts w:hint="eastAsia" w:ascii="黑体" w:hAnsi="宋体" w:eastAsia="黑体"/>
          <w:sz w:val="28"/>
          <w:szCs w:val="28"/>
          <w:highlight w:val="none"/>
        </w:rPr>
        <w:t>评审记录表</w:t>
      </w:r>
    </w:p>
    <w:p w14:paraId="604B7467">
      <w:pPr>
        <w:spacing w:line="430" w:lineRule="exact"/>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2087"/>
        <w:gridCol w:w="2423"/>
        <w:gridCol w:w="978"/>
        <w:gridCol w:w="986"/>
        <w:gridCol w:w="986"/>
        <w:gridCol w:w="986"/>
        <w:gridCol w:w="978"/>
        <w:gridCol w:w="986"/>
        <w:gridCol w:w="986"/>
        <w:gridCol w:w="986"/>
        <w:gridCol w:w="997"/>
      </w:tblGrid>
      <w:tr w14:paraId="2307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23" w:type="pct"/>
            <w:vMerge w:val="restart"/>
            <w:vAlign w:val="center"/>
          </w:tcPr>
          <w:p w14:paraId="772D8BFC">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745" w:type="pct"/>
            <w:vMerge w:val="restart"/>
            <w:vAlign w:val="center"/>
          </w:tcPr>
          <w:p w14:paraId="19E0B367">
            <w:pPr>
              <w:keepNext w:val="0"/>
              <w:keepLines w:val="0"/>
              <w:suppressLineNumbers w:val="0"/>
              <w:spacing w:before="0" w:beforeAutospacing="0" w:after="0" w:afterAutospacing="0"/>
              <w:ind w:left="0" w:right="0" w:firstLine="105" w:firstLineChars="50"/>
              <w:jc w:val="center"/>
              <w:rPr>
                <w:highlight w:val="none"/>
              </w:rPr>
            </w:pPr>
            <w:r>
              <w:rPr>
                <w:rFonts w:hint="eastAsia"/>
                <w:highlight w:val="none"/>
              </w:rPr>
              <w:t>资格评审标准</w:t>
            </w:r>
          </w:p>
          <w:p w14:paraId="22EB292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（适用于资格后审）</w:t>
            </w:r>
          </w:p>
        </w:tc>
        <w:tc>
          <w:tcPr>
            <w:tcW w:w="865" w:type="pct"/>
            <w:vMerge w:val="restart"/>
            <w:vAlign w:val="center"/>
          </w:tcPr>
          <w:p w14:paraId="50B4B17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评审合格标准</w:t>
            </w:r>
          </w:p>
        </w:tc>
        <w:tc>
          <w:tcPr>
            <w:tcW w:w="3166" w:type="pct"/>
            <w:gridSpan w:val="9"/>
            <w:vAlign w:val="center"/>
          </w:tcPr>
          <w:p w14:paraId="319F5C5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5DEA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23" w:type="pct"/>
            <w:vMerge w:val="continue"/>
            <w:vAlign w:val="center"/>
          </w:tcPr>
          <w:p w14:paraId="2B7E410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45" w:type="pct"/>
            <w:vMerge w:val="continue"/>
            <w:vAlign w:val="center"/>
          </w:tcPr>
          <w:p w14:paraId="047080C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65" w:type="pct"/>
            <w:vMerge w:val="continue"/>
            <w:vAlign w:val="center"/>
          </w:tcPr>
          <w:p w14:paraId="1A4286D5">
            <w:pPr>
              <w:keepNext w:val="0"/>
              <w:keepLines w:val="0"/>
              <w:suppressLineNumbers w:val="0"/>
              <w:spacing w:before="0" w:beforeAutospacing="0" w:after="0" w:afterAutospacing="0"/>
              <w:ind w:left="0" w:right="0"/>
              <w:rPr>
                <w:rFonts w:hint="eastAsia" w:ascii="宋体" w:hAnsi="宋体"/>
                <w:szCs w:val="44"/>
                <w:highlight w:val="none"/>
              </w:rPr>
            </w:pPr>
          </w:p>
        </w:tc>
        <w:tc>
          <w:tcPr>
            <w:tcW w:w="349" w:type="pct"/>
            <w:vAlign w:val="center"/>
          </w:tcPr>
          <w:p w14:paraId="7C4D693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81C1D9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2E3C40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605885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00E354C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5A524C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F94138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A7C11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7D2FEB9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D0E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23" w:type="pct"/>
            <w:vAlign w:val="center"/>
          </w:tcPr>
          <w:p w14:paraId="788AD80B">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1</w:t>
            </w:r>
          </w:p>
        </w:tc>
        <w:tc>
          <w:tcPr>
            <w:tcW w:w="745" w:type="pct"/>
            <w:vAlign w:val="center"/>
          </w:tcPr>
          <w:p w14:paraId="1338F57D">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营业执照</w:t>
            </w:r>
          </w:p>
        </w:tc>
        <w:tc>
          <w:tcPr>
            <w:tcW w:w="865" w:type="pct"/>
            <w:vAlign w:val="center"/>
          </w:tcPr>
          <w:p w14:paraId="228AAB52">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具备有效的营业执照</w:t>
            </w:r>
          </w:p>
        </w:tc>
        <w:tc>
          <w:tcPr>
            <w:tcW w:w="349" w:type="pct"/>
            <w:vAlign w:val="center"/>
          </w:tcPr>
          <w:p w14:paraId="2B178BB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F0A39F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CCDCE1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DECEC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07E99C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8D6370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553DC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388313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59C4FF2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513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363509F">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2</w:t>
            </w:r>
          </w:p>
        </w:tc>
        <w:tc>
          <w:tcPr>
            <w:tcW w:w="745" w:type="pct"/>
            <w:vAlign w:val="center"/>
          </w:tcPr>
          <w:p w14:paraId="556B5E38">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资质等级</w:t>
            </w:r>
          </w:p>
        </w:tc>
        <w:tc>
          <w:tcPr>
            <w:tcW w:w="865" w:type="pct"/>
            <w:vAlign w:val="center"/>
          </w:tcPr>
          <w:p w14:paraId="45497282">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716D6DC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E2186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9E25B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ACC78B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0808DF2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4F16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EA171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BBB65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742B1870">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9C5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ADA901F">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3</w:t>
            </w:r>
          </w:p>
        </w:tc>
        <w:tc>
          <w:tcPr>
            <w:tcW w:w="745" w:type="pct"/>
            <w:vAlign w:val="center"/>
          </w:tcPr>
          <w:p w14:paraId="01413D0E">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财务状况</w:t>
            </w:r>
          </w:p>
        </w:tc>
        <w:tc>
          <w:tcPr>
            <w:tcW w:w="865" w:type="pct"/>
            <w:vAlign w:val="center"/>
          </w:tcPr>
          <w:p w14:paraId="7E670310">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6CA3508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C42DEE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52D0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45F29F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6640C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479B9B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CD1326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D9CA1E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47D25C20">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1EE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FD55748">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4</w:t>
            </w:r>
          </w:p>
        </w:tc>
        <w:tc>
          <w:tcPr>
            <w:tcW w:w="745" w:type="pct"/>
            <w:vAlign w:val="center"/>
          </w:tcPr>
          <w:p w14:paraId="325CAFC8">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类似业绩</w:t>
            </w:r>
          </w:p>
        </w:tc>
        <w:tc>
          <w:tcPr>
            <w:tcW w:w="865" w:type="pct"/>
            <w:vAlign w:val="center"/>
          </w:tcPr>
          <w:p w14:paraId="7E4CCF06">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245E62D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7F2976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48C1DF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C38D06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4D9A9E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2F38B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46F06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CB97A5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1DAC42E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87B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89B59BF">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5</w:t>
            </w:r>
          </w:p>
        </w:tc>
        <w:tc>
          <w:tcPr>
            <w:tcW w:w="745" w:type="pct"/>
            <w:vAlign w:val="center"/>
          </w:tcPr>
          <w:p w14:paraId="413976F6">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信誉</w:t>
            </w:r>
          </w:p>
        </w:tc>
        <w:tc>
          <w:tcPr>
            <w:tcW w:w="865" w:type="pct"/>
            <w:vAlign w:val="center"/>
          </w:tcPr>
          <w:p w14:paraId="4C002FA9">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0FA148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A3B3AA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36E8FD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344A0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82536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AF493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49FBC7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114D3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3C04497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F9B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2F2D9EE">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6</w:t>
            </w:r>
          </w:p>
        </w:tc>
        <w:tc>
          <w:tcPr>
            <w:tcW w:w="745" w:type="pct"/>
            <w:vAlign w:val="center"/>
          </w:tcPr>
          <w:p w14:paraId="6448D651">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项目</w:t>
            </w:r>
            <w:r>
              <w:rPr>
                <w:rFonts w:hint="eastAsia"/>
                <w:highlight w:val="none"/>
                <w:lang w:val="en-US" w:eastAsia="zh-CN"/>
              </w:rPr>
              <w:t>负责人</w:t>
            </w:r>
            <w:r>
              <w:rPr>
                <w:rFonts w:hint="eastAsia"/>
                <w:highlight w:val="none"/>
              </w:rPr>
              <w:t>资格</w:t>
            </w:r>
          </w:p>
        </w:tc>
        <w:tc>
          <w:tcPr>
            <w:tcW w:w="865" w:type="pct"/>
            <w:vAlign w:val="center"/>
          </w:tcPr>
          <w:p w14:paraId="58C4BF65">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223D589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B6839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027C1B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705D8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331654C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D1E403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1A223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E0AA00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4CE408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65D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7045AE98">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7</w:t>
            </w:r>
          </w:p>
        </w:tc>
        <w:tc>
          <w:tcPr>
            <w:tcW w:w="745" w:type="pct"/>
            <w:vAlign w:val="center"/>
          </w:tcPr>
          <w:p w14:paraId="7C36A8E3">
            <w:pPr>
              <w:keepNext w:val="0"/>
              <w:keepLines w:val="0"/>
              <w:suppressLineNumbers w:val="0"/>
              <w:spacing w:before="0" w:beforeAutospacing="0" w:after="0" w:afterAutospacing="0"/>
              <w:ind w:left="0" w:right="0"/>
              <w:jc w:val="center"/>
              <w:rPr>
                <w:rFonts w:hint="default" w:ascii="宋体" w:hAnsi="宋体" w:eastAsia="宋体"/>
                <w:szCs w:val="44"/>
                <w:highlight w:val="none"/>
                <w:lang w:val="en-US" w:eastAsia="zh-CN"/>
              </w:rPr>
            </w:pPr>
            <w:r>
              <w:rPr>
                <w:rFonts w:hint="eastAsia" w:ascii="宋体" w:hAnsi="宋体"/>
                <w:szCs w:val="44"/>
                <w:highlight w:val="none"/>
                <w:lang w:val="en-US" w:eastAsia="zh-CN"/>
              </w:rPr>
              <w:t>设计负责人资格</w:t>
            </w:r>
          </w:p>
        </w:tc>
        <w:tc>
          <w:tcPr>
            <w:tcW w:w="865" w:type="pct"/>
            <w:vAlign w:val="center"/>
          </w:tcPr>
          <w:p w14:paraId="0582A1F2">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49" w:type="pct"/>
            <w:vAlign w:val="center"/>
          </w:tcPr>
          <w:p w14:paraId="7FD56A1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8C486C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6C5B5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BB401D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27665F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3EBAB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11E28A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E4C2B8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2DA259B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331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7E344DB3">
            <w:pPr>
              <w:keepNext w:val="0"/>
              <w:keepLines w:val="0"/>
              <w:suppressLineNumbers w:val="0"/>
              <w:spacing w:before="0" w:beforeAutospacing="0" w:after="0" w:afterAutospacing="0"/>
              <w:ind w:left="0" w:right="0"/>
              <w:jc w:val="center"/>
              <w:rPr>
                <w:rFonts w:hint="eastAsia" w:ascii="黑体" w:hAnsi="宋体" w:eastAsia="宋体"/>
                <w:szCs w:val="44"/>
                <w:highlight w:val="none"/>
                <w:lang w:val="en-US" w:eastAsia="zh-CN"/>
              </w:rPr>
            </w:pPr>
            <w:r>
              <w:rPr>
                <w:rFonts w:hint="eastAsia" w:ascii="黑体" w:hAnsi="宋体"/>
                <w:szCs w:val="44"/>
                <w:highlight w:val="none"/>
                <w:lang w:val="en-US" w:eastAsia="zh-CN"/>
              </w:rPr>
              <w:t>8</w:t>
            </w:r>
          </w:p>
        </w:tc>
        <w:tc>
          <w:tcPr>
            <w:tcW w:w="745" w:type="pct"/>
            <w:vAlign w:val="center"/>
          </w:tcPr>
          <w:p w14:paraId="6C6F94CC">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ascii="宋体" w:hAnsi="宋体"/>
                <w:szCs w:val="44"/>
                <w:highlight w:val="none"/>
                <w:lang w:val="en-US" w:eastAsia="zh-CN"/>
              </w:rPr>
              <w:t>施工负责人资格</w:t>
            </w:r>
          </w:p>
        </w:tc>
        <w:tc>
          <w:tcPr>
            <w:tcW w:w="865" w:type="pct"/>
            <w:vAlign w:val="center"/>
          </w:tcPr>
          <w:p w14:paraId="6A270481">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2A64769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DDADB5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95C0CC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0765BE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7CF780C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5C214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DB3F6D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600FED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3A9202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8E0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3D43658">
            <w:pPr>
              <w:keepNext w:val="0"/>
              <w:keepLines w:val="0"/>
              <w:suppressLineNumbers w:val="0"/>
              <w:spacing w:before="0" w:beforeAutospacing="0" w:after="0" w:afterAutospacing="0"/>
              <w:ind w:left="0" w:right="0"/>
              <w:jc w:val="center"/>
              <w:rPr>
                <w:rFonts w:hint="eastAsia" w:ascii="黑体" w:hAnsi="宋体" w:eastAsia="宋体"/>
                <w:szCs w:val="44"/>
                <w:highlight w:val="none"/>
                <w:lang w:val="en-US" w:eastAsia="zh-CN"/>
              </w:rPr>
            </w:pPr>
            <w:r>
              <w:rPr>
                <w:rFonts w:hint="eastAsia" w:ascii="黑体" w:hAnsi="宋体"/>
                <w:szCs w:val="44"/>
                <w:highlight w:val="none"/>
                <w:lang w:val="en-US" w:eastAsia="zh-CN"/>
              </w:rPr>
              <w:t>9</w:t>
            </w:r>
          </w:p>
        </w:tc>
        <w:tc>
          <w:tcPr>
            <w:tcW w:w="745" w:type="pct"/>
            <w:vAlign w:val="center"/>
          </w:tcPr>
          <w:p w14:paraId="58B9AAA5">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施工机械设备</w:t>
            </w:r>
          </w:p>
        </w:tc>
        <w:tc>
          <w:tcPr>
            <w:tcW w:w="865" w:type="pct"/>
            <w:vAlign w:val="center"/>
          </w:tcPr>
          <w:p w14:paraId="68A15392">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49" w:type="pct"/>
            <w:vAlign w:val="center"/>
          </w:tcPr>
          <w:p w14:paraId="4A909F6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1947E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BFFCD5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B2B47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4387E4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081BD5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9E690B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70BB7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8AFA248">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D9C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553D3DB4">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10</w:t>
            </w:r>
          </w:p>
        </w:tc>
        <w:tc>
          <w:tcPr>
            <w:tcW w:w="745" w:type="pct"/>
            <w:vAlign w:val="center"/>
          </w:tcPr>
          <w:p w14:paraId="1500789E">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项目管理机构及人员</w:t>
            </w:r>
          </w:p>
        </w:tc>
        <w:tc>
          <w:tcPr>
            <w:tcW w:w="865" w:type="pct"/>
            <w:vAlign w:val="center"/>
          </w:tcPr>
          <w:p w14:paraId="41CD782B">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49" w:type="pct"/>
            <w:vAlign w:val="center"/>
          </w:tcPr>
          <w:p w14:paraId="02F462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95870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444B38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F4E51F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2F553D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EB59A3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17DEA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103B42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0F693B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E9D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72493864">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11</w:t>
            </w:r>
          </w:p>
        </w:tc>
        <w:tc>
          <w:tcPr>
            <w:tcW w:w="745" w:type="pct"/>
            <w:vAlign w:val="center"/>
          </w:tcPr>
          <w:p w14:paraId="494A1E59">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其他要求</w:t>
            </w:r>
          </w:p>
        </w:tc>
        <w:tc>
          <w:tcPr>
            <w:tcW w:w="865" w:type="pct"/>
            <w:vAlign w:val="center"/>
          </w:tcPr>
          <w:p w14:paraId="2EB37FCB">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49" w:type="pct"/>
            <w:vAlign w:val="center"/>
          </w:tcPr>
          <w:p w14:paraId="4D9D193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1B652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F876A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808B46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417627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5485DF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1FC253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D2C0E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18F4558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F91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0453DBA">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12</w:t>
            </w:r>
          </w:p>
        </w:tc>
        <w:tc>
          <w:tcPr>
            <w:tcW w:w="745" w:type="pct"/>
            <w:vAlign w:val="center"/>
          </w:tcPr>
          <w:p w14:paraId="15D4BA4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联合体投标人（如有）</w:t>
            </w:r>
          </w:p>
        </w:tc>
        <w:tc>
          <w:tcPr>
            <w:tcW w:w="865" w:type="pct"/>
            <w:vAlign w:val="center"/>
          </w:tcPr>
          <w:p w14:paraId="47695FA8">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符合第二章“投标人须知”第1.4.2项规定</w:t>
            </w:r>
          </w:p>
        </w:tc>
        <w:tc>
          <w:tcPr>
            <w:tcW w:w="349" w:type="pct"/>
            <w:vAlign w:val="center"/>
          </w:tcPr>
          <w:p w14:paraId="03386E2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D3ED3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FEC67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25639B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7FE38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50CF82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3B3D0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4A99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4C6559D8">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B85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260406AD">
            <w:pPr>
              <w:keepNext w:val="0"/>
              <w:keepLines w:val="0"/>
              <w:suppressLineNumbers w:val="0"/>
              <w:spacing w:before="0" w:beforeAutospacing="0" w:after="0" w:afterAutospacing="0"/>
              <w:ind w:left="0" w:right="0"/>
              <w:jc w:val="center"/>
              <w:rPr>
                <w:rFonts w:hint="default" w:ascii="黑体" w:hAnsi="宋体"/>
                <w:szCs w:val="44"/>
                <w:highlight w:val="none"/>
                <w:lang w:val="en-US" w:eastAsia="zh-CN"/>
              </w:rPr>
            </w:pPr>
            <w:r>
              <w:rPr>
                <w:rFonts w:hint="eastAsia" w:ascii="黑体" w:hAnsi="宋体"/>
                <w:szCs w:val="44"/>
                <w:highlight w:val="none"/>
                <w:lang w:val="en-US" w:eastAsia="zh-CN"/>
              </w:rPr>
              <w:t>13</w:t>
            </w:r>
          </w:p>
        </w:tc>
        <w:tc>
          <w:tcPr>
            <w:tcW w:w="745" w:type="pct"/>
            <w:vAlign w:val="center"/>
          </w:tcPr>
          <w:p w14:paraId="1FA6EFB8">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不存在禁止投标的情形</w:t>
            </w:r>
          </w:p>
        </w:tc>
        <w:tc>
          <w:tcPr>
            <w:tcW w:w="865" w:type="pct"/>
            <w:vAlign w:val="center"/>
          </w:tcPr>
          <w:p w14:paraId="227390C8">
            <w:pPr>
              <w:keepNext w:val="0"/>
              <w:keepLines w:val="0"/>
              <w:suppressLineNumbers w:val="0"/>
              <w:spacing w:before="0" w:beforeAutospacing="0" w:after="0" w:afterAutospacing="0"/>
              <w:ind w:left="0" w:right="0"/>
              <w:rPr>
                <w:rFonts w:hint="default" w:eastAsia="宋体"/>
                <w:highlight w:val="none"/>
                <w:lang w:val="en-US" w:eastAsia="zh-CN"/>
              </w:rPr>
            </w:pPr>
            <w:r>
              <w:rPr>
                <w:rFonts w:hint="eastAsia"/>
                <w:highlight w:val="none"/>
              </w:rPr>
              <w:t>符合第二章“投标人须知”第1.4.</w:t>
            </w:r>
            <w:r>
              <w:rPr>
                <w:rFonts w:hint="eastAsia"/>
                <w:highlight w:val="none"/>
                <w:lang w:val="en-US" w:eastAsia="zh-CN"/>
              </w:rPr>
              <w:t>3</w:t>
            </w:r>
            <w:r>
              <w:rPr>
                <w:rFonts w:hint="eastAsia"/>
                <w:highlight w:val="none"/>
              </w:rPr>
              <w:t>项规定</w:t>
            </w:r>
            <w:r>
              <w:rPr>
                <w:rFonts w:hint="eastAsia"/>
                <w:highlight w:val="none"/>
                <w:lang w:val="en-US" w:eastAsia="zh-CN"/>
              </w:rPr>
              <w:t>的任何一种情形</w:t>
            </w:r>
          </w:p>
        </w:tc>
        <w:tc>
          <w:tcPr>
            <w:tcW w:w="349" w:type="pct"/>
            <w:vAlign w:val="center"/>
          </w:tcPr>
          <w:p w14:paraId="6BACCD7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DCE383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533056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46CAF6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043C0E0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5751FC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821CC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D216A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62781C3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09E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833" w:type="pct"/>
            <w:gridSpan w:val="3"/>
            <w:vAlign w:val="center"/>
          </w:tcPr>
          <w:p w14:paraId="10623A14">
            <w:pPr>
              <w:keepNext w:val="0"/>
              <w:keepLines w:val="0"/>
              <w:suppressLineNumbers w:val="0"/>
              <w:spacing w:before="0" w:beforeAutospacing="0" w:after="0" w:afterAutospacing="0"/>
              <w:ind w:left="0" w:right="0"/>
              <w:rPr>
                <w:kern w:val="0"/>
                <w:sz w:val="24"/>
                <w:highlight w:val="none"/>
              </w:rPr>
            </w:pPr>
            <w:r>
              <w:rPr>
                <w:rFonts w:ascii="宋体" w:hAnsi="宋体"/>
                <w:szCs w:val="44"/>
                <w:highlight w:val="none"/>
              </w:rPr>
              <w:t>资格审查评审结论</w:t>
            </w:r>
          </w:p>
        </w:tc>
        <w:tc>
          <w:tcPr>
            <w:tcW w:w="349" w:type="pct"/>
            <w:vAlign w:val="center"/>
          </w:tcPr>
          <w:p w14:paraId="310056F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6A6AC4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656BD8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EA18AC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4E418D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69881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B6BD8E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F29896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130DCDFF">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4F621BD8">
      <w:pPr>
        <w:spacing w:line="430" w:lineRule="exact"/>
        <w:rPr>
          <w:highlight w:val="none"/>
        </w:rPr>
      </w:pPr>
      <w:r>
        <w:rPr>
          <w:highlight w:val="none"/>
        </w:rPr>
        <w:t>评标委员会</w:t>
      </w:r>
      <w:r>
        <w:rPr>
          <w:rFonts w:hint="eastAsia"/>
          <w:highlight w:val="none"/>
        </w:rPr>
        <w:t>全体</w:t>
      </w:r>
      <w:r>
        <w:rPr>
          <w:highlight w:val="none"/>
        </w:rPr>
        <w:t>成员签名：</w:t>
      </w:r>
    </w:p>
    <w:p w14:paraId="0B124FEC">
      <w:pPr>
        <w:rPr>
          <w:rFonts w:hint="eastAsia" w:ascii="宋体" w:hAnsi="宋体"/>
          <w:szCs w:val="44"/>
          <w:highlight w:val="none"/>
        </w:rPr>
      </w:pPr>
    </w:p>
    <w:p w14:paraId="4607BBFA">
      <w:pPr>
        <w:rPr>
          <w:rFonts w:hint="eastAsia" w:ascii="宋体" w:hAnsi="宋体"/>
          <w:szCs w:val="44"/>
          <w:highlight w:val="none"/>
        </w:rPr>
      </w:pPr>
      <w:r>
        <w:rPr>
          <w:rFonts w:hint="eastAsia" w:ascii="宋体" w:hAnsi="宋体"/>
          <w:szCs w:val="44"/>
          <w:highlight w:val="none"/>
        </w:rPr>
        <w:t>日期：      年    月    日</w:t>
      </w:r>
    </w:p>
    <w:p w14:paraId="3CE14C42">
      <w:pPr>
        <w:rPr>
          <w:rFonts w:hint="eastAsia" w:ascii="宋体" w:hAnsi="宋体"/>
          <w:szCs w:val="44"/>
          <w:highlight w:val="none"/>
        </w:rPr>
      </w:pPr>
    </w:p>
    <w:p w14:paraId="0F258E28">
      <w:pPr>
        <w:autoSpaceDE w:val="0"/>
        <w:autoSpaceDN w:val="0"/>
        <w:adjustRightInd w:val="0"/>
        <w:snapToGrid w:val="0"/>
        <w:ind w:left="630" w:hanging="630" w:hangingChars="300"/>
        <w:jc w:val="left"/>
        <w:rPr>
          <w:highlight w:val="none"/>
        </w:rPr>
      </w:pPr>
      <w:r>
        <w:rPr>
          <w:rFonts w:ascii="宋体" w:hAnsi="宋体"/>
          <w:szCs w:val="44"/>
          <w:highlight w:val="none"/>
        </w:rPr>
        <w:t>说明：</w:t>
      </w:r>
      <w:r>
        <w:rPr>
          <w:rFonts w:hint="eastAsia" w:ascii="宋体" w:hAnsi="宋体"/>
          <w:szCs w:val="44"/>
          <w:highlight w:val="none"/>
        </w:rPr>
        <w:t>1、本表</w:t>
      </w:r>
      <w:r>
        <w:rPr>
          <w:rFonts w:hint="eastAsia"/>
          <w:highlight w:val="none"/>
        </w:rPr>
        <w:t>适用于资格后审；</w:t>
      </w:r>
    </w:p>
    <w:p w14:paraId="189CE7F7">
      <w:pPr>
        <w:autoSpaceDE w:val="0"/>
        <w:autoSpaceDN w:val="0"/>
        <w:adjustRightInd w:val="0"/>
        <w:snapToGrid w:val="0"/>
        <w:ind w:left="630" w:leftChars="300"/>
        <w:jc w:val="left"/>
        <w:rPr>
          <w:rFonts w:hint="eastAsia" w:ascii="宋体" w:hAnsi="宋体"/>
          <w:szCs w:val="44"/>
          <w:highlight w:val="none"/>
        </w:rPr>
      </w:pPr>
      <w:r>
        <w:rPr>
          <w:rFonts w:hint="eastAsia"/>
          <w:highlight w:val="none"/>
        </w:rPr>
        <w:t>2、</w:t>
      </w:r>
      <w:r>
        <w:rPr>
          <w:rFonts w:ascii="宋体" w:hAnsi="宋体"/>
          <w:szCs w:val="44"/>
          <w:highlight w:val="none"/>
        </w:rPr>
        <w:t>评审委员会对投标人提交的资格</w:t>
      </w:r>
      <w:r>
        <w:rPr>
          <w:rFonts w:hint="eastAsia" w:ascii="宋体" w:hAnsi="宋体"/>
          <w:szCs w:val="44"/>
          <w:highlight w:val="none"/>
        </w:rPr>
        <w:t>证明</w:t>
      </w:r>
      <w:r>
        <w:rPr>
          <w:rFonts w:ascii="宋体" w:hAnsi="宋体"/>
          <w:szCs w:val="44"/>
          <w:highlight w:val="none"/>
        </w:rPr>
        <w:t>文件进行评审，在对应的评审意见一栏记录评审意见：通过资格评审标注为√；未通过资格评审标注为×。</w:t>
      </w:r>
    </w:p>
    <w:p w14:paraId="4081BC63">
      <w:pPr>
        <w:widowControl/>
        <w:jc w:val="left"/>
        <w:rPr>
          <w:rFonts w:hint="eastAsia" w:ascii="宋体" w:hAnsi="宋体"/>
          <w:szCs w:val="44"/>
          <w:highlight w:val="none"/>
        </w:rPr>
      </w:pPr>
      <w:r>
        <w:rPr>
          <w:rFonts w:ascii="宋体" w:hAnsi="宋体"/>
          <w:szCs w:val="44"/>
          <w:highlight w:val="none"/>
        </w:rPr>
        <w:br w:type="page"/>
      </w:r>
    </w:p>
    <w:p w14:paraId="2E1426A1">
      <w:pPr>
        <w:pStyle w:val="98"/>
        <w:rPr>
          <w:rFonts w:hint="eastAsia"/>
          <w:highlight w:val="none"/>
        </w:rPr>
      </w:pPr>
      <w:bookmarkStart w:id="1383" w:name="_Toc220"/>
      <w:r>
        <w:rPr>
          <w:rFonts w:hint="eastAsia"/>
          <w:highlight w:val="none"/>
        </w:rPr>
        <w:t>附表A-6-1：资格审查更新资料评审记录表</w:t>
      </w:r>
      <w:bookmarkEnd w:id="1383"/>
    </w:p>
    <w:p w14:paraId="4055EE79">
      <w:pPr>
        <w:spacing w:after="240" w:afterLines="100"/>
        <w:jc w:val="center"/>
        <w:rPr>
          <w:rFonts w:hint="eastAsia" w:ascii="黑体" w:hAnsi="宋体"/>
          <w:sz w:val="28"/>
          <w:szCs w:val="28"/>
          <w:highlight w:val="none"/>
        </w:rPr>
      </w:pPr>
      <w:r>
        <w:rPr>
          <w:rFonts w:ascii="黑体" w:hAnsi="宋体" w:eastAsia="黑体"/>
          <w:sz w:val="28"/>
          <w:szCs w:val="28"/>
          <w:highlight w:val="none"/>
        </w:rPr>
        <w:t>资格审查更新资料评审</w:t>
      </w:r>
      <w:r>
        <w:rPr>
          <w:rFonts w:hint="eastAsia" w:ascii="黑体" w:hAnsi="宋体" w:eastAsia="黑体"/>
          <w:sz w:val="28"/>
          <w:szCs w:val="28"/>
          <w:highlight w:val="none"/>
        </w:rPr>
        <w:t>记录</w:t>
      </w:r>
      <w:r>
        <w:rPr>
          <w:rFonts w:ascii="黑体" w:hAnsi="宋体" w:eastAsia="黑体"/>
          <w:sz w:val="28"/>
          <w:szCs w:val="28"/>
          <w:highlight w:val="none"/>
        </w:rPr>
        <w:t>表</w:t>
      </w:r>
    </w:p>
    <w:p w14:paraId="0994EC83">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2090"/>
        <w:gridCol w:w="2420"/>
        <w:gridCol w:w="980"/>
        <w:gridCol w:w="986"/>
        <w:gridCol w:w="986"/>
        <w:gridCol w:w="986"/>
        <w:gridCol w:w="980"/>
        <w:gridCol w:w="986"/>
        <w:gridCol w:w="986"/>
        <w:gridCol w:w="986"/>
        <w:gridCol w:w="993"/>
      </w:tblGrid>
      <w:tr w14:paraId="217A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trPr>
        <w:tc>
          <w:tcPr>
            <w:tcW w:w="223" w:type="pct"/>
            <w:vMerge w:val="restart"/>
            <w:vAlign w:val="center"/>
          </w:tcPr>
          <w:p w14:paraId="73A335C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746" w:type="pct"/>
            <w:vMerge w:val="restart"/>
            <w:vAlign w:val="center"/>
          </w:tcPr>
          <w:p w14:paraId="4CE1A5C6">
            <w:pPr>
              <w:keepNext w:val="0"/>
              <w:keepLines w:val="0"/>
              <w:suppressLineNumbers w:val="0"/>
              <w:spacing w:before="0" w:beforeAutospacing="0" w:after="0" w:afterAutospacing="0"/>
              <w:ind w:left="0" w:right="0" w:firstLine="105" w:firstLineChars="50"/>
              <w:jc w:val="center"/>
              <w:rPr>
                <w:highlight w:val="none"/>
              </w:rPr>
            </w:pPr>
            <w:r>
              <w:rPr>
                <w:rFonts w:hint="eastAsia"/>
                <w:highlight w:val="none"/>
              </w:rPr>
              <w:t>资格评审标准</w:t>
            </w:r>
          </w:p>
          <w:p w14:paraId="6E6B10C8">
            <w:pPr>
              <w:keepNext w:val="0"/>
              <w:keepLines w:val="0"/>
              <w:suppressLineNumbers w:val="0"/>
              <w:spacing w:before="0" w:beforeAutospacing="0" w:after="0" w:afterAutospacing="0"/>
              <w:ind w:left="0" w:right="0" w:firstLine="105" w:firstLineChars="50"/>
              <w:jc w:val="center"/>
              <w:rPr>
                <w:rFonts w:hint="eastAsia" w:ascii="宋体" w:hAnsi="宋体"/>
                <w:szCs w:val="44"/>
                <w:highlight w:val="none"/>
              </w:rPr>
            </w:pPr>
            <w:r>
              <w:rPr>
                <w:rFonts w:hint="eastAsia"/>
                <w:highlight w:val="none"/>
              </w:rPr>
              <w:t>（适用投标人资格条件发生变化）</w:t>
            </w:r>
          </w:p>
        </w:tc>
        <w:tc>
          <w:tcPr>
            <w:tcW w:w="862" w:type="pct"/>
            <w:vMerge w:val="restart"/>
            <w:vAlign w:val="center"/>
          </w:tcPr>
          <w:p w14:paraId="00902BEC">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评审合格标准</w:t>
            </w:r>
          </w:p>
          <w:p w14:paraId="3D9EE20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（或原评审内容）</w:t>
            </w:r>
          </w:p>
        </w:tc>
        <w:tc>
          <w:tcPr>
            <w:tcW w:w="3166" w:type="pct"/>
            <w:gridSpan w:val="9"/>
            <w:vAlign w:val="center"/>
          </w:tcPr>
          <w:p w14:paraId="7660781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31AB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23" w:type="pct"/>
            <w:vMerge w:val="continue"/>
            <w:vAlign w:val="center"/>
          </w:tcPr>
          <w:p w14:paraId="4427AC4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46" w:type="pct"/>
            <w:vMerge w:val="continue"/>
            <w:vAlign w:val="center"/>
          </w:tcPr>
          <w:p w14:paraId="54C68D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62" w:type="pct"/>
            <w:vMerge w:val="continue"/>
            <w:vAlign w:val="center"/>
          </w:tcPr>
          <w:p w14:paraId="72CF5594">
            <w:pPr>
              <w:keepNext w:val="0"/>
              <w:keepLines w:val="0"/>
              <w:suppressLineNumbers w:val="0"/>
              <w:spacing w:before="0" w:beforeAutospacing="0" w:after="0" w:afterAutospacing="0"/>
              <w:ind w:left="0" w:right="0"/>
              <w:rPr>
                <w:rFonts w:hint="eastAsia" w:ascii="宋体" w:hAnsi="宋体"/>
                <w:szCs w:val="44"/>
                <w:highlight w:val="none"/>
              </w:rPr>
            </w:pPr>
          </w:p>
        </w:tc>
        <w:tc>
          <w:tcPr>
            <w:tcW w:w="350" w:type="pct"/>
            <w:vAlign w:val="center"/>
          </w:tcPr>
          <w:p w14:paraId="4AA9765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1DAFE5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46182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F13F3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19FC890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6A96E8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46AF2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C1D20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912C4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D1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A35F6E8">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1</w:t>
            </w:r>
          </w:p>
        </w:tc>
        <w:tc>
          <w:tcPr>
            <w:tcW w:w="746" w:type="pct"/>
            <w:vAlign w:val="center"/>
          </w:tcPr>
          <w:p w14:paraId="421BAF8D">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营业执照</w:t>
            </w:r>
          </w:p>
        </w:tc>
        <w:tc>
          <w:tcPr>
            <w:tcW w:w="862" w:type="pct"/>
            <w:vAlign w:val="center"/>
          </w:tcPr>
          <w:p w14:paraId="557133F8">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具备有效的营业执照</w:t>
            </w:r>
          </w:p>
        </w:tc>
        <w:tc>
          <w:tcPr>
            <w:tcW w:w="350" w:type="pct"/>
            <w:vAlign w:val="center"/>
          </w:tcPr>
          <w:p w14:paraId="1CC67B1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0D2EF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CC56A9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EB395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02897CF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167BCC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EC02A5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08F4D5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5A7CAE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42B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2329173D">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2</w:t>
            </w:r>
          </w:p>
        </w:tc>
        <w:tc>
          <w:tcPr>
            <w:tcW w:w="746" w:type="pct"/>
            <w:vAlign w:val="center"/>
          </w:tcPr>
          <w:p w14:paraId="3A39CB1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资质等级</w:t>
            </w:r>
          </w:p>
        </w:tc>
        <w:tc>
          <w:tcPr>
            <w:tcW w:w="862" w:type="pct"/>
            <w:vAlign w:val="center"/>
          </w:tcPr>
          <w:p w14:paraId="7207A824">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68489C3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ED1029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178EE5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185204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E83C0E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DC59D1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54813B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06FCB6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C58DB4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231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9B18C08">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3</w:t>
            </w:r>
          </w:p>
        </w:tc>
        <w:tc>
          <w:tcPr>
            <w:tcW w:w="746" w:type="pct"/>
            <w:vAlign w:val="center"/>
          </w:tcPr>
          <w:p w14:paraId="2B50483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财务状况</w:t>
            </w:r>
          </w:p>
        </w:tc>
        <w:tc>
          <w:tcPr>
            <w:tcW w:w="862" w:type="pct"/>
            <w:vAlign w:val="center"/>
          </w:tcPr>
          <w:p w14:paraId="67C8D46F">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72F1AF6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41173F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7373FC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C54426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461227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6AD887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379219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A8E8D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3ED69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061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A6AB7FC">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4</w:t>
            </w:r>
          </w:p>
        </w:tc>
        <w:tc>
          <w:tcPr>
            <w:tcW w:w="746" w:type="pct"/>
            <w:vAlign w:val="center"/>
          </w:tcPr>
          <w:p w14:paraId="4BE25336">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类似业绩</w:t>
            </w:r>
          </w:p>
        </w:tc>
        <w:tc>
          <w:tcPr>
            <w:tcW w:w="862" w:type="pct"/>
            <w:vAlign w:val="center"/>
          </w:tcPr>
          <w:p w14:paraId="08BE92F5">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069A96F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D81F0F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353AD0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3E3107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4E0B446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FE8A5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35CEDC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EDE148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79BFCF0">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368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223" w:type="pct"/>
            <w:vAlign w:val="center"/>
          </w:tcPr>
          <w:p w14:paraId="51D83A25">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5</w:t>
            </w:r>
          </w:p>
        </w:tc>
        <w:tc>
          <w:tcPr>
            <w:tcW w:w="746" w:type="pct"/>
            <w:vAlign w:val="center"/>
          </w:tcPr>
          <w:p w14:paraId="0FA8487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信誉</w:t>
            </w:r>
          </w:p>
        </w:tc>
        <w:tc>
          <w:tcPr>
            <w:tcW w:w="862" w:type="pct"/>
            <w:vAlign w:val="center"/>
          </w:tcPr>
          <w:p w14:paraId="22C10B2A">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5B88A76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2C754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A21F1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465601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7AB3ACF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1666A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8ECD3D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60E97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9FBFDD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BA8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2F60CA1">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6</w:t>
            </w:r>
          </w:p>
        </w:tc>
        <w:tc>
          <w:tcPr>
            <w:tcW w:w="746" w:type="pct"/>
            <w:vAlign w:val="center"/>
          </w:tcPr>
          <w:p w14:paraId="405FE65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项目</w:t>
            </w:r>
            <w:r>
              <w:rPr>
                <w:rFonts w:hint="eastAsia"/>
                <w:highlight w:val="none"/>
                <w:lang w:val="en-US" w:eastAsia="zh-CN"/>
              </w:rPr>
              <w:t>负责人</w:t>
            </w:r>
            <w:r>
              <w:rPr>
                <w:rFonts w:hint="eastAsia"/>
                <w:highlight w:val="none"/>
              </w:rPr>
              <w:t>资格</w:t>
            </w:r>
          </w:p>
        </w:tc>
        <w:tc>
          <w:tcPr>
            <w:tcW w:w="862" w:type="pct"/>
            <w:vAlign w:val="center"/>
          </w:tcPr>
          <w:p w14:paraId="39898C5E">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2C2457E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50B0C8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6D3198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74AFB2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22D541C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33FD9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3766BD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D17B3C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C72A3E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7B8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57EFD23">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7</w:t>
            </w:r>
          </w:p>
        </w:tc>
        <w:tc>
          <w:tcPr>
            <w:tcW w:w="746" w:type="pct"/>
            <w:vAlign w:val="center"/>
          </w:tcPr>
          <w:p w14:paraId="56A9D3C9">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lang w:val="en-US" w:eastAsia="zh-CN"/>
              </w:rPr>
              <w:t>设计负责人资格</w:t>
            </w:r>
          </w:p>
        </w:tc>
        <w:tc>
          <w:tcPr>
            <w:tcW w:w="862" w:type="pct"/>
            <w:vAlign w:val="center"/>
          </w:tcPr>
          <w:p w14:paraId="0FE34D92">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5F7686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8AB0E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5E4ED5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251EF5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4B71AF3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8BC168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EFCFA0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536B3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44757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BE6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223" w:type="pct"/>
            <w:vAlign w:val="center"/>
          </w:tcPr>
          <w:p w14:paraId="530138F5">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8</w:t>
            </w:r>
          </w:p>
        </w:tc>
        <w:tc>
          <w:tcPr>
            <w:tcW w:w="746" w:type="pct"/>
            <w:vAlign w:val="center"/>
          </w:tcPr>
          <w:p w14:paraId="3580805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lang w:val="en-US" w:eastAsia="zh-CN"/>
              </w:rPr>
              <w:t>施工负责人资格</w:t>
            </w:r>
          </w:p>
        </w:tc>
        <w:tc>
          <w:tcPr>
            <w:tcW w:w="862" w:type="pct"/>
            <w:vAlign w:val="center"/>
          </w:tcPr>
          <w:p w14:paraId="7F483619">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422D752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7C429C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9FD04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D5E53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02778CE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26F46F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8F8EB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92659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84CDE1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CAC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58E1369F">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9</w:t>
            </w:r>
          </w:p>
        </w:tc>
        <w:tc>
          <w:tcPr>
            <w:tcW w:w="746" w:type="pct"/>
            <w:vAlign w:val="center"/>
          </w:tcPr>
          <w:p w14:paraId="27F10792">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施工机械设备</w:t>
            </w:r>
          </w:p>
        </w:tc>
        <w:tc>
          <w:tcPr>
            <w:tcW w:w="862" w:type="pct"/>
            <w:vAlign w:val="center"/>
          </w:tcPr>
          <w:p w14:paraId="20A14D62">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257B3E7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475CD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A19020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0EBD9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3DBF8D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90CEEB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804519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FA28F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010390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A45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984A970">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10</w:t>
            </w:r>
          </w:p>
        </w:tc>
        <w:tc>
          <w:tcPr>
            <w:tcW w:w="746" w:type="pct"/>
            <w:vAlign w:val="center"/>
          </w:tcPr>
          <w:p w14:paraId="676A1CB2">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项目管理机构及人员</w:t>
            </w:r>
          </w:p>
        </w:tc>
        <w:tc>
          <w:tcPr>
            <w:tcW w:w="862" w:type="pct"/>
            <w:vAlign w:val="center"/>
          </w:tcPr>
          <w:p w14:paraId="526C9241">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6E99B1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6FE00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AC2A0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A11ED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CD750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35A61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6B5006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77EC71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F459EF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E8C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9AB239D">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11</w:t>
            </w:r>
          </w:p>
        </w:tc>
        <w:tc>
          <w:tcPr>
            <w:tcW w:w="746" w:type="pct"/>
            <w:vAlign w:val="center"/>
          </w:tcPr>
          <w:p w14:paraId="6CD596AB">
            <w:pPr>
              <w:keepNext w:val="0"/>
              <w:keepLines w:val="0"/>
              <w:suppressLineNumbers w:val="0"/>
              <w:spacing w:before="0" w:beforeAutospacing="0" w:after="0" w:afterAutospacing="0"/>
              <w:ind w:left="0" w:right="0"/>
              <w:jc w:val="center"/>
              <w:rPr>
                <w:rFonts w:hint="eastAsia"/>
                <w:highlight w:val="none"/>
              </w:rPr>
            </w:pPr>
            <w:r>
              <w:rPr>
                <w:rFonts w:hint="eastAsia"/>
                <w:highlight w:val="none"/>
              </w:rPr>
              <w:t>其他要求</w:t>
            </w:r>
          </w:p>
        </w:tc>
        <w:tc>
          <w:tcPr>
            <w:tcW w:w="862" w:type="pct"/>
            <w:vAlign w:val="center"/>
          </w:tcPr>
          <w:p w14:paraId="01B8B2C1">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536747B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B2B7BE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0FA12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FDD2C9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07E246D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9589A8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1CCBF8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2DAC6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FB2F42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F9A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EFAD092">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12</w:t>
            </w:r>
          </w:p>
        </w:tc>
        <w:tc>
          <w:tcPr>
            <w:tcW w:w="746" w:type="pct"/>
            <w:vAlign w:val="center"/>
          </w:tcPr>
          <w:p w14:paraId="3810E870">
            <w:pPr>
              <w:keepNext w:val="0"/>
              <w:keepLines w:val="0"/>
              <w:suppressLineNumbers w:val="0"/>
              <w:spacing w:before="0" w:beforeAutospacing="0" w:after="0" w:afterAutospacing="0"/>
              <w:ind w:left="0" w:right="0"/>
              <w:jc w:val="center"/>
              <w:rPr>
                <w:rFonts w:hint="eastAsia"/>
                <w:highlight w:val="none"/>
              </w:rPr>
            </w:pPr>
            <w:r>
              <w:rPr>
                <w:rFonts w:hint="eastAsia"/>
                <w:highlight w:val="none"/>
              </w:rPr>
              <w:t>联合体投标人（如有）</w:t>
            </w:r>
          </w:p>
        </w:tc>
        <w:tc>
          <w:tcPr>
            <w:tcW w:w="862" w:type="pct"/>
            <w:vAlign w:val="center"/>
          </w:tcPr>
          <w:p w14:paraId="5D3D1C5C">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符合第二章“投标人须知”第1.4.2项规定</w:t>
            </w:r>
          </w:p>
        </w:tc>
        <w:tc>
          <w:tcPr>
            <w:tcW w:w="350" w:type="pct"/>
            <w:vAlign w:val="center"/>
          </w:tcPr>
          <w:p w14:paraId="7C2CBD7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B8C7F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7FCC1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A19C9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32CC66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CB457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51A7DE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6D188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A4D6C5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20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08978CF">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13</w:t>
            </w:r>
          </w:p>
        </w:tc>
        <w:tc>
          <w:tcPr>
            <w:tcW w:w="746" w:type="pct"/>
            <w:vAlign w:val="center"/>
          </w:tcPr>
          <w:p w14:paraId="6FDB5BE0">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不存在禁止投标的情形</w:t>
            </w:r>
          </w:p>
        </w:tc>
        <w:tc>
          <w:tcPr>
            <w:tcW w:w="862" w:type="pct"/>
            <w:vAlign w:val="center"/>
          </w:tcPr>
          <w:p w14:paraId="36A33EE3">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w:t>
            </w:r>
            <w:r>
              <w:rPr>
                <w:rFonts w:hint="eastAsia"/>
                <w:highlight w:val="none"/>
                <w:lang w:val="en-US" w:eastAsia="zh-CN"/>
              </w:rPr>
              <w:t>3</w:t>
            </w:r>
            <w:r>
              <w:rPr>
                <w:rFonts w:hint="eastAsia"/>
                <w:highlight w:val="none"/>
              </w:rPr>
              <w:t>项规定</w:t>
            </w:r>
            <w:r>
              <w:rPr>
                <w:rFonts w:hint="eastAsia"/>
                <w:highlight w:val="none"/>
                <w:lang w:val="en-US" w:eastAsia="zh-CN"/>
              </w:rPr>
              <w:t>的任何一种情形</w:t>
            </w:r>
          </w:p>
        </w:tc>
        <w:tc>
          <w:tcPr>
            <w:tcW w:w="350" w:type="pct"/>
            <w:vAlign w:val="center"/>
          </w:tcPr>
          <w:p w14:paraId="2927B77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6A0E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E82B85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80617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2A6229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E5DEC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51438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97D7A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ADC077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71E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833" w:type="pct"/>
            <w:gridSpan w:val="3"/>
            <w:vAlign w:val="center"/>
          </w:tcPr>
          <w:p w14:paraId="1B115589">
            <w:pPr>
              <w:keepNext w:val="0"/>
              <w:keepLines w:val="0"/>
              <w:suppressLineNumbers w:val="0"/>
              <w:spacing w:before="0" w:beforeAutospacing="0" w:after="0" w:afterAutospacing="0"/>
              <w:ind w:left="0" w:right="0"/>
              <w:rPr>
                <w:kern w:val="0"/>
                <w:sz w:val="24"/>
                <w:highlight w:val="none"/>
              </w:rPr>
            </w:pPr>
            <w:r>
              <w:rPr>
                <w:rFonts w:ascii="宋体" w:hAnsi="宋体"/>
                <w:szCs w:val="44"/>
                <w:highlight w:val="none"/>
              </w:rPr>
              <w:t>资格审查更新资料评审结论</w:t>
            </w:r>
          </w:p>
        </w:tc>
        <w:tc>
          <w:tcPr>
            <w:tcW w:w="350" w:type="pct"/>
            <w:vAlign w:val="center"/>
          </w:tcPr>
          <w:p w14:paraId="3CAB686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9B3E5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7FC7DB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A06B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18B313B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84C8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56FF5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55044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22EC4E8">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6F65E6A3">
      <w:pPr>
        <w:spacing w:line="430" w:lineRule="exact"/>
        <w:rPr>
          <w:highlight w:val="none"/>
        </w:rPr>
      </w:pPr>
      <w:r>
        <w:rPr>
          <w:highlight w:val="none"/>
        </w:rPr>
        <w:t>评标委员会</w:t>
      </w:r>
      <w:r>
        <w:rPr>
          <w:rFonts w:hint="eastAsia"/>
          <w:highlight w:val="none"/>
        </w:rPr>
        <w:t>全体</w:t>
      </w:r>
      <w:r>
        <w:rPr>
          <w:highlight w:val="none"/>
        </w:rPr>
        <w:t>成员签名：</w:t>
      </w:r>
    </w:p>
    <w:p w14:paraId="4AF6639F">
      <w:pPr>
        <w:rPr>
          <w:rFonts w:hint="eastAsia" w:ascii="宋体" w:hAnsi="宋体"/>
          <w:szCs w:val="44"/>
          <w:highlight w:val="none"/>
        </w:rPr>
      </w:pPr>
    </w:p>
    <w:p w14:paraId="4F4D468B">
      <w:pPr>
        <w:rPr>
          <w:rFonts w:hint="eastAsia" w:ascii="宋体" w:hAnsi="宋体"/>
          <w:szCs w:val="44"/>
          <w:highlight w:val="none"/>
        </w:rPr>
      </w:pPr>
    </w:p>
    <w:p w14:paraId="08B8E307">
      <w:pPr>
        <w:rPr>
          <w:rFonts w:hint="eastAsia" w:ascii="宋体" w:hAnsi="宋体"/>
          <w:szCs w:val="44"/>
          <w:highlight w:val="none"/>
        </w:rPr>
      </w:pPr>
      <w:r>
        <w:rPr>
          <w:rFonts w:hint="eastAsia" w:ascii="宋体" w:hAnsi="宋体"/>
          <w:szCs w:val="44"/>
          <w:highlight w:val="none"/>
        </w:rPr>
        <w:t>日期：      年    月    日</w:t>
      </w:r>
    </w:p>
    <w:p w14:paraId="3507DF3D">
      <w:pPr>
        <w:autoSpaceDE w:val="0"/>
        <w:autoSpaceDN w:val="0"/>
        <w:adjustRightInd w:val="0"/>
        <w:snapToGrid w:val="0"/>
        <w:ind w:left="630" w:hanging="630" w:hangingChars="300"/>
        <w:jc w:val="left"/>
        <w:rPr>
          <w:highlight w:val="none"/>
        </w:rPr>
      </w:pPr>
      <w:r>
        <w:rPr>
          <w:rFonts w:ascii="宋体" w:hAnsi="宋体"/>
          <w:szCs w:val="44"/>
          <w:highlight w:val="none"/>
        </w:rPr>
        <w:t>说明：</w:t>
      </w:r>
      <w:r>
        <w:rPr>
          <w:rFonts w:hint="eastAsia" w:ascii="宋体" w:hAnsi="宋体"/>
          <w:szCs w:val="44"/>
          <w:highlight w:val="none"/>
        </w:rPr>
        <w:t xml:space="preserve"> 1、本表</w:t>
      </w:r>
      <w:r>
        <w:rPr>
          <w:rFonts w:hint="eastAsia"/>
          <w:highlight w:val="none"/>
        </w:rPr>
        <w:t>适用于已进行资格审查后投标人资格条件发生变化时；</w:t>
      </w:r>
    </w:p>
    <w:p w14:paraId="28168EBD">
      <w:pPr>
        <w:autoSpaceDE w:val="0"/>
        <w:autoSpaceDN w:val="0"/>
        <w:adjustRightInd w:val="0"/>
        <w:snapToGrid w:val="0"/>
        <w:ind w:left="630" w:leftChars="300" w:firstLine="105" w:firstLineChars="50"/>
        <w:jc w:val="left"/>
        <w:rPr>
          <w:rFonts w:hint="eastAsia" w:ascii="宋体" w:hAnsi="宋体"/>
          <w:szCs w:val="44"/>
          <w:highlight w:val="none"/>
        </w:rPr>
      </w:pPr>
      <w:r>
        <w:rPr>
          <w:rFonts w:hint="eastAsia"/>
          <w:highlight w:val="none"/>
        </w:rPr>
        <w:t>2、</w:t>
      </w:r>
      <w:r>
        <w:rPr>
          <w:rFonts w:ascii="宋体" w:hAnsi="宋体"/>
          <w:szCs w:val="44"/>
          <w:highlight w:val="none"/>
        </w:rPr>
        <w:t>评审委员会对投标人提交的资格</w:t>
      </w:r>
      <w:r>
        <w:rPr>
          <w:rFonts w:hint="eastAsia" w:ascii="宋体" w:hAnsi="宋体"/>
          <w:szCs w:val="44"/>
          <w:highlight w:val="none"/>
        </w:rPr>
        <w:t>证明</w:t>
      </w:r>
      <w:r>
        <w:rPr>
          <w:rFonts w:ascii="宋体" w:hAnsi="宋体"/>
          <w:szCs w:val="44"/>
          <w:highlight w:val="none"/>
        </w:rPr>
        <w:t>文件</w:t>
      </w:r>
      <w:r>
        <w:rPr>
          <w:rFonts w:hint="eastAsia" w:ascii="宋体" w:hAnsi="宋体"/>
          <w:szCs w:val="44"/>
          <w:highlight w:val="none"/>
        </w:rPr>
        <w:t>（</w:t>
      </w:r>
      <w:r>
        <w:rPr>
          <w:rFonts w:ascii="宋体" w:hAnsi="宋体"/>
          <w:szCs w:val="44"/>
          <w:highlight w:val="none"/>
        </w:rPr>
        <w:t>更新文件</w:t>
      </w:r>
      <w:r>
        <w:rPr>
          <w:rFonts w:hint="eastAsia" w:ascii="宋体" w:hAnsi="宋体"/>
          <w:szCs w:val="44"/>
          <w:highlight w:val="none"/>
        </w:rPr>
        <w:t>）</w:t>
      </w:r>
      <w:r>
        <w:rPr>
          <w:rFonts w:ascii="宋体" w:hAnsi="宋体"/>
          <w:szCs w:val="44"/>
          <w:highlight w:val="none"/>
        </w:rPr>
        <w:t>进行评审，并在对应的评审意见一栏记录评审意见：通过资格评审标注为√；未通过资格评审标注为×。</w:t>
      </w:r>
    </w:p>
    <w:p w14:paraId="71B95A10">
      <w:pPr>
        <w:autoSpaceDE w:val="0"/>
        <w:autoSpaceDN w:val="0"/>
        <w:adjustRightInd w:val="0"/>
        <w:snapToGrid w:val="0"/>
        <w:ind w:left="630" w:leftChars="300"/>
        <w:jc w:val="left"/>
        <w:rPr>
          <w:rFonts w:hint="eastAsia" w:ascii="宋体" w:hAnsi="宋体"/>
          <w:szCs w:val="44"/>
          <w:highlight w:val="none"/>
        </w:rPr>
      </w:pPr>
    </w:p>
    <w:p w14:paraId="7B99D172">
      <w:pPr>
        <w:widowControl/>
        <w:jc w:val="left"/>
        <w:rPr>
          <w:rFonts w:hint="eastAsia" w:ascii="宋体" w:hAnsi="宋体"/>
          <w:szCs w:val="44"/>
          <w:highlight w:val="none"/>
        </w:rPr>
      </w:pPr>
      <w:r>
        <w:rPr>
          <w:rFonts w:ascii="宋体" w:hAnsi="宋体"/>
          <w:szCs w:val="44"/>
          <w:highlight w:val="none"/>
        </w:rPr>
        <w:br w:type="page"/>
      </w:r>
    </w:p>
    <w:p w14:paraId="525DCEDE">
      <w:pPr>
        <w:pStyle w:val="98"/>
        <w:rPr>
          <w:rFonts w:hint="eastAsia"/>
          <w:highlight w:val="none"/>
        </w:rPr>
      </w:pPr>
      <w:bookmarkStart w:id="1384" w:name="_Toc2453"/>
      <w:r>
        <w:rPr>
          <w:rFonts w:hint="eastAsia"/>
          <w:highlight w:val="none"/>
        </w:rPr>
        <w:t>附表A-7：响应性评审记录表</w:t>
      </w:r>
      <w:bookmarkEnd w:id="1384"/>
    </w:p>
    <w:p w14:paraId="260EFCBB">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响应性评审记录表</w:t>
      </w:r>
    </w:p>
    <w:p w14:paraId="56640712">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14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798"/>
        <w:gridCol w:w="3602"/>
        <w:gridCol w:w="898"/>
        <w:gridCol w:w="899"/>
        <w:gridCol w:w="899"/>
        <w:gridCol w:w="899"/>
        <w:gridCol w:w="899"/>
        <w:gridCol w:w="899"/>
        <w:gridCol w:w="899"/>
        <w:gridCol w:w="899"/>
        <w:gridCol w:w="899"/>
      </w:tblGrid>
      <w:tr w14:paraId="27E0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49" w:type="dxa"/>
            <w:vMerge w:val="restart"/>
            <w:vAlign w:val="center"/>
          </w:tcPr>
          <w:p w14:paraId="0DE4784D">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1798" w:type="dxa"/>
            <w:vMerge w:val="restart"/>
            <w:vAlign w:val="center"/>
          </w:tcPr>
          <w:p w14:paraId="4081C63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评审因素</w:t>
            </w:r>
          </w:p>
        </w:tc>
        <w:tc>
          <w:tcPr>
            <w:tcW w:w="3602" w:type="dxa"/>
            <w:vMerge w:val="restart"/>
            <w:vAlign w:val="center"/>
          </w:tcPr>
          <w:p w14:paraId="224893A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评审标准</w:t>
            </w:r>
          </w:p>
        </w:tc>
        <w:tc>
          <w:tcPr>
            <w:tcW w:w="8090" w:type="dxa"/>
            <w:gridSpan w:val="9"/>
            <w:vAlign w:val="center"/>
          </w:tcPr>
          <w:p w14:paraId="73419E5D">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719D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49" w:type="dxa"/>
            <w:vMerge w:val="continue"/>
            <w:vAlign w:val="center"/>
          </w:tcPr>
          <w:p w14:paraId="2B54765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798" w:type="dxa"/>
            <w:vMerge w:val="continue"/>
          </w:tcPr>
          <w:p w14:paraId="002EED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602" w:type="dxa"/>
            <w:vMerge w:val="continue"/>
            <w:vAlign w:val="center"/>
          </w:tcPr>
          <w:p w14:paraId="0926E325">
            <w:pPr>
              <w:keepNext w:val="0"/>
              <w:keepLines w:val="0"/>
              <w:suppressLineNumbers w:val="0"/>
              <w:spacing w:before="0" w:beforeAutospacing="0" w:after="0" w:afterAutospacing="0"/>
              <w:ind w:left="0" w:right="0"/>
              <w:rPr>
                <w:rFonts w:hint="eastAsia" w:ascii="宋体" w:hAnsi="宋体"/>
                <w:szCs w:val="44"/>
                <w:highlight w:val="none"/>
              </w:rPr>
            </w:pPr>
          </w:p>
        </w:tc>
        <w:tc>
          <w:tcPr>
            <w:tcW w:w="898" w:type="dxa"/>
            <w:vAlign w:val="center"/>
          </w:tcPr>
          <w:p w14:paraId="4A8F5F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D82FBF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18007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E8A4B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882D7B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D466C5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BA9BD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A05E88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73F915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746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restart"/>
            <w:vAlign w:val="center"/>
          </w:tcPr>
          <w:p w14:paraId="4E7F18AE">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1</w:t>
            </w:r>
          </w:p>
        </w:tc>
        <w:tc>
          <w:tcPr>
            <w:tcW w:w="1798" w:type="dxa"/>
            <w:vMerge w:val="restart"/>
            <w:vAlign w:val="center"/>
          </w:tcPr>
          <w:p w14:paraId="3BF3D04E">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投标报价</w:t>
            </w:r>
          </w:p>
        </w:tc>
        <w:tc>
          <w:tcPr>
            <w:tcW w:w="3602" w:type="dxa"/>
            <w:vAlign w:val="center"/>
          </w:tcPr>
          <w:p w14:paraId="303AB173">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符合第二章“投标人须知”第3.2.4项规定</w:t>
            </w:r>
          </w:p>
        </w:tc>
        <w:tc>
          <w:tcPr>
            <w:tcW w:w="898" w:type="dxa"/>
            <w:vAlign w:val="center"/>
          </w:tcPr>
          <w:p w14:paraId="6E2E7B9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9D2AD9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1C47B9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1AA46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C49AED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4FB24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FC0BB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CB8B44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DDE2A7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A44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continue"/>
            <w:vAlign w:val="center"/>
          </w:tcPr>
          <w:p w14:paraId="3472BC8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98" w:type="dxa"/>
            <w:vMerge w:val="continue"/>
            <w:vAlign w:val="center"/>
          </w:tcPr>
          <w:p w14:paraId="7BDF5D5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3602" w:type="dxa"/>
            <w:vAlign w:val="center"/>
          </w:tcPr>
          <w:p w14:paraId="6B64CBA2">
            <w:pPr>
              <w:keepNext w:val="0"/>
              <w:keepLines w:val="0"/>
              <w:suppressLineNumbers w:val="0"/>
              <w:spacing w:before="0" w:beforeAutospacing="0" w:after="0" w:afterAutospacing="0" w:line="440" w:lineRule="exact"/>
              <w:ind w:left="0" w:leftChars="0" w:right="0" w:rightChars="0"/>
              <w:rPr>
                <w:rFonts w:ascii="Calibri" w:hAnsi="Calibri" w:eastAsia="宋体" w:cs="Times New Roman"/>
                <w:color w:val="auto"/>
                <w:kern w:val="2"/>
                <w:sz w:val="21"/>
                <w:szCs w:val="21"/>
                <w:highlight w:val="none"/>
                <w:lang w:val="en-US" w:eastAsia="zh-CN" w:bidi="ar-SA"/>
              </w:rPr>
            </w:pPr>
            <w:r>
              <w:rPr>
                <w:rFonts w:hint="eastAsia" w:ascii="Times New Roman" w:hAnsi="Times New Roman" w:eastAsia="宋体" w:cs="宋体"/>
                <w:kern w:val="2"/>
                <w:sz w:val="21"/>
                <w:szCs w:val="24"/>
                <w:highlight w:val="none"/>
                <w:lang w:val="en-US" w:eastAsia="zh-CN" w:bidi="ar"/>
              </w:rPr>
              <w:t>算术错误修正后的投标总价不大于本标段最高投标限价总价</w:t>
            </w:r>
          </w:p>
        </w:tc>
        <w:tc>
          <w:tcPr>
            <w:tcW w:w="898" w:type="dxa"/>
            <w:vAlign w:val="center"/>
          </w:tcPr>
          <w:p w14:paraId="35CBA07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2C5F3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ECE39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FA40AE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644CA8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F88406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85EE60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926E9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C279CD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92D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continue"/>
            <w:vAlign w:val="center"/>
          </w:tcPr>
          <w:p w14:paraId="4864ED4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98" w:type="dxa"/>
            <w:vMerge w:val="continue"/>
            <w:vAlign w:val="center"/>
          </w:tcPr>
          <w:p w14:paraId="021B1C85">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3602" w:type="dxa"/>
            <w:vAlign w:val="center"/>
          </w:tcPr>
          <w:p w14:paraId="5B7E6EBF">
            <w:pPr>
              <w:keepNext w:val="0"/>
              <w:keepLines w:val="0"/>
              <w:suppressLineNumbers w:val="0"/>
              <w:spacing w:before="0" w:beforeAutospacing="0" w:after="0" w:afterAutospacing="0" w:line="440" w:lineRule="exact"/>
              <w:ind w:left="0" w:leftChars="0" w:right="0" w:rightChars="0"/>
              <w:rPr>
                <w:rFonts w:ascii="Calibri" w:hAnsi="Calibri" w:eastAsia="宋体" w:cs="Times New Roman"/>
                <w:color w:val="auto"/>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
              </w:rPr>
              <w:t>投标函中的大写投标总报价（算术错误修正后的投标总价，如有）不低于其成本</w:t>
            </w:r>
          </w:p>
        </w:tc>
        <w:tc>
          <w:tcPr>
            <w:tcW w:w="898" w:type="dxa"/>
            <w:vAlign w:val="center"/>
          </w:tcPr>
          <w:p w14:paraId="4D1A304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08E27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00D2B4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A1903D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E665D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DDD85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77AF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B2FF0F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2AA21A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FA0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2E64422F">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2</w:t>
            </w:r>
          </w:p>
        </w:tc>
        <w:tc>
          <w:tcPr>
            <w:tcW w:w="1798" w:type="dxa"/>
            <w:vAlign w:val="center"/>
          </w:tcPr>
          <w:p w14:paraId="6925EA95">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投标内容</w:t>
            </w:r>
          </w:p>
        </w:tc>
        <w:tc>
          <w:tcPr>
            <w:tcW w:w="3602" w:type="dxa"/>
            <w:vAlign w:val="center"/>
          </w:tcPr>
          <w:p w14:paraId="2CE2D357">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符合第二章“投标人须知”第1.3.1项规定</w:t>
            </w:r>
          </w:p>
        </w:tc>
        <w:tc>
          <w:tcPr>
            <w:tcW w:w="898" w:type="dxa"/>
            <w:vAlign w:val="center"/>
          </w:tcPr>
          <w:p w14:paraId="07A4E02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0C78C1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4D078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894A87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B5D33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6B82BA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BD37E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51B61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9CA8E06">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7EA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4EB06A7B">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3</w:t>
            </w:r>
          </w:p>
        </w:tc>
        <w:tc>
          <w:tcPr>
            <w:tcW w:w="1798" w:type="dxa"/>
            <w:vAlign w:val="center"/>
          </w:tcPr>
          <w:p w14:paraId="154B99CD">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工期</w:t>
            </w:r>
          </w:p>
        </w:tc>
        <w:tc>
          <w:tcPr>
            <w:tcW w:w="3602" w:type="dxa"/>
            <w:vAlign w:val="center"/>
          </w:tcPr>
          <w:p w14:paraId="1ECEA617">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符合第二章“投标人须知”第1.3.2项规定</w:t>
            </w:r>
          </w:p>
        </w:tc>
        <w:tc>
          <w:tcPr>
            <w:tcW w:w="898" w:type="dxa"/>
            <w:vAlign w:val="center"/>
          </w:tcPr>
          <w:p w14:paraId="4F0E48B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7C6A1A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E4A51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FC443C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5528A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8EB854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761F0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5C81A8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9DEC4EF">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78D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4391AD2B">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4</w:t>
            </w:r>
          </w:p>
        </w:tc>
        <w:tc>
          <w:tcPr>
            <w:tcW w:w="1798" w:type="dxa"/>
            <w:vAlign w:val="center"/>
          </w:tcPr>
          <w:p w14:paraId="53EB1A82">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质量标准</w:t>
            </w:r>
          </w:p>
        </w:tc>
        <w:tc>
          <w:tcPr>
            <w:tcW w:w="3602" w:type="dxa"/>
            <w:vAlign w:val="center"/>
          </w:tcPr>
          <w:p w14:paraId="51FCAE37">
            <w:pPr>
              <w:keepNext w:val="0"/>
              <w:keepLines w:val="0"/>
              <w:suppressLineNumbers w:val="0"/>
              <w:spacing w:before="0" w:beforeAutospacing="0" w:after="0" w:afterAutospacing="0" w:line="440" w:lineRule="exact"/>
              <w:ind w:left="0" w:leftChars="0" w:right="0" w:rightChars="0"/>
              <w:rPr>
                <w:rFonts w:hint="eastAsia" w:ascii="宋体" w:hAnsi="宋体"/>
                <w:szCs w:val="21"/>
                <w:highlight w:val="none"/>
              </w:rPr>
            </w:pPr>
            <w:r>
              <w:rPr>
                <w:rFonts w:ascii="Calibri" w:hAnsi="Calibri" w:eastAsia="宋体" w:cs="Times New Roman"/>
                <w:color w:val="auto"/>
                <w:szCs w:val="21"/>
                <w:highlight w:val="none"/>
              </w:rPr>
              <w:t>符合第二章“投标人须知”第1.3.3项规定</w:t>
            </w:r>
          </w:p>
        </w:tc>
        <w:tc>
          <w:tcPr>
            <w:tcW w:w="898" w:type="dxa"/>
            <w:vAlign w:val="center"/>
          </w:tcPr>
          <w:p w14:paraId="0D416A3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C9399C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20A71D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0AC8C9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F0EB8F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53AC69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D6CF6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B50A91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15D0A2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F0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445ACCF4">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5</w:t>
            </w:r>
          </w:p>
        </w:tc>
        <w:tc>
          <w:tcPr>
            <w:tcW w:w="1798" w:type="dxa"/>
            <w:vAlign w:val="center"/>
          </w:tcPr>
          <w:p w14:paraId="66826591">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投标有效期</w:t>
            </w:r>
          </w:p>
        </w:tc>
        <w:tc>
          <w:tcPr>
            <w:tcW w:w="3602" w:type="dxa"/>
            <w:vAlign w:val="center"/>
          </w:tcPr>
          <w:p w14:paraId="286C52E4">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符合第二章“投标人须知”第3.3.1项规定</w:t>
            </w:r>
          </w:p>
        </w:tc>
        <w:tc>
          <w:tcPr>
            <w:tcW w:w="898" w:type="dxa"/>
            <w:vAlign w:val="center"/>
          </w:tcPr>
          <w:p w14:paraId="0BA94BF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41A67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CAE784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985210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682866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18CEE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84953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D69A8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897719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0F0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4683E30B">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6</w:t>
            </w:r>
          </w:p>
        </w:tc>
        <w:tc>
          <w:tcPr>
            <w:tcW w:w="1798" w:type="dxa"/>
            <w:vAlign w:val="center"/>
          </w:tcPr>
          <w:p w14:paraId="142148B1">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投标保证金</w:t>
            </w:r>
          </w:p>
        </w:tc>
        <w:tc>
          <w:tcPr>
            <w:tcW w:w="3602" w:type="dxa"/>
            <w:vAlign w:val="center"/>
          </w:tcPr>
          <w:p w14:paraId="7C5C4265">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符合第二章“投标人须知”第3.4款规定</w:t>
            </w:r>
          </w:p>
        </w:tc>
        <w:tc>
          <w:tcPr>
            <w:tcW w:w="898" w:type="dxa"/>
            <w:vAlign w:val="center"/>
          </w:tcPr>
          <w:p w14:paraId="55D5EE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A640DA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5286C9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CCCFF6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4BF41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F22783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43FA12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85C24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70514F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668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186C5F87">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7</w:t>
            </w:r>
          </w:p>
        </w:tc>
        <w:tc>
          <w:tcPr>
            <w:tcW w:w="1798" w:type="dxa"/>
            <w:vAlign w:val="center"/>
          </w:tcPr>
          <w:p w14:paraId="1CAC21E5">
            <w:pPr>
              <w:keepNext w:val="0"/>
              <w:keepLines w:val="0"/>
              <w:suppressLineNumbers w:val="0"/>
              <w:spacing w:before="0" w:beforeAutospacing="0" w:after="0" w:afterAutospacing="0" w:line="440" w:lineRule="exact"/>
              <w:ind w:left="0" w:leftChars="0" w:right="0" w:rightChars="0"/>
              <w:jc w:val="center"/>
              <w:rPr>
                <w:szCs w:val="21"/>
                <w:highlight w:val="none"/>
              </w:rPr>
            </w:pPr>
            <w:r>
              <w:rPr>
                <w:rFonts w:ascii="Calibri" w:hAnsi="Calibri" w:eastAsia="宋体" w:cs="Times New Roman"/>
                <w:color w:val="auto"/>
                <w:szCs w:val="21"/>
                <w:highlight w:val="none"/>
              </w:rPr>
              <w:t>权利义务</w:t>
            </w:r>
          </w:p>
        </w:tc>
        <w:tc>
          <w:tcPr>
            <w:tcW w:w="3602" w:type="dxa"/>
            <w:vAlign w:val="center"/>
          </w:tcPr>
          <w:p w14:paraId="1509A069">
            <w:pPr>
              <w:keepNext w:val="0"/>
              <w:keepLines w:val="0"/>
              <w:suppressLineNumbers w:val="0"/>
              <w:spacing w:before="0" w:beforeAutospacing="0" w:after="0" w:afterAutospacing="0" w:line="440" w:lineRule="exact"/>
              <w:ind w:left="0" w:leftChars="0" w:right="0" w:rightChars="0"/>
              <w:rPr>
                <w:szCs w:val="21"/>
                <w:highlight w:val="none"/>
              </w:rPr>
            </w:pPr>
            <w:r>
              <w:rPr>
                <w:rFonts w:ascii="Calibri" w:hAnsi="Calibri" w:eastAsia="宋体" w:cs="Times New Roman"/>
                <w:color w:val="auto"/>
                <w:szCs w:val="21"/>
                <w:highlight w:val="none"/>
              </w:rPr>
              <w:t>符合第四章“合同条款及格式”规定的权利义务</w:t>
            </w:r>
          </w:p>
        </w:tc>
        <w:tc>
          <w:tcPr>
            <w:tcW w:w="898" w:type="dxa"/>
            <w:vAlign w:val="center"/>
          </w:tcPr>
          <w:p w14:paraId="3101CA7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42DEF2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87A42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0BE2A8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F4BC9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59A0A5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E207E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20D788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8B44EF8">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321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50950357">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8</w:t>
            </w:r>
          </w:p>
        </w:tc>
        <w:tc>
          <w:tcPr>
            <w:tcW w:w="1798" w:type="dxa"/>
            <w:vAlign w:val="center"/>
          </w:tcPr>
          <w:p w14:paraId="5BE2870F">
            <w:pPr>
              <w:keepNext w:val="0"/>
              <w:keepLines w:val="0"/>
              <w:suppressLineNumbers w:val="0"/>
              <w:spacing w:before="0" w:beforeAutospacing="0" w:after="0" w:afterAutospacing="0" w:line="440" w:lineRule="exact"/>
              <w:ind w:left="0" w:leftChars="0" w:right="0" w:rightChars="0"/>
              <w:jc w:val="center"/>
              <w:rPr>
                <w:szCs w:val="21"/>
                <w:highlight w:val="none"/>
              </w:rPr>
            </w:pPr>
            <w:r>
              <w:rPr>
                <w:rFonts w:ascii="Calibri" w:hAnsi="Calibri" w:eastAsia="宋体" w:cs="Times New Roman"/>
                <w:color w:val="auto"/>
                <w:szCs w:val="21"/>
                <w:highlight w:val="none"/>
              </w:rPr>
              <w:t>承包人建议</w:t>
            </w:r>
          </w:p>
        </w:tc>
        <w:tc>
          <w:tcPr>
            <w:tcW w:w="3602" w:type="dxa"/>
            <w:vAlign w:val="center"/>
          </w:tcPr>
          <w:p w14:paraId="3A48C066">
            <w:pPr>
              <w:keepNext w:val="0"/>
              <w:keepLines w:val="0"/>
              <w:suppressLineNumbers w:val="0"/>
              <w:spacing w:before="0" w:beforeAutospacing="0" w:after="0" w:afterAutospacing="0" w:line="440" w:lineRule="exact"/>
              <w:ind w:left="0" w:leftChars="0" w:right="0" w:rightChars="0"/>
              <w:rPr>
                <w:szCs w:val="21"/>
                <w:highlight w:val="none"/>
              </w:rPr>
            </w:pPr>
            <w:r>
              <w:rPr>
                <w:rFonts w:ascii="Calibri" w:hAnsi="Calibri" w:eastAsia="宋体" w:cs="Times New Roman"/>
                <w:color w:val="auto"/>
                <w:szCs w:val="21"/>
                <w:highlight w:val="none"/>
              </w:rPr>
              <w:t>符合第五章“发包人要求”的规定</w:t>
            </w:r>
          </w:p>
        </w:tc>
        <w:tc>
          <w:tcPr>
            <w:tcW w:w="898" w:type="dxa"/>
            <w:vAlign w:val="center"/>
          </w:tcPr>
          <w:p w14:paraId="300FC3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1C3DA1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99D011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51F0DB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1770A9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30C838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AD15D5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422F2E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0973E66">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3AF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5E10515B">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9</w:t>
            </w:r>
          </w:p>
        </w:tc>
        <w:tc>
          <w:tcPr>
            <w:tcW w:w="1798" w:type="dxa"/>
            <w:vAlign w:val="center"/>
          </w:tcPr>
          <w:p w14:paraId="64048C62">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szCs w:val="44"/>
                <w:highlight w:val="none"/>
                <w:lang w:eastAsia="zh-CN"/>
              </w:rPr>
            </w:pPr>
            <w:r>
              <w:rPr>
                <w:rFonts w:hint="eastAsia" w:ascii="宋体" w:hAnsi="宋体"/>
                <w:szCs w:val="44"/>
                <w:highlight w:val="none"/>
                <w:lang w:eastAsia="zh-CN"/>
              </w:rPr>
              <w:t>……</w:t>
            </w:r>
          </w:p>
        </w:tc>
        <w:tc>
          <w:tcPr>
            <w:tcW w:w="3602" w:type="dxa"/>
            <w:vAlign w:val="center"/>
          </w:tcPr>
          <w:p w14:paraId="600CF97A">
            <w:pPr>
              <w:keepNext w:val="0"/>
              <w:keepLines w:val="0"/>
              <w:suppressLineNumbers w:val="0"/>
              <w:spacing w:before="0" w:beforeAutospacing="0" w:after="0" w:afterAutospacing="0" w:line="440" w:lineRule="exact"/>
              <w:ind w:left="0" w:leftChars="0" w:right="0" w:rightChars="0"/>
              <w:rPr>
                <w:rFonts w:hint="eastAsia" w:ascii="宋体" w:hAnsi="宋体" w:eastAsia="宋体"/>
                <w:szCs w:val="21"/>
                <w:highlight w:val="none"/>
                <w:lang w:eastAsia="zh-CN"/>
              </w:rPr>
            </w:pPr>
            <w:r>
              <w:rPr>
                <w:rFonts w:hint="eastAsia" w:ascii="宋体" w:hAnsi="宋体"/>
                <w:szCs w:val="21"/>
                <w:highlight w:val="none"/>
                <w:lang w:eastAsia="zh-CN"/>
              </w:rPr>
              <w:t>……</w:t>
            </w:r>
          </w:p>
        </w:tc>
        <w:tc>
          <w:tcPr>
            <w:tcW w:w="898" w:type="dxa"/>
            <w:vAlign w:val="center"/>
          </w:tcPr>
          <w:p w14:paraId="51DAD29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3C9DC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FEC8A4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0213F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812B7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B91A82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3FFDDD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ED84FD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BDEFC6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6B4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749" w:type="dxa"/>
            <w:vAlign w:val="center"/>
          </w:tcPr>
          <w:p w14:paraId="3725EAB1">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10</w:t>
            </w:r>
          </w:p>
        </w:tc>
        <w:tc>
          <w:tcPr>
            <w:tcW w:w="1798" w:type="dxa"/>
            <w:vAlign w:val="center"/>
          </w:tcPr>
          <w:p w14:paraId="73D6406B">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szCs w:val="44"/>
                <w:highlight w:val="none"/>
                <w:lang w:eastAsia="zh-CN"/>
              </w:rPr>
            </w:pPr>
            <w:r>
              <w:rPr>
                <w:rFonts w:hint="eastAsia" w:ascii="宋体" w:hAnsi="宋体"/>
                <w:szCs w:val="44"/>
                <w:highlight w:val="none"/>
                <w:lang w:eastAsia="zh-CN"/>
              </w:rPr>
              <w:t>……</w:t>
            </w:r>
          </w:p>
        </w:tc>
        <w:tc>
          <w:tcPr>
            <w:tcW w:w="3602" w:type="dxa"/>
            <w:vAlign w:val="center"/>
          </w:tcPr>
          <w:p w14:paraId="4C5DB4C4">
            <w:pPr>
              <w:keepNext w:val="0"/>
              <w:keepLines w:val="0"/>
              <w:suppressLineNumbers w:val="0"/>
              <w:spacing w:before="0" w:beforeAutospacing="0" w:after="0" w:afterAutospacing="0" w:line="440" w:lineRule="exact"/>
              <w:ind w:left="0" w:leftChars="0" w:right="0" w:rightChars="0"/>
              <w:rPr>
                <w:rFonts w:hint="eastAsia" w:ascii="宋体" w:hAnsi="宋体" w:eastAsia="宋体"/>
                <w:szCs w:val="21"/>
                <w:highlight w:val="none"/>
                <w:lang w:eastAsia="zh-CN"/>
              </w:rPr>
            </w:pPr>
            <w:r>
              <w:rPr>
                <w:rFonts w:hint="eastAsia" w:ascii="宋体" w:hAnsi="宋体"/>
                <w:szCs w:val="21"/>
                <w:highlight w:val="none"/>
                <w:lang w:eastAsia="zh-CN"/>
              </w:rPr>
              <w:t>……</w:t>
            </w:r>
          </w:p>
        </w:tc>
        <w:tc>
          <w:tcPr>
            <w:tcW w:w="898" w:type="dxa"/>
            <w:vAlign w:val="center"/>
          </w:tcPr>
          <w:p w14:paraId="0482DD1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F9B149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C4D52B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2644EB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466F47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33420B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F19DE8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8B2184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03B18F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50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149" w:type="dxa"/>
            <w:gridSpan w:val="3"/>
            <w:vAlign w:val="center"/>
          </w:tcPr>
          <w:p w14:paraId="21B410D5">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44"/>
                <w:highlight w:val="none"/>
              </w:rPr>
              <w:t>响应性</w:t>
            </w:r>
            <w:r>
              <w:rPr>
                <w:rFonts w:ascii="宋体" w:hAnsi="宋体"/>
                <w:szCs w:val="44"/>
                <w:highlight w:val="none"/>
              </w:rPr>
              <w:t>评审结论：通过</w:t>
            </w:r>
            <w:r>
              <w:rPr>
                <w:rFonts w:hint="eastAsia" w:ascii="宋体" w:hAnsi="宋体"/>
                <w:szCs w:val="44"/>
                <w:highlight w:val="none"/>
              </w:rPr>
              <w:t>响应性</w:t>
            </w:r>
            <w:r>
              <w:rPr>
                <w:rFonts w:ascii="宋体" w:hAnsi="宋体"/>
                <w:szCs w:val="44"/>
                <w:highlight w:val="none"/>
              </w:rPr>
              <w:t>评审标注为√；未通过</w:t>
            </w:r>
            <w:r>
              <w:rPr>
                <w:rFonts w:hint="eastAsia" w:ascii="宋体" w:hAnsi="宋体"/>
                <w:szCs w:val="44"/>
                <w:highlight w:val="none"/>
              </w:rPr>
              <w:t>响应性</w:t>
            </w:r>
            <w:r>
              <w:rPr>
                <w:rFonts w:ascii="宋体" w:hAnsi="宋体"/>
                <w:szCs w:val="44"/>
                <w:highlight w:val="none"/>
              </w:rPr>
              <w:t>评审标注为×</w:t>
            </w:r>
          </w:p>
        </w:tc>
        <w:tc>
          <w:tcPr>
            <w:tcW w:w="898" w:type="dxa"/>
            <w:vAlign w:val="center"/>
          </w:tcPr>
          <w:p w14:paraId="7514CD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0F0396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3E7014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2290D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B298F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9C81A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2A1F60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8EB8C6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2D78529">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162E8D7F">
      <w:pPr>
        <w:spacing w:line="430" w:lineRule="exact"/>
        <w:rPr>
          <w:highlight w:val="none"/>
        </w:rPr>
      </w:pPr>
      <w:r>
        <w:rPr>
          <w:highlight w:val="none"/>
        </w:rPr>
        <w:t>评标委员会</w:t>
      </w:r>
      <w:r>
        <w:rPr>
          <w:rFonts w:hint="eastAsia"/>
          <w:highlight w:val="none"/>
        </w:rPr>
        <w:t>全体</w:t>
      </w:r>
      <w:r>
        <w:rPr>
          <w:highlight w:val="none"/>
        </w:rPr>
        <w:t>成员签名：</w:t>
      </w:r>
    </w:p>
    <w:p w14:paraId="7330800C">
      <w:pPr>
        <w:rPr>
          <w:rFonts w:hint="eastAsia" w:ascii="宋体" w:hAnsi="宋体"/>
          <w:szCs w:val="44"/>
          <w:highlight w:val="none"/>
        </w:rPr>
      </w:pPr>
      <w:r>
        <w:rPr>
          <w:rFonts w:hint="eastAsia" w:ascii="宋体" w:hAnsi="宋体"/>
          <w:szCs w:val="44"/>
          <w:highlight w:val="none"/>
        </w:rPr>
        <w:t xml:space="preserve">  </w:t>
      </w:r>
    </w:p>
    <w:p w14:paraId="6CFCBEAB">
      <w:pPr>
        <w:rPr>
          <w:rFonts w:hint="eastAsia" w:ascii="宋体" w:hAnsi="宋体"/>
          <w:szCs w:val="44"/>
          <w:highlight w:val="none"/>
        </w:rPr>
      </w:pPr>
    </w:p>
    <w:p w14:paraId="5339AA24">
      <w:pPr>
        <w:rPr>
          <w:rFonts w:hint="eastAsia" w:ascii="宋体" w:hAnsi="宋体"/>
          <w:szCs w:val="44"/>
          <w:highlight w:val="none"/>
        </w:rPr>
      </w:pPr>
    </w:p>
    <w:p w14:paraId="4D815C46">
      <w:pPr>
        <w:rPr>
          <w:rFonts w:hint="eastAsia" w:ascii="宋体" w:hAnsi="宋体"/>
          <w:szCs w:val="44"/>
          <w:highlight w:val="none"/>
        </w:rPr>
      </w:pPr>
      <w:r>
        <w:rPr>
          <w:rFonts w:hint="eastAsia" w:ascii="宋体" w:hAnsi="宋体"/>
          <w:szCs w:val="44"/>
          <w:highlight w:val="none"/>
        </w:rPr>
        <w:t>日期：      年    月    日</w:t>
      </w:r>
    </w:p>
    <w:p w14:paraId="07C0C34D">
      <w:pPr>
        <w:autoSpaceDE w:val="0"/>
        <w:autoSpaceDN w:val="0"/>
        <w:adjustRightInd w:val="0"/>
        <w:snapToGrid w:val="0"/>
        <w:ind w:left="630" w:leftChars="300"/>
        <w:jc w:val="left"/>
        <w:rPr>
          <w:rFonts w:hint="eastAsia" w:ascii="宋体" w:hAnsi="宋体"/>
          <w:szCs w:val="44"/>
          <w:highlight w:val="none"/>
        </w:rPr>
      </w:pPr>
    </w:p>
    <w:p w14:paraId="1031775C">
      <w:pPr>
        <w:autoSpaceDE w:val="0"/>
        <w:autoSpaceDN w:val="0"/>
        <w:adjustRightInd w:val="0"/>
        <w:snapToGrid w:val="0"/>
        <w:ind w:left="630" w:leftChars="300"/>
        <w:jc w:val="left"/>
        <w:rPr>
          <w:rFonts w:hint="eastAsia" w:ascii="宋体" w:hAnsi="宋体"/>
          <w:szCs w:val="44"/>
          <w:highlight w:val="none"/>
        </w:rPr>
      </w:pPr>
    </w:p>
    <w:p w14:paraId="3745255A">
      <w:pPr>
        <w:autoSpaceDE w:val="0"/>
        <w:autoSpaceDN w:val="0"/>
        <w:adjustRightInd w:val="0"/>
        <w:snapToGrid w:val="0"/>
        <w:ind w:left="630" w:leftChars="300"/>
        <w:jc w:val="left"/>
        <w:rPr>
          <w:rFonts w:hint="eastAsia" w:ascii="宋体" w:hAnsi="宋体"/>
          <w:szCs w:val="44"/>
          <w:highlight w:val="none"/>
        </w:rPr>
        <w:sectPr>
          <w:pgSz w:w="16840" w:h="11907" w:orient="landscape"/>
          <w:pgMar w:top="1531" w:right="1588" w:bottom="1474" w:left="1701" w:header="851" w:footer="992" w:gutter="0"/>
          <w:cols w:space="720" w:num="1"/>
          <w:docGrid w:linePitch="312" w:charSpace="0"/>
        </w:sectPr>
      </w:pPr>
    </w:p>
    <w:p w14:paraId="2468E95E">
      <w:pPr>
        <w:pStyle w:val="98"/>
        <w:rPr>
          <w:rFonts w:hint="eastAsia"/>
          <w:highlight w:val="none"/>
        </w:rPr>
      </w:pPr>
      <w:bookmarkStart w:id="1385" w:name="_Toc12047"/>
      <w:r>
        <w:rPr>
          <w:rFonts w:hint="eastAsia"/>
          <w:highlight w:val="none"/>
        </w:rPr>
        <w:t>附表A-</w:t>
      </w:r>
      <w:r>
        <w:rPr>
          <w:rFonts w:hint="eastAsia"/>
          <w:highlight w:val="none"/>
          <w:lang w:val="en-US" w:eastAsia="zh-CN"/>
        </w:rPr>
        <w:t>8</w:t>
      </w:r>
      <w:r>
        <w:rPr>
          <w:rFonts w:hint="eastAsia"/>
          <w:highlight w:val="none"/>
        </w:rPr>
        <w:t>：</w:t>
      </w:r>
      <w:r>
        <w:rPr>
          <w:rFonts w:hint="eastAsia"/>
          <w:highlight w:val="none"/>
          <w:lang w:val="en-US" w:eastAsia="zh-CN"/>
        </w:rPr>
        <w:t>承包人建议书</w:t>
      </w:r>
      <w:r>
        <w:rPr>
          <w:rFonts w:hint="eastAsia"/>
          <w:highlight w:val="none"/>
        </w:rPr>
        <w:t>评审记录表</w:t>
      </w:r>
      <w:bookmarkEnd w:id="1385"/>
    </w:p>
    <w:p w14:paraId="68469046">
      <w:pPr>
        <w:keepNext w:val="0"/>
        <w:keepLines w:val="0"/>
        <w:widowControl w:val="0"/>
        <w:suppressLineNumbers w:val="0"/>
        <w:spacing w:before="0" w:beforeAutospacing="0" w:after="0" w:afterAutospacing="0" w:line="440" w:lineRule="exact"/>
        <w:ind w:left="0" w:right="0"/>
        <w:jc w:val="center"/>
        <w:rPr>
          <w:rFonts w:hint="eastAsia" w:ascii="黑体" w:hAnsi="Times New Roman" w:eastAsia="黑体" w:cs="黑体"/>
          <w:kern w:val="2"/>
          <w:sz w:val="36"/>
          <w:szCs w:val="36"/>
          <w:highlight w:val="none"/>
          <w:lang w:val="en-US" w:eastAsia="zh-CN" w:bidi="ar"/>
        </w:rPr>
      </w:pPr>
      <w:r>
        <w:rPr>
          <w:rFonts w:hint="eastAsia" w:ascii="黑体" w:hAnsi="Times New Roman" w:eastAsia="黑体" w:cs="黑体"/>
          <w:kern w:val="2"/>
          <w:sz w:val="36"/>
          <w:szCs w:val="36"/>
          <w:highlight w:val="none"/>
          <w:lang w:val="en-US" w:eastAsia="zh-CN" w:bidi="ar"/>
        </w:rPr>
        <w:t>承包人建议书评审记录表</w:t>
      </w:r>
    </w:p>
    <w:p w14:paraId="02C588D4">
      <w:pPr>
        <w:pStyle w:val="2"/>
        <w:rPr>
          <w:rFonts w:hint="eastAsia"/>
          <w:highlight w:val="none"/>
          <w:lang w:val="en-US" w:eastAsia="zh-CN"/>
        </w:rPr>
      </w:pPr>
    </w:p>
    <w:p w14:paraId="3CD5FBDB">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967"/>
        <w:gridCol w:w="3136"/>
        <w:gridCol w:w="756"/>
        <w:gridCol w:w="797"/>
        <w:gridCol w:w="797"/>
        <w:gridCol w:w="797"/>
        <w:gridCol w:w="797"/>
        <w:gridCol w:w="797"/>
        <w:gridCol w:w="797"/>
        <w:gridCol w:w="797"/>
        <w:gridCol w:w="797"/>
        <w:gridCol w:w="797"/>
      </w:tblGrid>
      <w:tr w14:paraId="4162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96E62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9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63DD63">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1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8FC0A3">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CC5CB2">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276023E">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01A4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30B92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9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330F45">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1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9D5BA4">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5E0E80">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76312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0FF6DE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0659B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BBB0C9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19ABC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2C2FD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7A1DB7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5A9062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1A51A89">
            <w:pPr>
              <w:keepNext w:val="0"/>
              <w:keepLines w:val="0"/>
              <w:widowControl w:val="0"/>
              <w:suppressLineNumbers w:val="0"/>
              <w:spacing w:before="0" w:beforeAutospacing="0" w:after="0" w:afterAutospacing="0"/>
              <w:ind w:left="0" w:right="0"/>
              <w:jc w:val="center"/>
              <w:rPr>
                <w:highlight w:val="none"/>
                <w:lang w:val="en-US"/>
              </w:rPr>
            </w:pPr>
          </w:p>
        </w:tc>
      </w:tr>
      <w:tr w14:paraId="1744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BBB6868">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6BD23BDF">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图纸</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3397516">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3BCDE9F">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950D0C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6E41C9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0CE5D6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9DB47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81E6CA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1FABC1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24FA35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D29313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AA75B2A">
            <w:pPr>
              <w:keepNext w:val="0"/>
              <w:keepLines w:val="0"/>
              <w:widowControl w:val="0"/>
              <w:suppressLineNumbers w:val="0"/>
              <w:spacing w:before="0" w:beforeAutospacing="0" w:after="0" w:afterAutospacing="0"/>
              <w:ind w:left="0" w:right="0"/>
              <w:jc w:val="center"/>
              <w:rPr>
                <w:highlight w:val="none"/>
                <w:lang w:val="en-US"/>
              </w:rPr>
            </w:pPr>
          </w:p>
        </w:tc>
      </w:tr>
      <w:tr w14:paraId="1FD9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1ED9AB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2</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130EE317">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工程详细说明</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AA0583D">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2625CCF">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2E585F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D38108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E97AD2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AA47F5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5255E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700C2F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9C602D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A7EB5B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02892D8">
            <w:pPr>
              <w:keepNext w:val="0"/>
              <w:keepLines w:val="0"/>
              <w:widowControl w:val="0"/>
              <w:suppressLineNumbers w:val="0"/>
              <w:spacing w:before="0" w:beforeAutospacing="0" w:after="0" w:afterAutospacing="0"/>
              <w:ind w:left="0" w:right="0"/>
              <w:jc w:val="center"/>
              <w:rPr>
                <w:highlight w:val="none"/>
                <w:lang w:val="en-US"/>
              </w:rPr>
            </w:pPr>
          </w:p>
        </w:tc>
      </w:tr>
      <w:tr w14:paraId="6970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1319A56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3</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4A33F7DE">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设备方案</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78D9B1F5">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BA03BBF">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0C92D1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EF6102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79277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B5B934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98AD3B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BC45EF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D84490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8CC5D7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347D52E">
            <w:pPr>
              <w:keepNext w:val="0"/>
              <w:keepLines w:val="0"/>
              <w:widowControl w:val="0"/>
              <w:suppressLineNumbers w:val="0"/>
              <w:spacing w:before="0" w:beforeAutospacing="0" w:after="0" w:afterAutospacing="0"/>
              <w:ind w:left="0" w:right="0"/>
              <w:jc w:val="center"/>
              <w:rPr>
                <w:highlight w:val="none"/>
                <w:lang w:val="en-US"/>
              </w:rPr>
            </w:pPr>
          </w:p>
        </w:tc>
      </w:tr>
      <w:tr w14:paraId="14E3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04D22A3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4</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39970F85">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5E400183">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5C0E7F2">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2ACC1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BD183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99E812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04D663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D5A6A6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44A1E5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C0EAB6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FF3B93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1C48EB1">
            <w:pPr>
              <w:keepNext w:val="0"/>
              <w:keepLines w:val="0"/>
              <w:widowControl w:val="0"/>
              <w:suppressLineNumbers w:val="0"/>
              <w:spacing w:before="0" w:beforeAutospacing="0" w:after="0" w:afterAutospacing="0"/>
              <w:ind w:left="0" w:right="0"/>
              <w:jc w:val="center"/>
              <w:rPr>
                <w:highlight w:val="none"/>
                <w:lang w:val="en-US"/>
              </w:rPr>
            </w:pPr>
          </w:p>
        </w:tc>
      </w:tr>
      <w:tr w14:paraId="1757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0AE9329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7</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5A7C88AC">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690A7036">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71C90424">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2516174">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89ED81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328F0C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000427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B0FCD7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73186D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144CA2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90E9B2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5A8FF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AC5110D">
            <w:pPr>
              <w:keepNext w:val="0"/>
              <w:keepLines w:val="0"/>
              <w:widowControl w:val="0"/>
              <w:suppressLineNumbers w:val="0"/>
              <w:spacing w:before="0" w:beforeAutospacing="0" w:after="0" w:afterAutospacing="0"/>
              <w:ind w:left="0" w:right="0"/>
              <w:jc w:val="center"/>
              <w:rPr>
                <w:highlight w:val="none"/>
                <w:lang w:val="en-US"/>
              </w:rPr>
            </w:pPr>
          </w:p>
        </w:tc>
      </w:tr>
      <w:tr w14:paraId="50FA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B024AB3">
            <w:pPr>
              <w:keepNext w:val="0"/>
              <w:keepLines w:val="0"/>
              <w:widowControl w:val="0"/>
              <w:suppressLineNumbers w:val="0"/>
              <w:spacing w:before="0" w:beforeAutospacing="0" w:after="0" w:afterAutospacing="0"/>
              <w:ind w:left="0" w:right="0"/>
              <w:jc w:val="center"/>
              <w:rPr>
                <w:highlight w:val="none"/>
                <w:lang w:val="en-US"/>
              </w:rPr>
            </w:pPr>
            <w:r>
              <w:rPr>
                <w:rFonts w:hint="eastAsia" w:cs="宋体"/>
                <w:kern w:val="2"/>
                <w:sz w:val="21"/>
                <w:szCs w:val="24"/>
                <w:highlight w:val="none"/>
                <w:lang w:val="en-US" w:eastAsia="zh-CN" w:bidi="ar"/>
              </w:rPr>
              <w:t>承包人建议书</w:t>
            </w:r>
            <w:r>
              <w:rPr>
                <w:rFonts w:hint="eastAsia" w:ascii="Times New Roman" w:hAnsi="Times New Roman" w:eastAsia="宋体" w:cs="宋体"/>
                <w:kern w:val="2"/>
                <w:sz w:val="21"/>
                <w:szCs w:val="24"/>
                <w:highlight w:val="none"/>
                <w:lang w:val="en-US" w:eastAsia="zh-CN" w:bidi="ar"/>
              </w:rPr>
              <w:t>得分合计</w:t>
            </w:r>
            <w:r>
              <w:rPr>
                <w:rFonts w:hint="eastAsia" w:cs="Times New Roman"/>
                <w:kern w:val="2"/>
                <w:sz w:val="21"/>
                <w:szCs w:val="24"/>
                <w:highlight w:val="none"/>
                <w:lang w:val="en-US" w:eastAsia="zh-CN" w:bidi="ar"/>
              </w:rPr>
              <w:t>B</w:t>
            </w:r>
            <w:r>
              <w:rPr>
                <w:rFonts w:hint="eastAsia" w:ascii="Times New Roman" w:hAnsi="Times New Roman" w:eastAsia="宋体" w:cs="宋体"/>
                <w:kern w:val="2"/>
                <w:sz w:val="21"/>
                <w:szCs w:val="24"/>
                <w:highlight w:val="none"/>
                <w:lang w:val="en-US" w:eastAsia="zh-CN" w:bidi="ar"/>
              </w:rPr>
              <w:t xml:space="preserve">（满分  </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906A7E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48C985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82EBE6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E2F63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3F31B9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8090A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4DE07E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613ED8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2C4C315">
            <w:pPr>
              <w:keepNext w:val="0"/>
              <w:keepLines w:val="0"/>
              <w:widowControl w:val="0"/>
              <w:suppressLineNumbers w:val="0"/>
              <w:spacing w:before="0" w:beforeAutospacing="0" w:after="0" w:afterAutospacing="0"/>
              <w:ind w:left="0" w:right="0"/>
              <w:jc w:val="center"/>
              <w:rPr>
                <w:highlight w:val="none"/>
                <w:lang w:val="en-US"/>
              </w:rPr>
            </w:pPr>
          </w:p>
        </w:tc>
      </w:tr>
    </w:tbl>
    <w:p w14:paraId="772EC515">
      <w:pPr>
        <w:bidi w:val="0"/>
        <w:outlineLvl w:val="9"/>
        <w:rPr>
          <w:rFonts w:hint="eastAsia"/>
          <w:highlight w:val="none"/>
        </w:rPr>
      </w:pPr>
      <w:r>
        <w:rPr>
          <w:rFonts w:hint="eastAsia"/>
          <w:highlight w:val="none"/>
        </w:rPr>
        <w:br w:type="page"/>
      </w:r>
    </w:p>
    <w:p w14:paraId="19E72B66">
      <w:pPr>
        <w:pStyle w:val="98"/>
        <w:rPr>
          <w:rFonts w:hint="eastAsia"/>
          <w:highlight w:val="none"/>
        </w:rPr>
      </w:pPr>
      <w:bookmarkStart w:id="1386" w:name="_Toc9434"/>
      <w:r>
        <w:rPr>
          <w:rFonts w:hint="eastAsia"/>
          <w:highlight w:val="none"/>
        </w:rPr>
        <w:t>附表A-</w:t>
      </w:r>
      <w:r>
        <w:rPr>
          <w:rFonts w:hint="eastAsia"/>
          <w:highlight w:val="none"/>
          <w:lang w:val="en-US" w:eastAsia="zh-CN"/>
        </w:rPr>
        <w:t>9</w:t>
      </w:r>
      <w:r>
        <w:rPr>
          <w:rFonts w:hint="eastAsia"/>
          <w:highlight w:val="none"/>
        </w:rPr>
        <w:t>：</w:t>
      </w:r>
      <w:r>
        <w:rPr>
          <w:rFonts w:hint="eastAsia"/>
          <w:highlight w:val="none"/>
          <w:lang w:val="en-US" w:eastAsia="zh-CN"/>
        </w:rPr>
        <w:t>资信业绩</w:t>
      </w:r>
      <w:r>
        <w:rPr>
          <w:rFonts w:hint="eastAsia"/>
          <w:highlight w:val="none"/>
        </w:rPr>
        <w:t>评审记录表</w:t>
      </w:r>
      <w:bookmarkEnd w:id="1386"/>
    </w:p>
    <w:p w14:paraId="3A73E3BE">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kern w:val="2"/>
          <w:sz w:val="36"/>
          <w:szCs w:val="36"/>
          <w:highlight w:val="none"/>
          <w:lang w:val="en-US" w:eastAsia="zh-CN" w:bidi="ar"/>
        </w:rPr>
      </w:pPr>
      <w:r>
        <w:rPr>
          <w:rFonts w:hint="eastAsia" w:ascii="黑体" w:hAnsi="Times New Roman" w:eastAsia="黑体" w:cs="黑体"/>
          <w:kern w:val="2"/>
          <w:sz w:val="36"/>
          <w:szCs w:val="36"/>
          <w:highlight w:val="none"/>
          <w:lang w:val="en-US" w:eastAsia="zh-CN" w:bidi="ar"/>
        </w:rPr>
        <w:t>资信业绩评审记录表</w:t>
      </w:r>
    </w:p>
    <w:p w14:paraId="4AFF135B">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967"/>
        <w:gridCol w:w="3136"/>
        <w:gridCol w:w="756"/>
        <w:gridCol w:w="797"/>
        <w:gridCol w:w="797"/>
        <w:gridCol w:w="797"/>
        <w:gridCol w:w="797"/>
        <w:gridCol w:w="797"/>
        <w:gridCol w:w="797"/>
        <w:gridCol w:w="797"/>
        <w:gridCol w:w="797"/>
        <w:gridCol w:w="797"/>
      </w:tblGrid>
      <w:tr w14:paraId="589C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156758">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9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8E67D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1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E66928">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132E7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2A12B88">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61E4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8E8F8D">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9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ECF81C">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1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5FC0E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0BDE7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8827C8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18331C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F322B1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7D3531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22C67F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228285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4130A7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BB94F1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82DE63">
            <w:pPr>
              <w:keepNext w:val="0"/>
              <w:keepLines w:val="0"/>
              <w:widowControl w:val="0"/>
              <w:suppressLineNumbers w:val="0"/>
              <w:spacing w:before="0" w:beforeAutospacing="0" w:after="0" w:afterAutospacing="0"/>
              <w:ind w:left="0" w:right="0"/>
              <w:jc w:val="center"/>
              <w:rPr>
                <w:highlight w:val="none"/>
                <w:lang w:val="en-US"/>
              </w:rPr>
            </w:pPr>
          </w:p>
        </w:tc>
      </w:tr>
      <w:tr w14:paraId="5D62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63D4E24">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072E0FDC">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ascii="Calibri" w:hAnsi="Calibri" w:eastAsia="宋体" w:cs="Times New Roman"/>
                <w:color w:val="auto"/>
                <w:szCs w:val="21"/>
                <w:highlight w:val="none"/>
              </w:rPr>
              <w:t>信誉</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7B59C8B3">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234BD53">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D0C549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0D529E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B6FB53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1F4C83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49C0E6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24222E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E69839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9C002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4B2DFA9">
            <w:pPr>
              <w:keepNext w:val="0"/>
              <w:keepLines w:val="0"/>
              <w:widowControl w:val="0"/>
              <w:suppressLineNumbers w:val="0"/>
              <w:spacing w:before="0" w:beforeAutospacing="0" w:after="0" w:afterAutospacing="0"/>
              <w:ind w:left="0" w:right="0"/>
              <w:jc w:val="center"/>
              <w:rPr>
                <w:highlight w:val="none"/>
                <w:lang w:val="en-US"/>
              </w:rPr>
            </w:pPr>
          </w:p>
        </w:tc>
      </w:tr>
      <w:tr w14:paraId="437A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121BE0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2</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14F69B5C">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类似项目业绩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03559721">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CBA7AE7">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CF36F5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B2064C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0738EA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972F8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3D53C6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ACC5AC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EB8DDD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2ABF87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A4A5903">
            <w:pPr>
              <w:keepNext w:val="0"/>
              <w:keepLines w:val="0"/>
              <w:widowControl w:val="0"/>
              <w:suppressLineNumbers w:val="0"/>
              <w:spacing w:before="0" w:beforeAutospacing="0" w:after="0" w:afterAutospacing="0"/>
              <w:ind w:left="0" w:right="0"/>
              <w:jc w:val="center"/>
              <w:rPr>
                <w:highlight w:val="none"/>
                <w:lang w:val="en-US"/>
              </w:rPr>
            </w:pPr>
          </w:p>
        </w:tc>
      </w:tr>
      <w:tr w14:paraId="2215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6BE6F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3</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35190B31">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项目负责人业绩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0A577F6">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DB0E8BD">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FDCA12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F772BC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236360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BC4030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148DF9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CFC583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6337DE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228292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DCC922">
            <w:pPr>
              <w:keepNext w:val="0"/>
              <w:keepLines w:val="0"/>
              <w:widowControl w:val="0"/>
              <w:suppressLineNumbers w:val="0"/>
              <w:spacing w:before="0" w:beforeAutospacing="0" w:after="0" w:afterAutospacing="0"/>
              <w:ind w:left="0" w:right="0"/>
              <w:jc w:val="center"/>
              <w:rPr>
                <w:highlight w:val="none"/>
                <w:lang w:val="en-US"/>
              </w:rPr>
            </w:pPr>
          </w:p>
        </w:tc>
      </w:tr>
      <w:tr w14:paraId="29AA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3BAA65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4</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270F5F0D">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设计负责人业绩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54FD060B">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53531A9">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4FA47B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8F787F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10B409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07D32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B6FC05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CE7B94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88815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955799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D941FC5">
            <w:pPr>
              <w:keepNext w:val="0"/>
              <w:keepLines w:val="0"/>
              <w:widowControl w:val="0"/>
              <w:suppressLineNumbers w:val="0"/>
              <w:spacing w:before="0" w:beforeAutospacing="0" w:after="0" w:afterAutospacing="0"/>
              <w:ind w:left="0" w:right="0"/>
              <w:jc w:val="center"/>
              <w:rPr>
                <w:highlight w:val="none"/>
                <w:lang w:val="en-US"/>
              </w:rPr>
            </w:pPr>
          </w:p>
        </w:tc>
      </w:tr>
      <w:tr w14:paraId="4E6E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11AF1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5</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20A12610">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施工负责人业绩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6C329653">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FA66348">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158B68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5177EC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B83C51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47FCDB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40D1C7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60C6BB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272794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BD130D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25A3D2A">
            <w:pPr>
              <w:keepNext w:val="0"/>
              <w:keepLines w:val="0"/>
              <w:widowControl w:val="0"/>
              <w:suppressLineNumbers w:val="0"/>
              <w:spacing w:before="0" w:beforeAutospacing="0" w:after="0" w:afterAutospacing="0"/>
              <w:ind w:left="0" w:right="0"/>
              <w:jc w:val="center"/>
              <w:rPr>
                <w:highlight w:val="none"/>
                <w:lang w:val="en-US"/>
              </w:rPr>
            </w:pPr>
          </w:p>
        </w:tc>
      </w:tr>
      <w:tr w14:paraId="3CC3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634CF3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6</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12BCC5BD">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其他主要人员业绩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5D146C26">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59BF869B">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C70D8D8">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74C4C3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22972B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6A690A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EF78D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DA552D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FA209C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401BEC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1BC36D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7722F23">
            <w:pPr>
              <w:keepNext w:val="0"/>
              <w:keepLines w:val="0"/>
              <w:widowControl w:val="0"/>
              <w:suppressLineNumbers w:val="0"/>
              <w:spacing w:before="0" w:beforeAutospacing="0" w:after="0" w:afterAutospacing="0"/>
              <w:ind w:left="0" w:right="0"/>
              <w:jc w:val="center"/>
              <w:rPr>
                <w:highlight w:val="none"/>
                <w:lang w:val="en-US"/>
              </w:rPr>
            </w:pPr>
          </w:p>
        </w:tc>
      </w:tr>
      <w:tr w14:paraId="3009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BF3037F">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7</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5813CA82">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33B70CB">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0DDF3A73">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B5BD85A">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43A7AF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C7EC7E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E137FA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FA5E57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3855F9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07E474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ADF7BE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0EB3E7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9E5D367">
            <w:pPr>
              <w:keepNext w:val="0"/>
              <w:keepLines w:val="0"/>
              <w:widowControl w:val="0"/>
              <w:suppressLineNumbers w:val="0"/>
              <w:spacing w:before="0" w:beforeAutospacing="0" w:after="0" w:afterAutospacing="0"/>
              <w:ind w:left="0" w:right="0"/>
              <w:jc w:val="center"/>
              <w:rPr>
                <w:highlight w:val="none"/>
                <w:lang w:val="en-US"/>
              </w:rPr>
            </w:pPr>
          </w:p>
        </w:tc>
      </w:tr>
      <w:tr w14:paraId="5CF4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5E956E7">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资信业绩得分合计</w:t>
            </w:r>
            <w:r>
              <w:rPr>
                <w:rFonts w:hint="eastAsia" w:ascii="Times New Roman" w:hAnsi="Times New Roman" w:eastAsia="宋体" w:cs="Times New Roman"/>
                <w:kern w:val="2"/>
                <w:sz w:val="21"/>
                <w:szCs w:val="24"/>
                <w:highlight w:val="none"/>
                <w:lang w:val="en-US" w:eastAsia="zh-CN" w:bidi="ar"/>
              </w:rPr>
              <w:t>C</w:t>
            </w:r>
            <w:r>
              <w:rPr>
                <w:rFonts w:hint="eastAsia" w:ascii="Times New Roman" w:hAnsi="Times New Roman" w:eastAsia="宋体" w:cs="宋体"/>
                <w:kern w:val="2"/>
                <w:sz w:val="21"/>
                <w:szCs w:val="24"/>
                <w:highlight w:val="none"/>
                <w:lang w:val="en-US" w:eastAsia="zh-CN" w:bidi="ar"/>
              </w:rPr>
              <w:t xml:space="preserve">（满分  </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D667B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DAA37F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5F0B4C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E6BCA4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258010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811304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621EA7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66483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83CFD7C">
            <w:pPr>
              <w:keepNext w:val="0"/>
              <w:keepLines w:val="0"/>
              <w:widowControl w:val="0"/>
              <w:suppressLineNumbers w:val="0"/>
              <w:spacing w:before="0" w:beforeAutospacing="0" w:after="0" w:afterAutospacing="0"/>
              <w:ind w:left="0" w:right="0"/>
              <w:jc w:val="center"/>
              <w:rPr>
                <w:highlight w:val="none"/>
                <w:lang w:val="en-US"/>
              </w:rPr>
            </w:pPr>
          </w:p>
        </w:tc>
      </w:tr>
    </w:tbl>
    <w:p w14:paraId="41973741">
      <w:pPr>
        <w:rPr>
          <w:rFonts w:hint="eastAsia"/>
          <w:highlight w:val="none"/>
        </w:rPr>
      </w:pPr>
      <w:r>
        <w:rPr>
          <w:rFonts w:hint="eastAsia"/>
          <w:highlight w:val="none"/>
        </w:rPr>
        <w:br w:type="page"/>
      </w:r>
    </w:p>
    <w:p w14:paraId="483238E1">
      <w:pPr>
        <w:pStyle w:val="98"/>
        <w:rPr>
          <w:rFonts w:hint="eastAsia"/>
          <w:highlight w:val="none"/>
        </w:rPr>
      </w:pPr>
      <w:bookmarkStart w:id="1387" w:name="_Toc24894"/>
      <w:r>
        <w:rPr>
          <w:rFonts w:hint="eastAsia"/>
          <w:highlight w:val="none"/>
        </w:rPr>
        <w:t>附表A-</w:t>
      </w:r>
      <w:r>
        <w:rPr>
          <w:rFonts w:hint="eastAsia"/>
          <w:highlight w:val="none"/>
          <w:lang w:val="en-US" w:eastAsia="zh-CN"/>
        </w:rPr>
        <w:t>10</w:t>
      </w:r>
      <w:r>
        <w:rPr>
          <w:rFonts w:hint="eastAsia"/>
          <w:highlight w:val="none"/>
        </w:rPr>
        <w:t>：</w:t>
      </w:r>
      <w:r>
        <w:rPr>
          <w:rFonts w:hint="eastAsia"/>
          <w:highlight w:val="none"/>
          <w:lang w:val="en-US" w:eastAsia="zh-CN"/>
        </w:rPr>
        <w:t>其他因素</w:t>
      </w:r>
      <w:r>
        <w:rPr>
          <w:rFonts w:hint="eastAsia"/>
          <w:highlight w:val="none"/>
        </w:rPr>
        <w:t>评审记录表</w:t>
      </w:r>
      <w:bookmarkEnd w:id="1387"/>
    </w:p>
    <w:p w14:paraId="5D6B57E3">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kern w:val="2"/>
          <w:sz w:val="36"/>
          <w:szCs w:val="36"/>
          <w:highlight w:val="none"/>
          <w:lang w:val="en-US" w:eastAsia="zh-CN" w:bidi="ar"/>
        </w:rPr>
      </w:pPr>
    </w:p>
    <w:p w14:paraId="1560B546">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sz w:val="36"/>
          <w:szCs w:val="36"/>
          <w:highlight w:val="none"/>
          <w:lang w:val="en-US"/>
        </w:rPr>
      </w:pPr>
      <w:r>
        <w:rPr>
          <w:rFonts w:hint="eastAsia" w:ascii="黑体" w:hAnsi="Times New Roman" w:eastAsia="黑体" w:cs="黑体"/>
          <w:kern w:val="2"/>
          <w:sz w:val="36"/>
          <w:szCs w:val="36"/>
          <w:highlight w:val="none"/>
          <w:lang w:val="en-US" w:eastAsia="zh-CN" w:bidi="ar"/>
        </w:rPr>
        <w:t>其他因素评审记录表</w:t>
      </w:r>
    </w:p>
    <w:p w14:paraId="2F5AAC76">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173"/>
        <w:gridCol w:w="3930"/>
        <w:gridCol w:w="756"/>
        <w:gridCol w:w="797"/>
        <w:gridCol w:w="797"/>
        <w:gridCol w:w="797"/>
        <w:gridCol w:w="797"/>
        <w:gridCol w:w="797"/>
        <w:gridCol w:w="797"/>
        <w:gridCol w:w="797"/>
        <w:gridCol w:w="797"/>
        <w:gridCol w:w="797"/>
      </w:tblGrid>
      <w:tr w14:paraId="20D8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ECE82F">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405BE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9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1F8AAD">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A2F1BF">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33CEB1A">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1AD6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7A32C0">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C9DEAF">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9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59B1A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9C7CC5">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62291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0F8FDC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FD99CB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6DB9E4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85305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DEDACB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CE9960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1ED195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BCDFA30">
            <w:pPr>
              <w:keepNext w:val="0"/>
              <w:keepLines w:val="0"/>
              <w:widowControl w:val="0"/>
              <w:suppressLineNumbers w:val="0"/>
              <w:spacing w:before="0" w:beforeAutospacing="0" w:after="0" w:afterAutospacing="0"/>
              <w:ind w:left="0" w:right="0"/>
              <w:jc w:val="center"/>
              <w:rPr>
                <w:highlight w:val="none"/>
                <w:lang w:val="en-US"/>
              </w:rPr>
            </w:pPr>
          </w:p>
        </w:tc>
      </w:tr>
      <w:tr w14:paraId="715D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79EF8E91">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1B2872B7">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20D14D88">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F02C5BF">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8FD2F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F8D964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75B922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CEAADA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C3144A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E425B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B3C9D4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F280A3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77895E9">
            <w:pPr>
              <w:keepNext w:val="0"/>
              <w:keepLines w:val="0"/>
              <w:widowControl w:val="0"/>
              <w:suppressLineNumbers w:val="0"/>
              <w:spacing w:before="0" w:beforeAutospacing="0" w:after="0" w:afterAutospacing="0"/>
              <w:ind w:left="0" w:right="0"/>
              <w:jc w:val="center"/>
              <w:rPr>
                <w:highlight w:val="none"/>
                <w:lang w:val="en-US"/>
              </w:rPr>
            </w:pPr>
          </w:p>
        </w:tc>
      </w:tr>
      <w:tr w14:paraId="2646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4"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4B7BD0F">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2</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0AB9C8AD">
            <w:pPr>
              <w:keepNext w:val="0"/>
              <w:keepLines w:val="0"/>
              <w:widowControl w:val="0"/>
              <w:suppressLineNumbers w:val="0"/>
              <w:spacing w:before="0" w:beforeAutospacing="0" w:after="0" w:afterAutospacing="0" w:line="440" w:lineRule="exact"/>
              <w:ind w:left="0" w:right="0"/>
              <w:jc w:val="center"/>
              <w:rPr>
                <w:szCs w:val="21"/>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5C33DC3E">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C4DFD1B">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74D7AF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C4C5ED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5BAD94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8DDC5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403F10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9FBAA6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BA0965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1FBF59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AE71BAB">
            <w:pPr>
              <w:keepNext w:val="0"/>
              <w:keepLines w:val="0"/>
              <w:widowControl w:val="0"/>
              <w:suppressLineNumbers w:val="0"/>
              <w:spacing w:before="0" w:beforeAutospacing="0" w:after="0" w:afterAutospacing="0"/>
              <w:ind w:left="0" w:right="0"/>
              <w:jc w:val="center"/>
              <w:rPr>
                <w:highlight w:val="none"/>
                <w:lang w:val="en-US"/>
              </w:rPr>
            </w:pPr>
          </w:p>
        </w:tc>
      </w:tr>
      <w:tr w14:paraId="65AC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3"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3F0C69A">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3</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28241F35">
            <w:pPr>
              <w:keepNext w:val="0"/>
              <w:keepLines w:val="0"/>
              <w:widowControl w:val="0"/>
              <w:suppressLineNumbers w:val="0"/>
              <w:spacing w:before="0" w:beforeAutospacing="0" w:after="0" w:afterAutospacing="0"/>
              <w:ind w:left="0" w:right="0"/>
              <w:jc w:val="center"/>
              <w:rPr>
                <w:szCs w:val="21"/>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04A03946">
            <w:pPr>
              <w:keepNext w:val="0"/>
              <w:keepLines w:val="0"/>
              <w:widowControl w:val="0"/>
              <w:suppressLineNumbers w:val="0"/>
              <w:spacing w:before="0" w:beforeAutospacing="0" w:after="0" w:afterAutospacing="0"/>
              <w:ind w:left="0" w:right="0"/>
              <w:jc w:val="center"/>
              <w:rPr>
                <w:rFonts w:hint="eastAsia" w:ascii="宋体" w:hAnsi="宋体" w:eastAsia="宋体" w:cs="宋体"/>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F65E1E9">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1509A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1A517D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FB19FB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0C3061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CAF5EB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5ECF6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600541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40959F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A66FCBB">
            <w:pPr>
              <w:keepNext w:val="0"/>
              <w:keepLines w:val="0"/>
              <w:widowControl w:val="0"/>
              <w:suppressLineNumbers w:val="0"/>
              <w:spacing w:before="0" w:beforeAutospacing="0" w:after="0" w:afterAutospacing="0"/>
              <w:ind w:left="0" w:right="0"/>
              <w:jc w:val="center"/>
              <w:rPr>
                <w:highlight w:val="none"/>
                <w:lang w:val="en-US"/>
              </w:rPr>
            </w:pPr>
          </w:p>
        </w:tc>
      </w:tr>
      <w:tr w14:paraId="654B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2119C4C">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其他因素得分合计D（满分</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705608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DFA64E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1B989E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1DC3E0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61BF70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D5ECA3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0EA7B5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83F4DE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2B3B2DF">
            <w:pPr>
              <w:keepNext w:val="0"/>
              <w:keepLines w:val="0"/>
              <w:widowControl w:val="0"/>
              <w:suppressLineNumbers w:val="0"/>
              <w:spacing w:before="0" w:beforeAutospacing="0" w:after="0" w:afterAutospacing="0"/>
              <w:ind w:left="0" w:right="0"/>
              <w:jc w:val="center"/>
              <w:rPr>
                <w:highlight w:val="none"/>
                <w:lang w:val="en-US"/>
              </w:rPr>
            </w:pPr>
          </w:p>
        </w:tc>
      </w:tr>
    </w:tbl>
    <w:p w14:paraId="53F3C5FD">
      <w:pPr>
        <w:keepNext w:val="0"/>
        <w:keepLines w:val="0"/>
        <w:widowControl w:val="0"/>
        <w:suppressLineNumbers w:val="0"/>
        <w:spacing w:before="0" w:beforeAutospacing="0" w:after="0" w:afterAutospacing="0"/>
        <w:ind w:left="0" w:right="0"/>
        <w:jc w:val="both"/>
        <w:rPr>
          <w:highlight w:val="none"/>
          <w:lang w:val="en-US"/>
        </w:rPr>
      </w:pPr>
    </w:p>
    <w:p w14:paraId="4F43F1E6">
      <w:pPr>
        <w:rPr>
          <w:rFonts w:hint="eastAsia" w:eastAsia="宋体"/>
          <w:highlight w:val="none"/>
        </w:rPr>
      </w:pPr>
      <w:r>
        <w:rPr>
          <w:rFonts w:hint="eastAsia" w:eastAsia="宋体"/>
          <w:highlight w:val="none"/>
        </w:rPr>
        <w:br w:type="page"/>
      </w:r>
    </w:p>
    <w:p w14:paraId="24D24139">
      <w:pPr>
        <w:pStyle w:val="98"/>
        <w:rPr>
          <w:rFonts w:hint="eastAsia"/>
          <w:highlight w:val="none"/>
        </w:rPr>
      </w:pPr>
      <w:bookmarkStart w:id="1388" w:name="_Toc8568"/>
      <w:r>
        <w:rPr>
          <w:rFonts w:hint="eastAsia"/>
          <w:highlight w:val="none"/>
        </w:rPr>
        <w:t>附表A-</w:t>
      </w:r>
      <w:r>
        <w:rPr>
          <w:rFonts w:hint="eastAsia"/>
          <w:highlight w:val="none"/>
          <w:lang w:val="en-US" w:eastAsia="zh-CN"/>
        </w:rPr>
        <w:t>11</w:t>
      </w:r>
      <w:r>
        <w:rPr>
          <w:rFonts w:hint="eastAsia"/>
          <w:highlight w:val="none"/>
        </w:rPr>
        <w:t>：投标报价评分记录表</w:t>
      </w:r>
      <w:bookmarkEnd w:id="1388"/>
    </w:p>
    <w:p w14:paraId="3BD9D82A">
      <w:pPr>
        <w:spacing w:after="240" w:afterLines="100"/>
        <w:jc w:val="center"/>
        <w:rPr>
          <w:rFonts w:hint="eastAsia" w:ascii="黑体" w:hAnsi="宋体" w:eastAsia="黑体"/>
          <w:sz w:val="28"/>
          <w:szCs w:val="28"/>
          <w:highlight w:val="none"/>
        </w:rPr>
      </w:pPr>
    </w:p>
    <w:p w14:paraId="46270451">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投标报价评分记录表</w:t>
      </w:r>
    </w:p>
    <w:p w14:paraId="0FC595CA">
      <w:pPr>
        <w:spacing w:after="240" w:afterLines="100"/>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r>
        <w:rPr>
          <w:highlight w:val="non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168"/>
        <w:gridCol w:w="1177"/>
        <w:gridCol w:w="1178"/>
        <w:gridCol w:w="1178"/>
        <w:gridCol w:w="1177"/>
        <w:gridCol w:w="1178"/>
        <w:gridCol w:w="1178"/>
        <w:gridCol w:w="1177"/>
        <w:gridCol w:w="1178"/>
        <w:gridCol w:w="1178"/>
      </w:tblGrid>
      <w:tr w14:paraId="3F58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31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ACE6F7">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项目</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2760299">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p>
        </w:tc>
      </w:tr>
      <w:tr w14:paraId="0A5A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16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CC4A09">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77C0864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499531A">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D812900">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4E29BB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466D8EE9">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43551C3D">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2EB961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08A4231B">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7D4F75E">
            <w:pPr>
              <w:keepNext w:val="0"/>
              <w:keepLines w:val="0"/>
              <w:widowControl w:val="0"/>
              <w:suppressLineNumbers w:val="0"/>
              <w:spacing w:before="0" w:beforeAutospacing="0" w:after="0" w:afterAutospacing="0"/>
              <w:ind w:left="0" w:right="0"/>
              <w:jc w:val="center"/>
              <w:rPr>
                <w:highlight w:val="none"/>
                <w:lang w:val="en-US"/>
              </w:rPr>
            </w:pPr>
          </w:p>
        </w:tc>
      </w:tr>
      <w:tr w14:paraId="0E43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1A3538B9">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投标报价</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14457BE5">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4AC3917">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0005A9D7">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2F801817">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244CC7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42757DC">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A2D41BA">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EEE134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8ECCD22">
            <w:pPr>
              <w:keepNext w:val="0"/>
              <w:keepLines w:val="0"/>
              <w:widowControl w:val="0"/>
              <w:suppressLineNumbers w:val="0"/>
              <w:spacing w:before="0" w:beforeAutospacing="0" w:after="0" w:afterAutospacing="0"/>
              <w:ind w:left="0" w:right="0"/>
              <w:jc w:val="center"/>
              <w:rPr>
                <w:highlight w:val="none"/>
                <w:lang w:val="en-US"/>
              </w:rPr>
            </w:pPr>
          </w:p>
        </w:tc>
      </w:tr>
      <w:tr w14:paraId="70CF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5C185B58">
            <w:pPr>
              <w:keepNext w:val="0"/>
              <w:keepLines w:val="0"/>
              <w:widowControl w:val="0"/>
              <w:suppressLineNumbers w:val="0"/>
              <w:spacing w:before="0" w:beforeAutospacing="0" w:after="120" w:afterLines="50" w:afterAutospacing="0"/>
              <w:ind w:left="0" w:right="0"/>
              <w:jc w:val="center"/>
              <w:rPr>
                <w:rFonts w:hint="eastAsia" w:ascii="宋体" w:hAnsi="宋体" w:eastAsia="宋体" w:cs="Arial"/>
                <w:szCs w:val="21"/>
                <w:highlight w:val="none"/>
                <w:lang w:val="en-US"/>
              </w:rPr>
            </w:pPr>
            <w:r>
              <w:rPr>
                <w:rFonts w:hint="eastAsia" w:ascii="宋体" w:hAnsi="宋体" w:eastAsia="宋体" w:cs="Arial"/>
                <w:kern w:val="2"/>
                <w:sz w:val="21"/>
                <w:szCs w:val="21"/>
                <w:highlight w:val="none"/>
                <w:lang w:val="en-US" w:eastAsia="zh-CN" w:bidi="ar"/>
              </w:rPr>
              <w:t>修正后的投标总价（如有）</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86F26E4">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B67F18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29BD15A">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1FD38E4E">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A534C7C">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A5C3BCC">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B5F95D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7C4109C">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01362B7C">
            <w:pPr>
              <w:keepNext w:val="0"/>
              <w:keepLines w:val="0"/>
              <w:widowControl w:val="0"/>
              <w:suppressLineNumbers w:val="0"/>
              <w:spacing w:before="0" w:beforeAutospacing="0" w:after="0" w:afterAutospacing="0"/>
              <w:ind w:left="0" w:right="0"/>
              <w:jc w:val="center"/>
              <w:rPr>
                <w:highlight w:val="none"/>
                <w:lang w:val="en-US"/>
              </w:rPr>
            </w:pPr>
          </w:p>
        </w:tc>
      </w:tr>
      <w:tr w14:paraId="71BC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7D6C0A36">
            <w:pPr>
              <w:keepNext w:val="0"/>
              <w:keepLines w:val="0"/>
              <w:widowControl w:val="0"/>
              <w:suppressLineNumbers w:val="0"/>
              <w:spacing w:before="0" w:beforeAutospacing="0" w:after="0" w:afterAutospacing="0"/>
              <w:ind w:left="0" w:right="0"/>
              <w:jc w:val="center"/>
              <w:rPr>
                <w:rFonts w:hint="eastAsia" w:ascii="宋体" w:hAnsi="宋体" w:eastAsia="宋体" w:cs="Arial"/>
                <w:szCs w:val="21"/>
                <w:highlight w:val="none"/>
                <w:lang w:val="en-US"/>
              </w:rPr>
            </w:pPr>
            <w:r>
              <w:rPr>
                <w:rFonts w:hint="eastAsia" w:ascii="Times New Roman" w:hAnsi="Times New Roman" w:eastAsia="宋体" w:cs="宋体"/>
                <w:kern w:val="2"/>
                <w:sz w:val="21"/>
                <w:szCs w:val="24"/>
                <w:highlight w:val="none"/>
                <w:lang w:val="en-US" w:eastAsia="zh-CN" w:bidi="ar"/>
              </w:rPr>
              <w:t>评标基准价</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997F731">
            <w:pPr>
              <w:keepNext w:val="0"/>
              <w:keepLines w:val="0"/>
              <w:widowControl w:val="0"/>
              <w:suppressLineNumbers w:val="0"/>
              <w:spacing w:before="0" w:beforeAutospacing="0" w:after="0" w:afterAutospacing="0"/>
              <w:ind w:left="0" w:right="0"/>
              <w:jc w:val="center"/>
              <w:rPr>
                <w:highlight w:val="none"/>
                <w:lang w:val="en-US"/>
              </w:rPr>
            </w:pPr>
          </w:p>
        </w:tc>
      </w:tr>
      <w:tr w14:paraId="5166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5091E5A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偏差率</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E3B8E28">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EBD684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70178A0">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1A5FCE8">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180D228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1ACAB978">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FC6FB5D">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64B48C5">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84F2B30">
            <w:pPr>
              <w:keepNext w:val="0"/>
              <w:keepLines w:val="0"/>
              <w:widowControl w:val="0"/>
              <w:suppressLineNumbers w:val="0"/>
              <w:spacing w:before="0" w:beforeAutospacing="0" w:after="0" w:afterAutospacing="0"/>
              <w:ind w:left="0" w:right="0"/>
              <w:jc w:val="center"/>
              <w:rPr>
                <w:highlight w:val="none"/>
                <w:lang w:val="en-US"/>
              </w:rPr>
            </w:pPr>
          </w:p>
        </w:tc>
      </w:tr>
      <w:tr w14:paraId="0798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6CF90BE9">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最高投标限价</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EAC4535">
            <w:pPr>
              <w:keepNext w:val="0"/>
              <w:keepLines w:val="0"/>
              <w:widowControl w:val="0"/>
              <w:suppressLineNumbers w:val="0"/>
              <w:spacing w:before="0" w:beforeAutospacing="0" w:after="0" w:afterAutospacing="0"/>
              <w:ind w:left="0" w:right="0"/>
              <w:jc w:val="center"/>
              <w:rPr>
                <w:highlight w:val="none"/>
                <w:lang w:val="en-US"/>
              </w:rPr>
            </w:pPr>
          </w:p>
        </w:tc>
      </w:tr>
      <w:tr w14:paraId="0743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57AEAF83">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计算投标报价得分</w:t>
            </w:r>
            <w:r>
              <w:rPr>
                <w:rFonts w:hint="eastAsia" w:cs="宋体"/>
                <w:kern w:val="2"/>
                <w:sz w:val="21"/>
                <w:szCs w:val="24"/>
                <w:highlight w:val="none"/>
                <w:lang w:val="en-US" w:eastAsia="zh-CN" w:bidi="ar"/>
              </w:rPr>
              <w:t>E</w:t>
            </w:r>
            <w:r>
              <w:rPr>
                <w:rFonts w:hint="eastAsia" w:ascii="Times New Roman" w:hAnsi="Times New Roman" w:eastAsia="宋体" w:cs="宋体"/>
                <w:kern w:val="2"/>
                <w:sz w:val="21"/>
                <w:szCs w:val="24"/>
                <w:highlight w:val="none"/>
                <w:lang w:val="en-US" w:eastAsia="zh-CN" w:bidi="ar"/>
              </w:rPr>
              <w:t>（满分</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6BAD96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4437590">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75AE396">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29C7D19A">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CCB4C47">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4356E3A">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223D5150">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73CC78B">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475B097">
            <w:pPr>
              <w:keepNext w:val="0"/>
              <w:keepLines w:val="0"/>
              <w:widowControl w:val="0"/>
              <w:suppressLineNumbers w:val="0"/>
              <w:spacing w:before="0" w:beforeAutospacing="0" w:after="0" w:afterAutospacing="0"/>
              <w:ind w:left="0" w:right="0"/>
              <w:jc w:val="center"/>
              <w:rPr>
                <w:highlight w:val="none"/>
                <w:lang w:val="en-US"/>
              </w:rPr>
            </w:pPr>
          </w:p>
        </w:tc>
      </w:tr>
    </w:tbl>
    <w:p w14:paraId="63B2286A">
      <w:pPr>
        <w:rPr>
          <w:rFonts w:hint="eastAsia" w:ascii="宋体" w:hAnsi="宋体"/>
          <w:szCs w:val="44"/>
          <w:highlight w:val="none"/>
        </w:rPr>
      </w:pPr>
    </w:p>
    <w:p w14:paraId="41F3FFE5">
      <w:pPr>
        <w:widowControl/>
        <w:jc w:val="left"/>
        <w:rPr>
          <w:rFonts w:hint="eastAsia" w:ascii="宋体" w:hAnsi="宋体"/>
          <w:szCs w:val="44"/>
          <w:highlight w:val="none"/>
        </w:rPr>
      </w:pPr>
      <w:r>
        <w:rPr>
          <w:rFonts w:ascii="宋体" w:hAnsi="宋体"/>
          <w:szCs w:val="44"/>
          <w:highlight w:val="none"/>
        </w:rPr>
        <w:br w:type="page"/>
      </w:r>
    </w:p>
    <w:p w14:paraId="10E1B871">
      <w:pPr>
        <w:pStyle w:val="98"/>
        <w:rPr>
          <w:rFonts w:hint="eastAsia"/>
          <w:highlight w:val="none"/>
        </w:rPr>
      </w:pPr>
      <w:bookmarkStart w:id="1389" w:name="_Toc21644"/>
      <w:r>
        <w:rPr>
          <w:rFonts w:hint="eastAsia" w:eastAsia="宋体"/>
          <w:highlight w:val="none"/>
        </w:rPr>
        <w:t>附表A-</w:t>
      </w:r>
      <w:r>
        <w:rPr>
          <w:rFonts w:hint="eastAsia" w:eastAsia="宋体"/>
          <w:highlight w:val="none"/>
          <w:lang w:val="en-US" w:eastAsia="zh-CN"/>
        </w:rPr>
        <w:t>12</w:t>
      </w:r>
      <w:r>
        <w:rPr>
          <w:rFonts w:hint="eastAsia" w:eastAsia="宋体"/>
          <w:highlight w:val="none"/>
        </w:rPr>
        <w:t>：</w:t>
      </w:r>
      <w:r>
        <w:rPr>
          <w:rFonts w:hint="eastAsia"/>
          <w:highlight w:val="none"/>
        </w:rPr>
        <w:t>否决投标的情况说明表</w:t>
      </w:r>
      <w:bookmarkEnd w:id="1389"/>
    </w:p>
    <w:p w14:paraId="28690AA2">
      <w:pPr>
        <w:spacing w:before="120" w:beforeLines="50" w:after="120" w:afterLines="50" w:line="440" w:lineRule="exact"/>
        <w:jc w:val="center"/>
        <w:rPr>
          <w:rFonts w:ascii="黑体" w:eastAsia="黑体"/>
          <w:sz w:val="28"/>
          <w:szCs w:val="28"/>
          <w:highlight w:val="none"/>
        </w:rPr>
      </w:pPr>
      <w:r>
        <w:rPr>
          <w:rFonts w:hint="eastAsia" w:ascii="黑体" w:eastAsia="黑体"/>
          <w:sz w:val="28"/>
          <w:szCs w:val="28"/>
          <w:highlight w:val="none"/>
        </w:rPr>
        <w:t>否决投标的情况说明表</w:t>
      </w:r>
    </w:p>
    <w:p w14:paraId="09D98383">
      <w:pPr>
        <w:spacing w:after="240" w:afterLines="100"/>
        <w:rPr>
          <w:rFonts w:hint="eastAsia" w:ascii="宋体" w:hAnsi="宋体"/>
          <w:szCs w:val="44"/>
          <w:highlight w:val="none"/>
        </w:rPr>
      </w:pPr>
      <w:r>
        <w:rPr>
          <w:rFonts w:hint="eastAsia" w:ascii="宋体" w:hAnsi="宋体"/>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rPr>
        <w:t>施工</w:t>
      </w:r>
      <w:r>
        <w:rPr>
          <w:rFonts w:hint="eastAsia"/>
          <w:highlight w:val="none"/>
        </w:rPr>
        <w:t>招标</w:t>
      </w:r>
    </w:p>
    <w:tbl>
      <w:tblPr>
        <w:tblStyle w:val="39"/>
        <w:tblW w:w="13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128"/>
        <w:gridCol w:w="2481"/>
        <w:gridCol w:w="8112"/>
      </w:tblGrid>
      <w:tr w14:paraId="7758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4D362D99">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序号</w:t>
            </w:r>
          </w:p>
        </w:tc>
        <w:tc>
          <w:tcPr>
            <w:tcW w:w="2128" w:type="dxa"/>
            <w:vAlign w:val="center"/>
          </w:tcPr>
          <w:p w14:paraId="36E06CD2">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投标人名称</w:t>
            </w:r>
          </w:p>
        </w:tc>
        <w:tc>
          <w:tcPr>
            <w:tcW w:w="2481" w:type="dxa"/>
            <w:vAlign w:val="center"/>
          </w:tcPr>
          <w:p w14:paraId="03184945">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否决投标的依据</w:t>
            </w:r>
          </w:p>
        </w:tc>
        <w:tc>
          <w:tcPr>
            <w:tcW w:w="8112" w:type="dxa"/>
            <w:vAlign w:val="center"/>
          </w:tcPr>
          <w:p w14:paraId="29A9BEE4">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投标文件存在的具体问题</w:t>
            </w:r>
          </w:p>
        </w:tc>
      </w:tr>
      <w:tr w14:paraId="4DE6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442CEF66">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1</w:t>
            </w:r>
          </w:p>
        </w:tc>
        <w:tc>
          <w:tcPr>
            <w:tcW w:w="2128" w:type="dxa"/>
            <w:vAlign w:val="center"/>
          </w:tcPr>
          <w:p w14:paraId="2DCC5C1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27D0D9C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3920ECBA">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49B5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30494380">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2</w:t>
            </w:r>
          </w:p>
        </w:tc>
        <w:tc>
          <w:tcPr>
            <w:tcW w:w="2128" w:type="dxa"/>
            <w:vAlign w:val="center"/>
          </w:tcPr>
          <w:p w14:paraId="0C2C61A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04BDC17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67B68596">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3128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5ACCC55F">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3</w:t>
            </w:r>
          </w:p>
        </w:tc>
        <w:tc>
          <w:tcPr>
            <w:tcW w:w="2128" w:type="dxa"/>
            <w:vAlign w:val="center"/>
          </w:tcPr>
          <w:p w14:paraId="1CF244E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46233BA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24F874FA">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44DF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53045D2D">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4</w:t>
            </w:r>
          </w:p>
        </w:tc>
        <w:tc>
          <w:tcPr>
            <w:tcW w:w="2128" w:type="dxa"/>
            <w:vAlign w:val="center"/>
          </w:tcPr>
          <w:p w14:paraId="65718BC4">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55DCD5C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44EE0E1F">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F2B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00EE1E8C">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5</w:t>
            </w:r>
          </w:p>
        </w:tc>
        <w:tc>
          <w:tcPr>
            <w:tcW w:w="2128" w:type="dxa"/>
            <w:vAlign w:val="center"/>
          </w:tcPr>
          <w:p w14:paraId="6996A4A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68B204E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3C69827C">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430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11CA042C">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6</w:t>
            </w:r>
          </w:p>
        </w:tc>
        <w:tc>
          <w:tcPr>
            <w:tcW w:w="2128" w:type="dxa"/>
            <w:vAlign w:val="center"/>
          </w:tcPr>
          <w:p w14:paraId="4D90419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0D2BBA5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56675235">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D62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51798362">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7</w:t>
            </w:r>
          </w:p>
        </w:tc>
        <w:tc>
          <w:tcPr>
            <w:tcW w:w="2128" w:type="dxa"/>
            <w:vAlign w:val="center"/>
          </w:tcPr>
          <w:p w14:paraId="36DE083D">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61ADC948">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23054F40">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016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0F4FF26E">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8</w:t>
            </w:r>
          </w:p>
        </w:tc>
        <w:tc>
          <w:tcPr>
            <w:tcW w:w="2128" w:type="dxa"/>
            <w:vAlign w:val="center"/>
          </w:tcPr>
          <w:p w14:paraId="01B8943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3FD60E6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261F6CC1">
            <w:pPr>
              <w:keepNext w:val="0"/>
              <w:keepLines w:val="0"/>
              <w:suppressLineNumbers w:val="0"/>
              <w:spacing w:before="0" w:beforeAutospacing="0" w:after="0" w:afterAutospacing="0"/>
              <w:ind w:left="0" w:right="0"/>
              <w:jc w:val="center"/>
              <w:rPr>
                <w:rFonts w:hint="eastAsia" w:ascii="宋体" w:hAnsi="宋体"/>
                <w:szCs w:val="21"/>
                <w:highlight w:val="none"/>
              </w:rPr>
            </w:pPr>
          </w:p>
        </w:tc>
      </w:tr>
    </w:tbl>
    <w:p w14:paraId="700FDE57">
      <w:pPr>
        <w:spacing w:line="440" w:lineRule="exact"/>
        <w:rPr>
          <w:highlight w:val="none"/>
        </w:rPr>
      </w:pPr>
      <w:r>
        <w:rPr>
          <w:rFonts w:hint="eastAsia"/>
          <w:highlight w:val="none"/>
        </w:rPr>
        <w:t>评标委员会全体成员签名：</w:t>
      </w:r>
    </w:p>
    <w:p w14:paraId="27D6C167">
      <w:pPr>
        <w:pStyle w:val="2"/>
        <w:rPr>
          <w:rFonts w:hint="eastAsia"/>
          <w:highlight w:val="none"/>
        </w:rPr>
      </w:pPr>
    </w:p>
    <w:p w14:paraId="2D4AB194">
      <w:pPr>
        <w:spacing w:line="440" w:lineRule="exact"/>
        <w:rPr>
          <w:color w:val="000000" w:themeColor="text1"/>
          <w:highlight w:val="none"/>
          <w14:textFill>
            <w14:solidFill>
              <w14:schemeClr w14:val="tx1"/>
            </w14:solidFill>
          </w14:textFill>
        </w:rPr>
      </w:pPr>
      <w:r>
        <w:rPr>
          <w:rFonts w:hint="eastAsia"/>
          <w:highlight w:val="none"/>
        </w:rPr>
        <w:t>日期：        年     月     日</w:t>
      </w:r>
    </w:p>
    <w:p w14:paraId="6093B2B0">
      <w:pPr>
        <w:spacing w:line="440" w:lineRule="exact"/>
        <w:rPr>
          <w:color w:val="000000" w:themeColor="text1"/>
          <w:szCs w:val="21"/>
          <w:highlight w:val="none"/>
          <w14:textFill>
            <w14:solidFill>
              <w14:schemeClr w14:val="tx1"/>
            </w14:solidFill>
          </w14:textFill>
        </w:rPr>
        <w:sectPr>
          <w:pgSz w:w="16840" w:h="11907" w:orient="landscape"/>
          <w:pgMar w:top="1531" w:right="1588" w:bottom="1474" w:left="1701" w:header="851" w:footer="851" w:gutter="0"/>
          <w:cols w:space="425" w:num="1"/>
          <w:docGrid w:linePitch="312" w:charSpace="0"/>
        </w:sectPr>
      </w:pPr>
      <w:r>
        <w:rPr>
          <w:rFonts w:ascii="宋体" w:hAnsi="宋体" w:cs="宋体"/>
          <w:szCs w:val="21"/>
          <w:highlight w:val="none"/>
        </w:rPr>
        <w:t>说明：对不同投标人的终端网卡（MAC）地址、CPU序列号、硬盘序列号及IP地址一致，以及其他涉嫌违法而被否决投标的，招标人在收到评标报告后应及时向该项目监管部门报告，由监管部门依法调查处理。如因招标人迟报、瞒报而造成的法律后果，由招标人承担。</w:t>
      </w:r>
    </w:p>
    <w:p w14:paraId="3D0B30A8">
      <w:pPr>
        <w:spacing w:line="440" w:lineRule="exact"/>
        <w:rPr>
          <w:highlight w:val="none"/>
        </w:rPr>
      </w:pPr>
    </w:p>
    <w:p w14:paraId="3A033AC1">
      <w:pPr>
        <w:pStyle w:val="98"/>
        <w:rPr>
          <w:rFonts w:hint="eastAsia"/>
          <w:highlight w:val="none"/>
        </w:rPr>
      </w:pPr>
      <w:bookmarkStart w:id="1390" w:name="_Toc9271"/>
      <w:r>
        <w:rPr>
          <w:rFonts w:hint="eastAsia"/>
          <w:highlight w:val="none"/>
        </w:rPr>
        <w:t>附表A-</w:t>
      </w:r>
      <w:r>
        <w:rPr>
          <w:rFonts w:hint="eastAsia"/>
          <w:highlight w:val="none"/>
          <w:lang w:val="en-US" w:eastAsia="zh-CN"/>
        </w:rPr>
        <w:t>13</w:t>
      </w:r>
      <w:r>
        <w:rPr>
          <w:rFonts w:hint="eastAsia"/>
          <w:highlight w:val="none"/>
        </w:rPr>
        <w:t>：书面评标报告</w:t>
      </w:r>
      <w:bookmarkEnd w:id="1390"/>
    </w:p>
    <w:p w14:paraId="671B23D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hint="eastAsia" w:ascii="宋体" w:hAnsi="宋体" w:cs="宋体"/>
          <w:highlight w:val="none"/>
        </w:rPr>
      </w:pPr>
    </w:p>
    <w:p w14:paraId="4E7E35E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hint="eastAsia" w:ascii="宋体" w:hAnsi="宋体" w:cs="宋体"/>
          <w:highlight w:val="none"/>
        </w:rPr>
      </w:pPr>
    </w:p>
    <w:p w14:paraId="088C92FA">
      <w:pPr>
        <w:spacing w:before="120" w:beforeLines="50"/>
        <w:jc w:val="center"/>
        <w:rPr>
          <w:rFonts w:hint="eastAsia" w:ascii="黑体" w:eastAsia="黑体"/>
          <w:b/>
          <w:sz w:val="52"/>
          <w:szCs w:val="52"/>
          <w:highlight w:val="none"/>
        </w:rPr>
      </w:pPr>
      <w:r>
        <w:rPr>
          <w:rFonts w:hint="eastAsia" w:ascii="黑体" w:eastAsia="黑体"/>
          <w:b/>
          <w:sz w:val="52"/>
          <w:szCs w:val="52"/>
          <w:highlight w:val="none"/>
        </w:rPr>
        <w:t>武汉市房屋建筑和市政工程</w:t>
      </w:r>
    </w:p>
    <w:p w14:paraId="1B1E0CDB">
      <w:pPr>
        <w:spacing w:before="120" w:beforeLines="50"/>
        <w:jc w:val="center"/>
        <w:rPr>
          <w:rFonts w:ascii="黑体" w:eastAsia="黑体"/>
          <w:b/>
          <w:sz w:val="52"/>
          <w:szCs w:val="52"/>
          <w:highlight w:val="none"/>
        </w:rPr>
      </w:pPr>
      <w:r>
        <w:rPr>
          <w:rFonts w:hint="eastAsia" w:ascii="黑体" w:eastAsia="黑体"/>
          <w:b/>
          <w:sz w:val="52"/>
          <w:szCs w:val="52"/>
          <w:highlight w:val="none"/>
          <w:lang w:val="en-US" w:eastAsia="zh-CN"/>
        </w:rPr>
        <w:t>工程总承包</w:t>
      </w:r>
      <w:r>
        <w:rPr>
          <w:rFonts w:hint="eastAsia" w:ascii="黑体" w:eastAsia="黑体"/>
          <w:b/>
          <w:sz w:val="52"/>
          <w:szCs w:val="52"/>
          <w:highlight w:val="none"/>
        </w:rPr>
        <w:t>招标</w:t>
      </w:r>
    </w:p>
    <w:p w14:paraId="111371E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44"/>
          <w:highlight w:val="none"/>
        </w:rPr>
      </w:pPr>
    </w:p>
    <w:p w14:paraId="6BA535D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44"/>
          <w:highlight w:val="none"/>
        </w:rPr>
      </w:pPr>
    </w:p>
    <w:p w14:paraId="70BDA26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32"/>
          <w:highlight w:val="none"/>
        </w:rPr>
      </w:pPr>
      <w:r>
        <w:rPr>
          <w:rFonts w:ascii="宋体" w:hAnsi="宋体" w:cs="宋体"/>
          <w:b/>
          <w:sz w:val="84"/>
          <w:highlight w:val="none"/>
        </w:rPr>
        <w:t>书 面 评 标 报 告</w:t>
      </w:r>
    </w:p>
    <w:p w14:paraId="7336744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32"/>
          <w:highlight w:val="none"/>
        </w:rPr>
      </w:pPr>
    </w:p>
    <w:p w14:paraId="30616B4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2FA57B2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369ABB3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026EDF8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04"/>
        <w:rPr>
          <w:rFonts w:hint="eastAsia" w:ascii="宋体" w:hAnsi="宋体" w:cs="宋体"/>
          <w:sz w:val="32"/>
          <w:highlight w:val="none"/>
          <w:u w:val="single"/>
        </w:rPr>
      </w:pPr>
      <w:r>
        <w:rPr>
          <w:rFonts w:ascii="宋体" w:hAnsi="宋体" w:cs="宋体"/>
          <w:sz w:val="32"/>
          <w:highlight w:val="none"/>
        </w:rPr>
        <w:t>招 标 人：</w:t>
      </w:r>
      <w:r>
        <w:rPr>
          <w:rFonts w:ascii="宋体" w:hAnsi="宋体" w:cs="宋体"/>
          <w:sz w:val="32"/>
          <w:highlight w:val="none"/>
          <w:u w:val="single"/>
        </w:rPr>
        <w:t xml:space="preserve">                                   </w:t>
      </w:r>
    </w:p>
    <w:p w14:paraId="529F2EE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u w:val="single"/>
        </w:rPr>
      </w:pPr>
      <w:r>
        <w:rPr>
          <w:rFonts w:ascii="宋体" w:hAnsi="宋体" w:cs="宋体"/>
          <w:sz w:val="32"/>
          <w:highlight w:val="none"/>
        </w:rPr>
        <w:t>工程名称：</w:t>
      </w:r>
      <w:r>
        <w:rPr>
          <w:rFonts w:ascii="宋体" w:hAnsi="宋体" w:cs="宋体"/>
          <w:sz w:val="32"/>
          <w:highlight w:val="none"/>
          <w:u w:val="single"/>
        </w:rPr>
        <w:t xml:space="preserve">                                   </w:t>
      </w:r>
    </w:p>
    <w:p w14:paraId="34A6466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u w:val="single"/>
        </w:rPr>
      </w:pPr>
      <w:r>
        <w:rPr>
          <w:rFonts w:ascii="宋体" w:hAnsi="宋体" w:cs="宋体"/>
          <w:sz w:val="32"/>
          <w:highlight w:val="none"/>
        </w:rPr>
        <w:t>评标</w:t>
      </w:r>
      <w:r>
        <w:rPr>
          <w:rFonts w:hint="eastAsia" w:ascii="宋体" w:hAnsi="宋体" w:cs="宋体"/>
          <w:sz w:val="32"/>
          <w:highlight w:val="none"/>
        </w:rPr>
        <w:t>委会员负责人</w:t>
      </w:r>
      <w:r>
        <w:rPr>
          <w:rFonts w:ascii="宋体" w:hAnsi="宋体" w:cs="宋体"/>
          <w:sz w:val="32"/>
          <w:highlight w:val="none"/>
        </w:rPr>
        <w:t>（签字）：</w:t>
      </w:r>
      <w:r>
        <w:rPr>
          <w:rFonts w:ascii="宋体" w:hAnsi="宋体" w:cs="宋体"/>
          <w:sz w:val="32"/>
          <w:highlight w:val="none"/>
          <w:u w:val="single"/>
        </w:rPr>
        <w:t xml:space="preserve">     </w:t>
      </w:r>
      <w:r>
        <w:rPr>
          <w:rFonts w:hint="eastAsia" w:ascii="宋体" w:hAnsi="宋体" w:cs="宋体"/>
          <w:sz w:val="32"/>
          <w:highlight w:val="none"/>
          <w:u w:val="single"/>
        </w:rPr>
        <w:t xml:space="preserve">            </w:t>
      </w:r>
      <w:r>
        <w:rPr>
          <w:rFonts w:ascii="宋体" w:hAnsi="宋体" w:cs="宋体"/>
          <w:sz w:val="32"/>
          <w:highlight w:val="none"/>
          <w:u w:val="single"/>
        </w:rPr>
        <w:t xml:space="preserve">  </w:t>
      </w:r>
    </w:p>
    <w:p w14:paraId="5C66AFF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rPr>
      </w:pPr>
      <w:r>
        <w:rPr>
          <w:rFonts w:ascii="宋体" w:hAnsi="宋体" w:cs="宋体"/>
          <w:sz w:val="32"/>
          <w:highlight w:val="none"/>
        </w:rPr>
        <w:t>评审时间：</w:t>
      </w:r>
      <w:r>
        <w:rPr>
          <w:rFonts w:ascii="宋体" w:hAnsi="宋体" w:cs="宋体"/>
          <w:sz w:val="32"/>
          <w:highlight w:val="none"/>
          <w:u w:val="single"/>
        </w:rPr>
        <w:t xml:space="preserve">          </w:t>
      </w:r>
      <w:r>
        <w:rPr>
          <w:rFonts w:ascii="宋体" w:hAnsi="宋体" w:cs="宋体"/>
          <w:sz w:val="32"/>
          <w:highlight w:val="none"/>
        </w:rPr>
        <w:t>年</w:t>
      </w:r>
      <w:r>
        <w:rPr>
          <w:rFonts w:ascii="宋体" w:hAnsi="宋体" w:cs="宋体"/>
          <w:sz w:val="32"/>
          <w:highlight w:val="none"/>
          <w:u w:val="single"/>
        </w:rPr>
        <w:t xml:space="preserve">           </w:t>
      </w:r>
      <w:r>
        <w:rPr>
          <w:rFonts w:ascii="宋体" w:hAnsi="宋体" w:cs="宋体"/>
          <w:sz w:val="32"/>
          <w:highlight w:val="none"/>
        </w:rPr>
        <w:t>月</w:t>
      </w:r>
      <w:r>
        <w:rPr>
          <w:rFonts w:ascii="宋体" w:hAnsi="宋体" w:cs="宋体"/>
          <w:sz w:val="32"/>
          <w:highlight w:val="none"/>
          <w:u w:val="single"/>
        </w:rPr>
        <w:t xml:space="preserve">        </w:t>
      </w:r>
      <w:r>
        <w:rPr>
          <w:rFonts w:ascii="宋体" w:hAnsi="宋体" w:cs="宋体"/>
          <w:sz w:val="32"/>
          <w:highlight w:val="none"/>
        </w:rPr>
        <w:t>日</w:t>
      </w:r>
    </w:p>
    <w:p w14:paraId="029853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rPr>
      </w:pPr>
      <w:r>
        <w:rPr>
          <w:rFonts w:ascii="宋体" w:hAnsi="宋体" w:cs="宋体"/>
          <w:sz w:val="32"/>
          <w:highlight w:val="none"/>
        </w:rPr>
        <w:t>地    点：</w:t>
      </w:r>
      <w:r>
        <w:rPr>
          <w:rFonts w:ascii="宋体" w:hAnsi="宋体" w:cs="宋体"/>
          <w:sz w:val="32"/>
          <w:highlight w:val="none"/>
          <w:u w:val="single"/>
        </w:rPr>
        <w:t xml:space="preserve">                                   </w:t>
      </w:r>
    </w:p>
    <w:p w14:paraId="4FCCD6D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firstLine="480"/>
        <w:jc w:val="center"/>
        <w:rPr>
          <w:rFonts w:hint="eastAsia" w:ascii="宋体" w:hAnsi="宋体" w:cs="宋体"/>
          <w:sz w:val="32"/>
          <w:highlight w:val="none"/>
        </w:rPr>
      </w:pPr>
    </w:p>
    <w:p w14:paraId="08293C6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200" w:line="276" w:lineRule="auto"/>
        <w:jc w:val="left"/>
        <w:rPr>
          <w:rFonts w:hint="eastAsia" w:ascii="宋体" w:hAnsi="宋体" w:cs="宋体"/>
          <w:sz w:val="32"/>
          <w:highlight w:val="none"/>
        </w:rPr>
      </w:pPr>
      <w:r>
        <w:rPr>
          <w:rFonts w:ascii="宋体" w:hAnsi="宋体" w:cs="宋体"/>
          <w:sz w:val="32"/>
          <w:highlight w:val="none"/>
        </w:rPr>
        <w:br w:type="page"/>
      </w:r>
    </w:p>
    <w:p w14:paraId="1602E96B">
      <w:pPr>
        <w:spacing w:line="440" w:lineRule="exact"/>
        <w:jc w:val="center"/>
        <w:rPr>
          <w:sz w:val="30"/>
          <w:szCs w:val="30"/>
          <w:highlight w:val="none"/>
        </w:rPr>
      </w:pPr>
      <w:r>
        <w:rPr>
          <w:sz w:val="30"/>
          <w:szCs w:val="30"/>
          <w:highlight w:val="none"/>
        </w:rPr>
        <w:t>评 标 概 况</w:t>
      </w:r>
    </w:p>
    <w:p w14:paraId="096F6380">
      <w:pPr>
        <w:spacing w:line="440" w:lineRule="exact"/>
        <w:jc w:val="center"/>
        <w:rPr>
          <w:highlight w:val="none"/>
        </w:rPr>
      </w:pPr>
    </w:p>
    <w:tbl>
      <w:tblPr>
        <w:tblStyle w:val="39"/>
        <w:tblW w:w="9242" w:type="dxa"/>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1184"/>
        <w:gridCol w:w="1127"/>
        <w:gridCol w:w="2310"/>
        <w:gridCol w:w="1221"/>
        <w:gridCol w:w="1090"/>
        <w:gridCol w:w="689"/>
        <w:gridCol w:w="1621"/>
      </w:tblGrid>
      <w:tr w14:paraId="2103478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PrEx>
        <w:trPr>
          <w:trHeight w:val="880" w:hRule="atLeast"/>
          <w:jc w:val="center"/>
        </w:trPr>
        <w:tc>
          <w:tcPr>
            <w:tcW w:w="2311" w:type="dxa"/>
            <w:gridSpan w:val="2"/>
            <w:tcBorders>
              <w:bottom w:val="single" w:color="auto" w:sz="4" w:space="0"/>
            </w:tcBorders>
            <w:vAlign w:val="center"/>
          </w:tcPr>
          <w:p w14:paraId="4AF93B9F">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工程名称</w:t>
            </w:r>
          </w:p>
        </w:tc>
        <w:tc>
          <w:tcPr>
            <w:tcW w:w="6931" w:type="dxa"/>
            <w:gridSpan w:val="5"/>
            <w:tcBorders>
              <w:bottom w:val="single" w:color="auto" w:sz="4" w:space="0"/>
            </w:tcBorders>
            <w:vAlign w:val="center"/>
          </w:tcPr>
          <w:p w14:paraId="5117D88A">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063B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11" w:type="dxa"/>
            <w:gridSpan w:val="2"/>
            <w:tcBorders>
              <w:top w:val="single" w:color="auto" w:sz="4" w:space="0"/>
            </w:tcBorders>
            <w:vAlign w:val="center"/>
          </w:tcPr>
          <w:p w14:paraId="0BA6ED20">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招标方式</w:t>
            </w:r>
          </w:p>
        </w:tc>
        <w:tc>
          <w:tcPr>
            <w:tcW w:w="2310" w:type="dxa"/>
            <w:tcBorders>
              <w:top w:val="single" w:color="auto" w:sz="4" w:space="0"/>
            </w:tcBorders>
            <w:vAlign w:val="center"/>
          </w:tcPr>
          <w:p w14:paraId="5E659EE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311" w:type="dxa"/>
            <w:gridSpan w:val="2"/>
            <w:tcBorders>
              <w:top w:val="single" w:color="auto" w:sz="4" w:space="0"/>
            </w:tcBorders>
            <w:vAlign w:val="center"/>
          </w:tcPr>
          <w:p w14:paraId="2F40E1F9">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评标标准和方法</w:t>
            </w:r>
          </w:p>
        </w:tc>
        <w:tc>
          <w:tcPr>
            <w:tcW w:w="2310" w:type="dxa"/>
            <w:gridSpan w:val="2"/>
            <w:tcBorders>
              <w:top w:val="single" w:color="auto" w:sz="4" w:space="0"/>
            </w:tcBorders>
            <w:vAlign w:val="center"/>
          </w:tcPr>
          <w:p w14:paraId="54A61AB8">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380F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11" w:type="dxa"/>
            <w:gridSpan w:val="2"/>
            <w:tcBorders>
              <w:bottom w:val="single" w:color="auto" w:sz="4" w:space="0"/>
            </w:tcBorders>
            <w:vAlign w:val="center"/>
          </w:tcPr>
          <w:p w14:paraId="7E8B2542">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参加开标的</w:t>
            </w:r>
          </w:p>
          <w:p w14:paraId="4E62759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投标人数量</w:t>
            </w:r>
            <w:r>
              <w:rPr>
                <w:rFonts w:hint="eastAsia" w:ascii="宋体" w:hAnsi="宋体"/>
                <w:szCs w:val="21"/>
                <w:highlight w:val="none"/>
              </w:rPr>
              <w:t>（家）</w:t>
            </w:r>
          </w:p>
        </w:tc>
        <w:tc>
          <w:tcPr>
            <w:tcW w:w="2310" w:type="dxa"/>
            <w:tcBorders>
              <w:bottom w:val="single" w:color="auto" w:sz="4" w:space="0"/>
            </w:tcBorders>
            <w:vAlign w:val="center"/>
          </w:tcPr>
          <w:p w14:paraId="7EEA263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311" w:type="dxa"/>
            <w:gridSpan w:val="2"/>
            <w:tcBorders>
              <w:bottom w:val="single" w:color="auto" w:sz="4" w:space="0"/>
            </w:tcBorders>
            <w:vAlign w:val="center"/>
          </w:tcPr>
          <w:p w14:paraId="15313DB8">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参加评标的</w:t>
            </w:r>
          </w:p>
          <w:p w14:paraId="3D7A1FC4">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投标人数量</w:t>
            </w:r>
            <w:r>
              <w:rPr>
                <w:rFonts w:hint="eastAsia" w:ascii="宋体" w:hAnsi="宋体"/>
                <w:szCs w:val="21"/>
                <w:highlight w:val="none"/>
              </w:rPr>
              <w:t>（家）</w:t>
            </w:r>
          </w:p>
        </w:tc>
        <w:tc>
          <w:tcPr>
            <w:tcW w:w="2310" w:type="dxa"/>
            <w:gridSpan w:val="2"/>
            <w:tcBorders>
              <w:bottom w:val="single" w:color="auto" w:sz="4" w:space="0"/>
            </w:tcBorders>
            <w:vAlign w:val="center"/>
          </w:tcPr>
          <w:p w14:paraId="44AD9D27">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06F337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9242" w:type="dxa"/>
            <w:gridSpan w:val="7"/>
            <w:tcBorders>
              <w:top w:val="single" w:color="auto" w:sz="4" w:space="0"/>
              <w:bottom w:val="single" w:color="auto" w:sz="4" w:space="0"/>
            </w:tcBorders>
            <w:vAlign w:val="center"/>
          </w:tcPr>
          <w:p w14:paraId="437C858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评 标 委 员 会 组 成 名 单</w:t>
            </w:r>
          </w:p>
        </w:tc>
      </w:tr>
      <w:tr w14:paraId="671C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tcBorders>
              <w:top w:val="single" w:color="auto" w:sz="4" w:space="0"/>
            </w:tcBorders>
            <w:vAlign w:val="center"/>
          </w:tcPr>
          <w:p w14:paraId="1EDA56D1">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姓名</w:t>
            </w:r>
          </w:p>
        </w:tc>
        <w:tc>
          <w:tcPr>
            <w:tcW w:w="4658" w:type="dxa"/>
            <w:gridSpan w:val="3"/>
            <w:tcBorders>
              <w:top w:val="single" w:color="auto" w:sz="4" w:space="0"/>
            </w:tcBorders>
            <w:vAlign w:val="center"/>
          </w:tcPr>
          <w:p w14:paraId="7B96731B">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工作单位</w:t>
            </w:r>
          </w:p>
        </w:tc>
        <w:tc>
          <w:tcPr>
            <w:tcW w:w="1779" w:type="dxa"/>
            <w:gridSpan w:val="2"/>
            <w:tcBorders>
              <w:top w:val="single" w:color="auto" w:sz="4" w:space="0"/>
            </w:tcBorders>
            <w:vAlign w:val="center"/>
          </w:tcPr>
          <w:p w14:paraId="22F8DC31">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职称</w:t>
            </w:r>
          </w:p>
        </w:tc>
        <w:tc>
          <w:tcPr>
            <w:tcW w:w="1621" w:type="dxa"/>
            <w:tcBorders>
              <w:top w:val="single" w:color="auto" w:sz="4" w:space="0"/>
            </w:tcBorders>
            <w:vAlign w:val="center"/>
          </w:tcPr>
          <w:p w14:paraId="6E0CDCED">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专业</w:t>
            </w:r>
          </w:p>
        </w:tc>
      </w:tr>
      <w:tr w14:paraId="1456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36E389B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1ECEEA1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00DBCFA5">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0D60C387">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44D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0C13504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5C62D25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713C005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609BB526">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8C1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286C07B5">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0043F83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46195F7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52CAA1CD">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C6B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0D610B6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72AE31AB">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194CC7C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151D08C6">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442B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2DC3C35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258A41F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04BAB258">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4500A108">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D3C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7B5BC77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2EF2029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703C6B9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2B1B6E2F">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15E1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364F03D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4A12F8C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2E70885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541D89EA">
            <w:pPr>
              <w:keepNext w:val="0"/>
              <w:keepLines w:val="0"/>
              <w:suppressLineNumbers w:val="0"/>
              <w:spacing w:before="0" w:beforeAutospacing="0" w:after="0" w:afterAutospacing="0"/>
              <w:ind w:left="0" w:right="0"/>
              <w:jc w:val="center"/>
              <w:rPr>
                <w:rFonts w:hint="eastAsia" w:ascii="宋体" w:hAnsi="宋体"/>
                <w:szCs w:val="21"/>
                <w:highlight w:val="none"/>
              </w:rPr>
            </w:pPr>
          </w:p>
        </w:tc>
      </w:tr>
    </w:tbl>
    <w:p w14:paraId="33F1F2EF">
      <w:pPr>
        <w:jc w:val="left"/>
        <w:rPr>
          <w:rFonts w:hint="eastAsia" w:ascii="宋体" w:hAnsi="宋体"/>
          <w:szCs w:val="21"/>
          <w:highlight w:val="none"/>
        </w:rPr>
      </w:pPr>
      <w:r>
        <w:rPr>
          <w:rFonts w:hint="eastAsia" w:ascii="宋体" w:hAnsi="宋体"/>
          <w:szCs w:val="21"/>
          <w:highlight w:val="none"/>
        </w:rPr>
        <w:t>备注：</w:t>
      </w:r>
    </w:p>
    <w:p w14:paraId="7C1620AC">
      <w:pPr>
        <w:jc w:val="left"/>
        <w:rPr>
          <w:rFonts w:hint="eastAsia" w:ascii="宋体" w:hAnsi="宋体"/>
          <w:szCs w:val="21"/>
          <w:highlight w:val="none"/>
        </w:rPr>
      </w:pPr>
      <w:r>
        <w:rPr>
          <w:rFonts w:hint="eastAsia" w:ascii="宋体" w:hAnsi="宋体"/>
          <w:szCs w:val="21"/>
          <w:highlight w:val="none"/>
        </w:rPr>
        <w:t>1、附表A-1、附表A-2、附表A-3、附表A-4、附表A-5、附表A-6（如有）、附表A-7、附表A-8、附表A-9、附表A-10</w:t>
      </w:r>
      <w:r>
        <w:rPr>
          <w:rFonts w:hint="eastAsia" w:ascii="宋体" w:hAnsi="宋体"/>
          <w:szCs w:val="21"/>
          <w:highlight w:val="none"/>
          <w:lang w:eastAsia="zh-CN"/>
        </w:rPr>
        <w:t>、</w:t>
      </w:r>
      <w:r>
        <w:rPr>
          <w:rFonts w:hint="eastAsia" w:ascii="宋体" w:hAnsi="宋体"/>
          <w:szCs w:val="21"/>
          <w:highlight w:val="none"/>
        </w:rPr>
        <w:t>附表A-1</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附表A-1</w:t>
      </w:r>
      <w:r>
        <w:rPr>
          <w:rFonts w:hint="eastAsia" w:ascii="宋体" w:hAnsi="宋体"/>
          <w:szCs w:val="21"/>
          <w:highlight w:val="none"/>
          <w:lang w:val="en-US" w:eastAsia="zh-CN"/>
        </w:rPr>
        <w:t>2</w:t>
      </w:r>
      <w:r>
        <w:rPr>
          <w:rFonts w:hint="eastAsia" w:ascii="宋体" w:hAnsi="宋体"/>
          <w:szCs w:val="21"/>
          <w:highlight w:val="none"/>
        </w:rPr>
        <w:t>均为本报告附件。</w:t>
      </w:r>
    </w:p>
    <w:p w14:paraId="588099C4">
      <w:pPr>
        <w:spacing w:line="400" w:lineRule="exact"/>
        <w:ind w:firstLine="420" w:firstLineChars="200"/>
        <w:rPr>
          <w:rFonts w:hint="eastAsia"/>
          <w:color w:val="auto"/>
          <w:highlight w:val="none"/>
        </w:rPr>
      </w:pPr>
      <w:r>
        <w:rPr>
          <w:rFonts w:hint="eastAsia" w:ascii="宋体" w:hAnsi="宋体"/>
          <w:szCs w:val="21"/>
          <w:highlight w:val="none"/>
        </w:rPr>
        <w:t>2、</w:t>
      </w:r>
      <w:r>
        <w:rPr>
          <w:rFonts w:ascii="宋体" w:hAnsi="宋体"/>
          <w:szCs w:val="21"/>
          <w:highlight w:val="none"/>
        </w:rPr>
        <w:t>综合得分=</w:t>
      </w:r>
      <w:r>
        <w:rPr>
          <w:rFonts w:hint="eastAsia"/>
          <w:color w:val="auto"/>
          <w:highlight w:val="none"/>
        </w:rPr>
        <w:t>承包人建议书得分</w:t>
      </w:r>
      <w:r>
        <w:rPr>
          <w:rFonts w:hint="eastAsia"/>
          <w:color w:val="auto"/>
          <w:highlight w:val="none"/>
          <w:lang w:val="en-US" w:eastAsia="zh-CN"/>
        </w:rPr>
        <w:t>+</w:t>
      </w:r>
      <w:r>
        <w:rPr>
          <w:rFonts w:hint="eastAsia"/>
          <w:color w:val="auto"/>
          <w:highlight w:val="none"/>
        </w:rPr>
        <w:t>承包人实施方案得分</w:t>
      </w:r>
      <w:r>
        <w:rPr>
          <w:rFonts w:hint="eastAsia"/>
          <w:color w:val="auto"/>
          <w:highlight w:val="none"/>
          <w:lang w:val="en-US" w:eastAsia="zh-CN"/>
        </w:rPr>
        <w:t>+</w:t>
      </w:r>
      <w:r>
        <w:rPr>
          <w:rFonts w:hint="eastAsia"/>
          <w:color w:val="auto"/>
          <w:highlight w:val="none"/>
        </w:rPr>
        <w:t>资信业绩部分得分</w:t>
      </w:r>
      <w:r>
        <w:rPr>
          <w:rFonts w:hint="eastAsia"/>
          <w:color w:val="auto"/>
          <w:highlight w:val="none"/>
          <w:lang w:val="en-US" w:eastAsia="zh-CN"/>
        </w:rPr>
        <w:t>+其他评分因素</w:t>
      </w:r>
      <w:r>
        <w:rPr>
          <w:rFonts w:hint="eastAsia"/>
          <w:color w:val="auto"/>
          <w:highlight w:val="none"/>
        </w:rPr>
        <w:t>得分</w:t>
      </w:r>
      <w:r>
        <w:rPr>
          <w:rFonts w:hint="eastAsia"/>
          <w:color w:val="auto"/>
          <w:highlight w:val="none"/>
          <w:lang w:val="en-US" w:eastAsia="zh-CN"/>
        </w:rPr>
        <w:t>+</w:t>
      </w:r>
      <w:r>
        <w:rPr>
          <w:rFonts w:hint="eastAsia"/>
          <w:color w:val="auto"/>
          <w:highlight w:val="none"/>
        </w:rPr>
        <w:t>投标报价得分。</w:t>
      </w:r>
    </w:p>
    <w:p w14:paraId="7DCAD167">
      <w:pPr>
        <w:spacing w:line="440" w:lineRule="exact"/>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评审结果汇总表</w:t>
      </w:r>
    </w:p>
    <w:p w14:paraId="499B31F2">
      <w:pPr>
        <w:pStyle w:val="2"/>
        <w:rPr>
          <w:rFonts w:hint="eastAsia"/>
          <w:highlight w:val="none"/>
        </w:rPr>
      </w:pPr>
    </w:p>
    <w:tbl>
      <w:tblPr>
        <w:tblStyle w:val="39"/>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2082"/>
        <w:gridCol w:w="2975"/>
        <w:gridCol w:w="2233"/>
      </w:tblGrid>
      <w:tr w14:paraId="53CA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restart"/>
            <w:tcBorders>
              <w:top w:val="single" w:color="auto" w:sz="4" w:space="0"/>
              <w:left w:val="single" w:color="auto" w:sz="4" w:space="0"/>
              <w:bottom w:val="single" w:color="auto" w:sz="4" w:space="0"/>
              <w:right w:val="single" w:color="auto" w:sz="4" w:space="0"/>
            </w:tcBorders>
            <w:vAlign w:val="center"/>
          </w:tcPr>
          <w:p w14:paraId="61E72DA7">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评</w:t>
            </w:r>
          </w:p>
          <w:p w14:paraId="2B7DBDA5">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审</w:t>
            </w:r>
          </w:p>
          <w:p w14:paraId="61340081">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结</w:t>
            </w:r>
          </w:p>
          <w:p w14:paraId="0090AFAD">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果</w:t>
            </w:r>
          </w:p>
        </w:tc>
        <w:tc>
          <w:tcPr>
            <w:tcW w:w="2082" w:type="dxa"/>
            <w:tcBorders>
              <w:top w:val="single" w:color="auto" w:sz="4" w:space="0"/>
              <w:left w:val="single" w:color="auto" w:sz="4" w:space="0"/>
              <w:bottom w:val="single" w:color="auto" w:sz="4" w:space="0"/>
              <w:right w:val="single" w:color="auto" w:sz="4" w:space="0"/>
            </w:tcBorders>
            <w:vAlign w:val="center"/>
          </w:tcPr>
          <w:p w14:paraId="194FE3B4">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w:t>
            </w:r>
          </w:p>
        </w:tc>
        <w:tc>
          <w:tcPr>
            <w:tcW w:w="2975" w:type="dxa"/>
            <w:tcBorders>
              <w:top w:val="single" w:color="auto" w:sz="4" w:space="0"/>
              <w:left w:val="single" w:color="auto" w:sz="4" w:space="0"/>
              <w:bottom w:val="single" w:color="auto" w:sz="4" w:space="0"/>
              <w:right w:val="single" w:color="auto" w:sz="4" w:space="0"/>
            </w:tcBorders>
            <w:vAlign w:val="center"/>
          </w:tcPr>
          <w:p w14:paraId="6F5E1629">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投标报价得分</w:t>
            </w:r>
          </w:p>
        </w:tc>
        <w:tc>
          <w:tcPr>
            <w:tcW w:w="2233" w:type="dxa"/>
            <w:tcBorders>
              <w:top w:val="single" w:color="auto" w:sz="4" w:space="0"/>
              <w:left w:val="single" w:color="auto" w:sz="4" w:space="0"/>
              <w:bottom w:val="single" w:color="auto" w:sz="4" w:space="0"/>
              <w:right w:val="single" w:color="auto" w:sz="4" w:space="0"/>
            </w:tcBorders>
            <w:vAlign w:val="center"/>
          </w:tcPr>
          <w:p w14:paraId="7934ECA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投标报价</w:t>
            </w:r>
          </w:p>
          <w:p w14:paraId="0484016F">
            <w:pPr>
              <w:keepNext w:val="0"/>
              <w:keepLines w:val="0"/>
              <w:suppressLineNumbers w:val="0"/>
              <w:spacing w:before="0" w:beforeAutospacing="0" w:after="0" w:afterAutospacing="0" w:line="440" w:lineRule="exact"/>
              <w:ind w:left="0" w:right="0"/>
              <w:jc w:val="center"/>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（元）</w:t>
            </w:r>
          </w:p>
        </w:tc>
      </w:tr>
      <w:tr w14:paraId="2908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3A1A6A72">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40346BE0">
            <w:pPr>
              <w:keepNext w:val="0"/>
              <w:keepLines w:val="0"/>
              <w:suppressLineNumbers w:val="0"/>
              <w:spacing w:before="0" w:beforeAutospacing="0" w:after="0" w:afterAutospacing="0" w:line="440" w:lineRule="exact"/>
              <w:ind w:left="0" w:right="0"/>
              <w:rPr>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6E47D378">
            <w:pPr>
              <w:keepNext w:val="0"/>
              <w:keepLines w:val="0"/>
              <w:suppressLineNumbers w:val="0"/>
              <w:spacing w:before="0" w:beforeAutospacing="0" w:after="0" w:afterAutospacing="0" w:line="440" w:lineRule="exact"/>
              <w:ind w:left="0" w:right="0"/>
              <w:rPr>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6FE47108">
            <w:pPr>
              <w:keepNext w:val="0"/>
              <w:keepLines w:val="0"/>
              <w:suppressLineNumbers w:val="0"/>
              <w:spacing w:before="0" w:beforeAutospacing="0" w:after="0" w:afterAutospacing="0" w:line="440" w:lineRule="exact"/>
              <w:ind w:left="0" w:right="0"/>
              <w:rPr>
                <w:color w:val="000000" w:themeColor="text1"/>
                <w:szCs w:val="21"/>
                <w:highlight w:val="none"/>
                <w14:textFill>
                  <w14:solidFill>
                    <w14:schemeClr w14:val="tx1"/>
                  </w14:solidFill>
                </w14:textFill>
              </w:rPr>
            </w:pPr>
          </w:p>
        </w:tc>
      </w:tr>
      <w:tr w14:paraId="4775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41A76451">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26D2E6A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46F335E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737BA049">
            <w:pPr>
              <w:keepNext w:val="0"/>
              <w:keepLines w:val="0"/>
              <w:suppressLineNumbers w:val="0"/>
              <w:spacing w:before="0" w:beforeAutospacing="0" w:after="0" w:afterAutospacing="0" w:line="440" w:lineRule="exact"/>
              <w:ind w:left="0" w:right="0"/>
              <w:rPr>
                <w:color w:val="000000" w:themeColor="text1"/>
                <w:szCs w:val="21"/>
                <w:highlight w:val="none"/>
                <w14:textFill>
                  <w14:solidFill>
                    <w14:schemeClr w14:val="tx1"/>
                  </w14:solidFill>
                </w14:textFill>
              </w:rPr>
            </w:pPr>
          </w:p>
        </w:tc>
      </w:tr>
      <w:tr w14:paraId="06FC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2F72BAB4">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40EBA97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224E654F">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7A3B95E9">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r>
      <w:tr w14:paraId="5F90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0E0C07C7">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650EF33A">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6A3FCD9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1A028C9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r>
      <w:tr w14:paraId="6112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1587A942">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0F3DC99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2082AD4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4965A9C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r>
      <w:tr w14:paraId="5D12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710" w:type="dxa"/>
            <w:vMerge w:val="continue"/>
            <w:tcBorders>
              <w:top w:val="single" w:color="auto" w:sz="4" w:space="0"/>
              <w:left w:val="single" w:color="auto" w:sz="4" w:space="0"/>
              <w:bottom w:val="single" w:color="auto" w:sz="4" w:space="0"/>
              <w:right w:val="single" w:color="auto" w:sz="4" w:space="0"/>
            </w:tcBorders>
            <w:vAlign w:val="center"/>
          </w:tcPr>
          <w:p w14:paraId="6F5A1ABE">
            <w:pPr>
              <w:keepNext w:val="0"/>
              <w:keepLines w:val="0"/>
              <w:widowControl/>
              <w:suppressLineNumbers w:val="0"/>
              <w:spacing w:before="0" w:beforeAutospacing="0" w:after="0" w:afterAutospacing="0"/>
              <w:ind w:left="0" w:right="0"/>
              <w:jc w:val="left"/>
              <w:rPr>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582A2EB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975" w:type="dxa"/>
            <w:tcBorders>
              <w:top w:val="single" w:color="auto" w:sz="4" w:space="0"/>
              <w:left w:val="single" w:color="auto" w:sz="4" w:space="0"/>
              <w:bottom w:val="single" w:color="auto" w:sz="4" w:space="0"/>
              <w:right w:val="single" w:color="auto" w:sz="4" w:space="0"/>
            </w:tcBorders>
          </w:tcPr>
          <w:p w14:paraId="7C52CEA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2233" w:type="dxa"/>
            <w:tcBorders>
              <w:top w:val="single" w:color="auto" w:sz="4" w:space="0"/>
              <w:left w:val="single" w:color="auto" w:sz="4" w:space="0"/>
              <w:bottom w:val="single" w:color="auto" w:sz="4" w:space="0"/>
              <w:right w:val="single" w:color="auto" w:sz="4" w:space="0"/>
            </w:tcBorders>
          </w:tcPr>
          <w:p w14:paraId="63647BB2">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r>
      <w:tr w14:paraId="39D0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710" w:type="dxa"/>
            <w:vMerge w:val="restart"/>
            <w:tcBorders>
              <w:top w:val="single" w:color="auto" w:sz="4" w:space="0"/>
              <w:left w:val="single" w:color="auto" w:sz="4" w:space="0"/>
              <w:right w:val="single" w:color="auto" w:sz="4" w:space="0"/>
            </w:tcBorders>
            <w:vAlign w:val="center"/>
          </w:tcPr>
          <w:p w14:paraId="7D28CBEE">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评标委员</w:t>
            </w:r>
          </w:p>
          <w:p w14:paraId="0399567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会推荐的</w:t>
            </w:r>
          </w:p>
          <w:p w14:paraId="63E0916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中标候选人</w:t>
            </w:r>
          </w:p>
        </w:tc>
        <w:tc>
          <w:tcPr>
            <w:tcW w:w="2082" w:type="dxa"/>
            <w:tcBorders>
              <w:top w:val="single" w:color="auto" w:sz="4" w:space="0"/>
              <w:left w:val="single" w:color="auto" w:sz="4" w:space="0"/>
              <w:bottom w:val="single" w:color="auto" w:sz="4" w:space="0"/>
              <w:right w:val="single" w:color="auto" w:sz="4" w:space="0"/>
            </w:tcBorders>
            <w:vAlign w:val="center"/>
          </w:tcPr>
          <w:p w14:paraId="5D8286D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中标候选人</w:t>
            </w:r>
          </w:p>
        </w:tc>
        <w:tc>
          <w:tcPr>
            <w:tcW w:w="5208" w:type="dxa"/>
            <w:gridSpan w:val="2"/>
            <w:tcBorders>
              <w:top w:val="single" w:color="auto" w:sz="4" w:space="0"/>
              <w:left w:val="single" w:color="auto" w:sz="4" w:space="0"/>
              <w:bottom w:val="single" w:color="auto" w:sz="4" w:space="0"/>
              <w:right w:val="single" w:color="auto" w:sz="4" w:space="0"/>
            </w:tcBorders>
            <w:vAlign w:val="center"/>
          </w:tcPr>
          <w:p w14:paraId="253DDB8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color w:val="000000" w:themeColor="text1"/>
                <w:szCs w:val="21"/>
                <w:highlight w:val="none"/>
                <w14:textFill>
                  <w14:solidFill>
                    <w14:schemeClr w14:val="tx1"/>
                  </w14:solidFill>
                </w14:textFill>
              </w:rPr>
            </w:pPr>
            <w:r>
              <w:rPr>
                <w:rFonts w:hint="eastAsia"/>
                <w:color w:val="auto"/>
                <w:highlight w:val="none"/>
                <w:lang w:val="en-US" w:eastAsia="zh-CN"/>
              </w:rPr>
              <w:t>优势、不足、风险等情况的详细说明</w:t>
            </w:r>
          </w:p>
        </w:tc>
      </w:tr>
      <w:tr w14:paraId="09F9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10" w:type="dxa"/>
            <w:vMerge w:val="continue"/>
            <w:tcBorders>
              <w:left w:val="single" w:color="auto" w:sz="4" w:space="0"/>
              <w:right w:val="single" w:color="auto" w:sz="4" w:space="0"/>
            </w:tcBorders>
            <w:vAlign w:val="center"/>
          </w:tcPr>
          <w:p w14:paraId="7D6106F1">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030F8483">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5208" w:type="dxa"/>
            <w:gridSpan w:val="2"/>
            <w:tcBorders>
              <w:top w:val="single" w:color="auto" w:sz="4" w:space="0"/>
              <w:left w:val="single" w:color="auto" w:sz="4" w:space="0"/>
              <w:bottom w:val="single" w:color="auto" w:sz="4" w:space="0"/>
              <w:right w:val="single" w:color="auto" w:sz="4" w:space="0"/>
            </w:tcBorders>
          </w:tcPr>
          <w:p w14:paraId="26EF80F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r>
      <w:tr w14:paraId="1C17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10" w:type="dxa"/>
            <w:vMerge w:val="continue"/>
            <w:tcBorders>
              <w:left w:val="single" w:color="auto" w:sz="4" w:space="0"/>
              <w:right w:val="single" w:color="auto" w:sz="4" w:space="0"/>
            </w:tcBorders>
            <w:vAlign w:val="center"/>
          </w:tcPr>
          <w:p w14:paraId="6E5F5628">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692D03E3">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5208" w:type="dxa"/>
            <w:gridSpan w:val="2"/>
            <w:tcBorders>
              <w:top w:val="single" w:color="auto" w:sz="4" w:space="0"/>
              <w:left w:val="single" w:color="auto" w:sz="4" w:space="0"/>
              <w:bottom w:val="single" w:color="auto" w:sz="4" w:space="0"/>
              <w:right w:val="single" w:color="auto" w:sz="4" w:space="0"/>
            </w:tcBorders>
          </w:tcPr>
          <w:p w14:paraId="1628D41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color w:val="000000" w:themeColor="text1"/>
                <w:szCs w:val="21"/>
                <w:highlight w:val="none"/>
                <w14:textFill>
                  <w14:solidFill>
                    <w14:schemeClr w14:val="tx1"/>
                  </w14:solidFill>
                </w14:textFill>
              </w:rPr>
            </w:pPr>
          </w:p>
        </w:tc>
      </w:tr>
      <w:tr w14:paraId="034A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710" w:type="dxa"/>
            <w:vMerge w:val="continue"/>
            <w:tcBorders>
              <w:left w:val="single" w:color="auto" w:sz="4" w:space="0"/>
              <w:right w:val="single" w:color="auto" w:sz="4" w:space="0"/>
            </w:tcBorders>
            <w:vAlign w:val="center"/>
          </w:tcPr>
          <w:p w14:paraId="38690F85">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5CD3E0B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5208" w:type="dxa"/>
            <w:gridSpan w:val="2"/>
            <w:tcBorders>
              <w:top w:val="single" w:color="auto" w:sz="4" w:space="0"/>
              <w:left w:val="single" w:color="auto" w:sz="4" w:space="0"/>
              <w:bottom w:val="single" w:color="auto" w:sz="4" w:space="0"/>
              <w:right w:val="single" w:color="auto" w:sz="4" w:space="0"/>
            </w:tcBorders>
          </w:tcPr>
          <w:p w14:paraId="56EAC18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r>
      <w:tr w14:paraId="25CC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0" w:type="dxa"/>
            <w:vMerge w:val="continue"/>
            <w:tcBorders>
              <w:left w:val="single" w:color="auto" w:sz="4" w:space="0"/>
              <w:right w:val="single" w:color="auto" w:sz="4" w:space="0"/>
            </w:tcBorders>
            <w:vAlign w:val="center"/>
          </w:tcPr>
          <w:p w14:paraId="010534C6">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3D734F09">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5208" w:type="dxa"/>
            <w:gridSpan w:val="2"/>
            <w:tcBorders>
              <w:top w:val="single" w:color="auto" w:sz="4" w:space="0"/>
              <w:left w:val="single" w:color="auto" w:sz="4" w:space="0"/>
              <w:bottom w:val="single" w:color="auto" w:sz="4" w:space="0"/>
              <w:right w:val="single" w:color="auto" w:sz="4" w:space="0"/>
            </w:tcBorders>
          </w:tcPr>
          <w:p w14:paraId="6519553F">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r>
      <w:tr w14:paraId="47BA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710" w:type="dxa"/>
            <w:vMerge w:val="continue"/>
            <w:tcBorders>
              <w:left w:val="single" w:color="auto" w:sz="4" w:space="0"/>
              <w:right w:val="single" w:color="auto" w:sz="4" w:space="0"/>
            </w:tcBorders>
            <w:vAlign w:val="center"/>
          </w:tcPr>
          <w:p w14:paraId="2900C483">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highlight w:val="none"/>
                <w14:textFill>
                  <w14:solidFill>
                    <w14:schemeClr w14:val="tx1"/>
                  </w14:solidFill>
                </w14:textFill>
              </w:rPr>
            </w:pPr>
          </w:p>
        </w:tc>
        <w:tc>
          <w:tcPr>
            <w:tcW w:w="2082" w:type="dxa"/>
            <w:tcBorders>
              <w:top w:val="single" w:color="auto" w:sz="4" w:space="0"/>
              <w:left w:val="single" w:color="auto" w:sz="4" w:space="0"/>
              <w:bottom w:val="single" w:color="auto" w:sz="4" w:space="0"/>
              <w:right w:val="single" w:color="auto" w:sz="4" w:space="0"/>
            </w:tcBorders>
          </w:tcPr>
          <w:p w14:paraId="4F443B3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5208" w:type="dxa"/>
            <w:gridSpan w:val="2"/>
            <w:tcBorders>
              <w:top w:val="single" w:color="auto" w:sz="4" w:space="0"/>
              <w:left w:val="single" w:color="auto" w:sz="4" w:space="0"/>
              <w:bottom w:val="single" w:color="auto" w:sz="4" w:space="0"/>
              <w:right w:val="single" w:color="auto" w:sz="4" w:space="0"/>
            </w:tcBorders>
          </w:tcPr>
          <w:p w14:paraId="06BF576E">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color w:val="000000" w:themeColor="text1"/>
                <w:szCs w:val="21"/>
                <w:highlight w:val="none"/>
                <w14:textFill>
                  <w14:solidFill>
                    <w14:schemeClr w14:val="tx1"/>
                  </w14:solidFill>
                </w14:textFill>
              </w:rPr>
            </w:pPr>
          </w:p>
        </w:tc>
      </w:tr>
      <w:tr w14:paraId="6001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1710" w:type="dxa"/>
            <w:tcBorders>
              <w:top w:val="single" w:color="auto" w:sz="4" w:space="0"/>
              <w:left w:val="single" w:color="auto" w:sz="4" w:space="0"/>
              <w:bottom w:val="single" w:color="auto" w:sz="4" w:space="0"/>
              <w:right w:val="single" w:color="auto" w:sz="4" w:space="0"/>
            </w:tcBorders>
            <w:vAlign w:val="center"/>
          </w:tcPr>
          <w:p w14:paraId="23D84DC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p>
          <w:p w14:paraId="7F146E7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评标专家对评标结果持不同意见的记录</w:t>
            </w:r>
          </w:p>
          <w:p w14:paraId="2A297C5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7290" w:type="dxa"/>
            <w:gridSpan w:val="3"/>
            <w:tcBorders>
              <w:top w:val="single" w:color="auto" w:sz="4" w:space="0"/>
              <w:left w:val="single" w:color="auto" w:sz="4" w:space="0"/>
              <w:bottom w:val="single" w:color="auto" w:sz="4" w:space="0"/>
              <w:right w:val="single" w:color="auto" w:sz="4" w:space="0"/>
            </w:tcBorders>
            <w:vAlign w:val="center"/>
          </w:tcPr>
          <w:p w14:paraId="6DDB24F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p>
          <w:p w14:paraId="324A531E">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p>
          <w:p w14:paraId="1B3A0FC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p>
        </w:tc>
      </w:tr>
      <w:tr w14:paraId="5A76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1710" w:type="dxa"/>
            <w:tcBorders>
              <w:top w:val="single" w:color="auto" w:sz="4" w:space="0"/>
              <w:left w:val="single" w:color="auto" w:sz="4" w:space="0"/>
              <w:bottom w:val="single" w:color="auto" w:sz="4" w:space="0"/>
              <w:right w:val="single" w:color="auto" w:sz="4" w:space="0"/>
            </w:tcBorders>
            <w:vAlign w:val="center"/>
          </w:tcPr>
          <w:p w14:paraId="2BF8609A">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评标委员</w:t>
            </w:r>
          </w:p>
          <w:p w14:paraId="4772272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会对招标</w:t>
            </w:r>
          </w:p>
          <w:p w14:paraId="4A94198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人的建议</w:t>
            </w:r>
          </w:p>
        </w:tc>
        <w:tc>
          <w:tcPr>
            <w:tcW w:w="7290" w:type="dxa"/>
            <w:gridSpan w:val="3"/>
            <w:tcBorders>
              <w:top w:val="single" w:color="auto" w:sz="4" w:space="0"/>
              <w:left w:val="single" w:color="auto" w:sz="4" w:space="0"/>
              <w:bottom w:val="single" w:color="auto" w:sz="4" w:space="0"/>
              <w:right w:val="single" w:color="auto" w:sz="4" w:space="0"/>
            </w:tcBorders>
            <w:vAlign w:val="center"/>
          </w:tcPr>
          <w:p w14:paraId="7D43C3B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p>
        </w:tc>
      </w:tr>
      <w:tr w14:paraId="441B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1710" w:type="dxa"/>
            <w:tcBorders>
              <w:top w:val="single" w:color="auto" w:sz="4" w:space="0"/>
              <w:left w:val="single" w:color="auto" w:sz="4" w:space="0"/>
              <w:bottom w:val="single" w:color="auto" w:sz="4" w:space="0"/>
              <w:right w:val="single" w:color="auto" w:sz="4" w:space="0"/>
            </w:tcBorders>
            <w:vAlign w:val="center"/>
          </w:tcPr>
          <w:p w14:paraId="61F2E9C0">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p>
          <w:p w14:paraId="6A98A89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评委会全体成员</w:t>
            </w:r>
          </w:p>
          <w:p w14:paraId="50A1A1A2">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w:t>
            </w:r>
          </w:p>
          <w:p w14:paraId="2809DC3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color w:val="000000" w:themeColor="text1"/>
                <w:szCs w:val="21"/>
                <w:highlight w:val="none"/>
                <w14:textFill>
                  <w14:solidFill>
                    <w14:schemeClr w14:val="tx1"/>
                  </w14:solidFill>
                </w14:textFill>
              </w:rPr>
            </w:pPr>
          </w:p>
        </w:tc>
        <w:tc>
          <w:tcPr>
            <w:tcW w:w="7290" w:type="dxa"/>
            <w:gridSpan w:val="3"/>
            <w:tcBorders>
              <w:top w:val="single" w:color="auto" w:sz="4" w:space="0"/>
              <w:left w:val="single" w:color="auto" w:sz="4" w:space="0"/>
              <w:bottom w:val="single" w:color="auto" w:sz="4" w:space="0"/>
              <w:right w:val="single" w:color="auto" w:sz="4" w:space="0"/>
            </w:tcBorders>
            <w:vAlign w:val="center"/>
          </w:tcPr>
          <w:p w14:paraId="3022994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color w:val="000000" w:themeColor="text1"/>
                <w:szCs w:val="21"/>
                <w:highlight w:val="none"/>
                <w14:textFill>
                  <w14:solidFill>
                    <w14:schemeClr w14:val="tx1"/>
                  </w14:solidFill>
                </w14:textFill>
              </w:rPr>
            </w:pPr>
          </w:p>
        </w:tc>
      </w:tr>
    </w:tbl>
    <w:p w14:paraId="01E86C9F">
      <w:pPr>
        <w:rPr>
          <w:highlight w:val="none"/>
        </w:rPr>
      </w:pPr>
    </w:p>
    <w:p w14:paraId="7173927E">
      <w:pPr>
        <w:widowControl/>
        <w:jc w:val="left"/>
        <w:rPr>
          <w:highlight w:val="none"/>
        </w:rPr>
        <w:sectPr>
          <w:headerReference r:id="rId8" w:type="first"/>
          <w:pgSz w:w="11906" w:h="16838"/>
          <w:pgMar w:top="1418" w:right="1361" w:bottom="1418" w:left="1531" w:header="851" w:footer="992" w:gutter="0"/>
          <w:cols w:space="720" w:num="1"/>
          <w:titlePg/>
          <w:docGrid w:linePitch="312" w:charSpace="0"/>
        </w:sectPr>
      </w:pPr>
    </w:p>
    <w:p w14:paraId="45C0FAB4">
      <w:pPr>
        <w:keepNext/>
        <w:keepLines/>
        <w:spacing w:before="63" w:beforeLines="20"/>
        <w:outlineLvl w:val="1"/>
        <w:rPr>
          <w:rFonts w:ascii="Times New Roman" w:hAnsi="Times New Roman" w:eastAsia="黑体"/>
          <w:bCs/>
          <w:sz w:val="24"/>
          <w:szCs w:val="32"/>
          <w:highlight w:val="none"/>
        </w:rPr>
      </w:pPr>
      <w:bookmarkStart w:id="1391" w:name="_Toc28146"/>
      <w:r>
        <w:rPr>
          <w:rFonts w:hint="eastAsia" w:ascii="Times New Roman" w:hAnsi="Times New Roman" w:eastAsia="黑体"/>
          <w:bCs/>
          <w:sz w:val="24"/>
          <w:szCs w:val="32"/>
          <w:highlight w:val="none"/>
        </w:rPr>
        <w:t>政府采购工程招标资格条件设置及评标优惠政策一览表</w:t>
      </w:r>
      <w:bookmarkEnd w:id="1391"/>
    </w:p>
    <w:p w14:paraId="6F676357">
      <w:pPr>
        <w:spacing w:line="300" w:lineRule="auto"/>
        <w:jc w:val="center"/>
        <w:rPr>
          <w:rFonts w:ascii="Times New Roman" w:hAnsi="Times New Roman"/>
          <w:highlight w:val="none"/>
        </w:rPr>
      </w:pPr>
      <w:r>
        <w:rPr>
          <w:rFonts w:hint="eastAsia" w:ascii="宋体" w:hAnsi="宋体" w:cs="宋体"/>
          <w:b/>
          <w:bCs/>
          <w:color w:val="000000"/>
          <w:kern w:val="0"/>
          <w:sz w:val="28"/>
          <w:szCs w:val="28"/>
          <w:highlight w:val="none"/>
        </w:rPr>
        <w:t>（2022年7月1日起正式执行）</w:t>
      </w:r>
    </w:p>
    <w:tbl>
      <w:tblPr>
        <w:tblStyle w:val="39"/>
        <w:tblW w:w="0" w:type="auto"/>
        <w:tblInd w:w="93" w:type="dxa"/>
        <w:tblLayout w:type="fixed"/>
        <w:tblCellMar>
          <w:top w:w="0" w:type="dxa"/>
          <w:left w:w="108" w:type="dxa"/>
          <w:bottom w:w="0" w:type="dxa"/>
          <w:right w:w="108" w:type="dxa"/>
        </w:tblCellMar>
      </w:tblPr>
      <w:tblGrid>
        <w:gridCol w:w="435"/>
        <w:gridCol w:w="1978"/>
        <w:gridCol w:w="4474"/>
        <w:gridCol w:w="729"/>
        <w:gridCol w:w="5734"/>
      </w:tblGrid>
      <w:tr w14:paraId="1CDE706F">
        <w:tblPrEx>
          <w:tblCellMar>
            <w:top w:w="0" w:type="dxa"/>
            <w:left w:w="108" w:type="dxa"/>
            <w:bottom w:w="0" w:type="dxa"/>
            <w:right w:w="108" w:type="dxa"/>
          </w:tblCellMar>
        </w:tblPrEx>
        <w:trPr>
          <w:trHeight w:val="630" w:hRule="atLeast"/>
        </w:trPr>
        <w:tc>
          <w:tcPr>
            <w:tcW w:w="13350" w:type="dxa"/>
            <w:gridSpan w:val="5"/>
            <w:tcBorders>
              <w:top w:val="single" w:color="auto" w:sz="4" w:space="0"/>
              <w:left w:val="single" w:color="auto" w:sz="4" w:space="0"/>
              <w:bottom w:val="single" w:color="auto" w:sz="4" w:space="0"/>
              <w:right w:val="single" w:color="auto" w:sz="4" w:space="0"/>
            </w:tcBorders>
            <w:vAlign w:val="center"/>
          </w:tcPr>
          <w:p w14:paraId="20465187">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预留份额的采购项目</w:t>
            </w:r>
          </w:p>
        </w:tc>
      </w:tr>
      <w:tr w14:paraId="4580A1D8">
        <w:tblPrEx>
          <w:tblCellMar>
            <w:top w:w="0" w:type="dxa"/>
            <w:left w:w="108" w:type="dxa"/>
            <w:bottom w:w="0" w:type="dxa"/>
            <w:right w:w="108" w:type="dxa"/>
          </w:tblCellMar>
        </w:tblPrEx>
        <w:trPr>
          <w:trHeight w:val="630" w:hRule="atLeast"/>
        </w:trPr>
        <w:tc>
          <w:tcPr>
            <w:tcW w:w="435" w:type="dxa"/>
            <w:tcBorders>
              <w:top w:val="single" w:color="auto" w:sz="4" w:space="0"/>
              <w:left w:val="single" w:color="auto" w:sz="4" w:space="0"/>
              <w:bottom w:val="single" w:color="auto" w:sz="4" w:space="0"/>
              <w:right w:val="single" w:color="auto" w:sz="4" w:space="0"/>
            </w:tcBorders>
            <w:vAlign w:val="center"/>
          </w:tcPr>
          <w:p w14:paraId="69283110">
            <w:pPr>
              <w:keepNext w:val="0"/>
              <w:keepLines w:val="0"/>
              <w:widowControl/>
              <w:suppressLineNumbers w:val="0"/>
              <w:spacing w:before="0" w:beforeAutospacing="0" w:after="0" w:afterAutospacing="0" w:line="300" w:lineRule="auto"/>
              <w:ind w:left="0" w:right="0"/>
              <w:jc w:val="left"/>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序号</w:t>
            </w:r>
          </w:p>
        </w:tc>
        <w:tc>
          <w:tcPr>
            <w:tcW w:w="1978" w:type="dxa"/>
            <w:tcBorders>
              <w:top w:val="single" w:color="auto" w:sz="4" w:space="0"/>
              <w:left w:val="single" w:color="auto" w:sz="4" w:space="0"/>
              <w:bottom w:val="single" w:color="auto" w:sz="4" w:space="0"/>
              <w:right w:val="single" w:color="auto" w:sz="4" w:space="0"/>
            </w:tcBorders>
            <w:vAlign w:val="center"/>
          </w:tcPr>
          <w:p w14:paraId="50BA60C8">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资格条件</w:t>
            </w:r>
          </w:p>
        </w:tc>
        <w:tc>
          <w:tcPr>
            <w:tcW w:w="4474" w:type="dxa"/>
            <w:tcBorders>
              <w:top w:val="single" w:color="auto" w:sz="4" w:space="0"/>
              <w:left w:val="single" w:color="auto" w:sz="4" w:space="0"/>
              <w:bottom w:val="single" w:color="auto" w:sz="4" w:space="0"/>
              <w:right w:val="single" w:color="auto" w:sz="4" w:space="0"/>
            </w:tcBorders>
            <w:vAlign w:val="center"/>
          </w:tcPr>
          <w:p w14:paraId="7E7791A9">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资格条件表述</w:t>
            </w:r>
          </w:p>
        </w:tc>
        <w:tc>
          <w:tcPr>
            <w:tcW w:w="729" w:type="dxa"/>
            <w:tcBorders>
              <w:top w:val="single" w:color="auto" w:sz="4" w:space="0"/>
              <w:left w:val="single" w:color="auto" w:sz="4" w:space="0"/>
              <w:bottom w:val="single" w:color="auto" w:sz="4" w:space="0"/>
              <w:right w:val="single" w:color="auto" w:sz="4" w:space="0"/>
            </w:tcBorders>
            <w:vAlign w:val="center"/>
          </w:tcPr>
          <w:p w14:paraId="0B15DB13">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评标优惠</w:t>
            </w:r>
          </w:p>
        </w:tc>
        <w:tc>
          <w:tcPr>
            <w:tcW w:w="5734" w:type="dxa"/>
            <w:tcBorders>
              <w:top w:val="single" w:color="auto" w:sz="4" w:space="0"/>
              <w:left w:val="single" w:color="auto" w:sz="4" w:space="0"/>
              <w:bottom w:val="single" w:color="auto" w:sz="4" w:space="0"/>
              <w:right w:val="single" w:color="auto" w:sz="4" w:space="0"/>
            </w:tcBorders>
            <w:vAlign w:val="center"/>
          </w:tcPr>
          <w:p w14:paraId="4A859687">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行业适用性</w:t>
            </w:r>
          </w:p>
        </w:tc>
      </w:tr>
      <w:tr w14:paraId="0A1CCC31">
        <w:tblPrEx>
          <w:tblCellMar>
            <w:top w:w="0" w:type="dxa"/>
            <w:left w:w="108" w:type="dxa"/>
            <w:bottom w:w="0" w:type="dxa"/>
            <w:right w:w="108" w:type="dxa"/>
          </w:tblCellMar>
        </w:tblPrEx>
        <w:trPr>
          <w:trHeight w:val="494" w:hRule="atLeast"/>
        </w:trPr>
        <w:tc>
          <w:tcPr>
            <w:tcW w:w="435" w:type="dxa"/>
            <w:tcBorders>
              <w:top w:val="nil"/>
              <w:left w:val="single" w:color="auto" w:sz="4" w:space="0"/>
              <w:bottom w:val="single" w:color="auto" w:sz="4" w:space="0"/>
              <w:right w:val="single" w:color="auto" w:sz="4" w:space="0"/>
            </w:tcBorders>
            <w:vAlign w:val="center"/>
          </w:tcPr>
          <w:p w14:paraId="7FEC065F">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1</w:t>
            </w:r>
          </w:p>
        </w:tc>
        <w:tc>
          <w:tcPr>
            <w:tcW w:w="1978" w:type="dxa"/>
            <w:tcBorders>
              <w:top w:val="nil"/>
              <w:left w:val="single" w:color="auto" w:sz="4" w:space="0"/>
              <w:bottom w:val="single" w:color="auto" w:sz="4" w:space="0"/>
              <w:right w:val="single" w:color="auto" w:sz="4" w:space="0"/>
            </w:tcBorders>
            <w:vAlign w:val="center"/>
          </w:tcPr>
          <w:p w14:paraId="3A3C8181">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专门面向中小企业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6C10ABB5">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采购项目整体预留专门面向中小企业采购</w:t>
            </w:r>
          </w:p>
        </w:tc>
        <w:tc>
          <w:tcPr>
            <w:tcW w:w="729" w:type="dxa"/>
            <w:vMerge w:val="restart"/>
            <w:tcBorders>
              <w:top w:val="single" w:color="auto" w:sz="4" w:space="0"/>
              <w:left w:val="single" w:color="auto" w:sz="4" w:space="0"/>
              <w:bottom w:val="single" w:color="auto" w:sz="4" w:space="0"/>
              <w:right w:val="single" w:color="auto" w:sz="4" w:space="0"/>
            </w:tcBorders>
            <w:vAlign w:val="center"/>
          </w:tcPr>
          <w:p w14:paraId="0D2B1C15">
            <w:pPr>
              <w:keepNext w:val="0"/>
              <w:keepLines w:val="0"/>
              <w:widowControl/>
              <w:suppressLineNumbers w:val="0"/>
              <w:spacing w:before="0" w:beforeAutospacing="0" w:after="0" w:afterAutospacing="0" w:line="300" w:lineRule="auto"/>
              <w:ind w:left="0" w:right="0"/>
              <w:rPr>
                <w:rFonts w:ascii="宋体" w:hAnsi="Times New Roman" w:cs="宋体"/>
                <w:color w:val="000000"/>
                <w:kern w:val="0"/>
                <w:szCs w:val="21"/>
                <w:highlight w:val="none"/>
              </w:rPr>
            </w:pPr>
            <w:r>
              <w:rPr>
                <w:rFonts w:hint="eastAsia" w:ascii="宋体" w:hAnsi="宋体" w:cs="宋体"/>
                <w:color w:val="000000"/>
                <w:kern w:val="0"/>
                <w:szCs w:val="21"/>
                <w:highlight w:val="none"/>
              </w:rPr>
              <w:t>落实了政府采购预留份额政策，无评标优惠。</w:t>
            </w:r>
          </w:p>
        </w:tc>
        <w:tc>
          <w:tcPr>
            <w:tcW w:w="5734" w:type="dxa"/>
            <w:vMerge w:val="restart"/>
            <w:tcBorders>
              <w:top w:val="nil"/>
              <w:left w:val="single" w:color="auto" w:sz="4" w:space="0"/>
              <w:right w:val="single" w:color="auto" w:sz="4" w:space="0"/>
            </w:tcBorders>
            <w:vAlign w:val="center"/>
          </w:tcPr>
          <w:p w14:paraId="4D532E2A">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适用于中小型项目</w:t>
            </w:r>
          </w:p>
        </w:tc>
      </w:tr>
      <w:tr w14:paraId="46FD5593">
        <w:tblPrEx>
          <w:tblCellMar>
            <w:top w:w="0" w:type="dxa"/>
            <w:left w:w="108" w:type="dxa"/>
            <w:bottom w:w="0" w:type="dxa"/>
            <w:right w:w="108" w:type="dxa"/>
          </w:tblCellMar>
        </w:tblPrEx>
        <w:trPr>
          <w:trHeight w:val="463" w:hRule="atLeast"/>
        </w:trPr>
        <w:tc>
          <w:tcPr>
            <w:tcW w:w="435" w:type="dxa"/>
            <w:tcBorders>
              <w:top w:val="nil"/>
              <w:left w:val="single" w:color="auto" w:sz="4" w:space="0"/>
              <w:bottom w:val="single" w:color="auto" w:sz="4" w:space="0"/>
              <w:right w:val="single" w:color="auto" w:sz="4" w:space="0"/>
            </w:tcBorders>
            <w:vAlign w:val="center"/>
          </w:tcPr>
          <w:p w14:paraId="78DE2B18">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2</w:t>
            </w:r>
          </w:p>
        </w:tc>
        <w:tc>
          <w:tcPr>
            <w:tcW w:w="1978" w:type="dxa"/>
            <w:tcBorders>
              <w:top w:val="nil"/>
              <w:left w:val="nil"/>
              <w:bottom w:val="single" w:color="auto" w:sz="4" w:space="0"/>
              <w:right w:val="single" w:color="auto" w:sz="4" w:space="0"/>
            </w:tcBorders>
            <w:vAlign w:val="center"/>
          </w:tcPr>
          <w:p w14:paraId="1F25192A">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专门面向小微企业</w:t>
            </w:r>
          </w:p>
        </w:tc>
        <w:tc>
          <w:tcPr>
            <w:tcW w:w="4474" w:type="dxa"/>
            <w:tcBorders>
              <w:top w:val="single" w:color="auto" w:sz="4" w:space="0"/>
              <w:left w:val="single" w:color="auto" w:sz="4" w:space="0"/>
              <w:bottom w:val="single" w:color="auto" w:sz="4" w:space="0"/>
              <w:right w:val="single" w:color="auto" w:sz="4" w:space="0"/>
            </w:tcBorders>
            <w:vAlign w:val="center"/>
          </w:tcPr>
          <w:p w14:paraId="6A998508">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采购项目整体预留专门面向小微企业采购</w:t>
            </w:r>
          </w:p>
        </w:tc>
        <w:tc>
          <w:tcPr>
            <w:tcW w:w="729" w:type="dxa"/>
            <w:vMerge w:val="continue"/>
            <w:tcBorders>
              <w:left w:val="single" w:color="auto" w:sz="4" w:space="0"/>
              <w:bottom w:val="single" w:color="auto" w:sz="4" w:space="0"/>
              <w:right w:val="single" w:color="auto" w:sz="4" w:space="0"/>
            </w:tcBorders>
            <w:vAlign w:val="center"/>
          </w:tcPr>
          <w:p w14:paraId="7708F8E3">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vMerge w:val="continue"/>
            <w:tcBorders>
              <w:left w:val="single" w:color="auto" w:sz="4" w:space="0"/>
              <w:bottom w:val="single" w:color="auto" w:sz="4" w:space="0"/>
              <w:right w:val="single" w:color="auto" w:sz="4" w:space="0"/>
            </w:tcBorders>
            <w:vAlign w:val="center"/>
          </w:tcPr>
          <w:p w14:paraId="2342B2B8">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r>
      <w:tr w14:paraId="302C0EAD">
        <w:tblPrEx>
          <w:tblCellMar>
            <w:top w:w="0" w:type="dxa"/>
            <w:left w:w="108" w:type="dxa"/>
            <w:bottom w:w="0" w:type="dxa"/>
            <w:right w:w="108" w:type="dxa"/>
          </w:tblCellMar>
        </w:tblPrEx>
        <w:trPr>
          <w:trHeight w:val="928" w:hRule="atLeast"/>
        </w:trPr>
        <w:tc>
          <w:tcPr>
            <w:tcW w:w="435" w:type="dxa"/>
            <w:tcBorders>
              <w:top w:val="single" w:color="auto" w:sz="4" w:space="0"/>
              <w:left w:val="single" w:color="auto" w:sz="4" w:space="0"/>
              <w:bottom w:val="single" w:color="auto" w:sz="4" w:space="0"/>
              <w:right w:val="single" w:color="auto" w:sz="4" w:space="0"/>
            </w:tcBorders>
            <w:vAlign w:val="center"/>
          </w:tcPr>
          <w:p w14:paraId="13619DF4">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3</w:t>
            </w:r>
          </w:p>
        </w:tc>
        <w:tc>
          <w:tcPr>
            <w:tcW w:w="1978" w:type="dxa"/>
            <w:tcBorders>
              <w:top w:val="single" w:color="auto" w:sz="4" w:space="0"/>
              <w:left w:val="single" w:color="auto" w:sz="4" w:space="0"/>
              <w:bottom w:val="single" w:color="auto" w:sz="4" w:space="0"/>
              <w:right w:val="single" w:color="auto" w:sz="4" w:space="0"/>
            </w:tcBorders>
            <w:vAlign w:val="center"/>
          </w:tcPr>
          <w:p w14:paraId="1BDCCE0E">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预留部分份额</w:t>
            </w:r>
          </w:p>
          <w:p w14:paraId="1C7A69CD">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要求联合中小企业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7E24E20B">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采购项目部分预留面向中小企业采购</w:t>
            </w:r>
          </w:p>
          <w:p w14:paraId="3B34843F">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投标人应当以联合体的形式参加投标，且联合体中中小企业承担的部分达到预算总额的</w:t>
            </w:r>
            <w:r>
              <w:rPr>
                <w:rFonts w:hint="eastAsia" w:ascii="宋体" w:hAnsi="宋体" w:cs="宋体"/>
                <w:color w:val="000000"/>
                <w:kern w:val="0"/>
                <w:szCs w:val="21"/>
                <w:highlight w:val="none"/>
                <w:u w:val="single"/>
              </w:rPr>
              <w:t xml:space="preserve">  </w:t>
            </w:r>
            <w:r>
              <w:rPr>
                <w:rFonts w:ascii="宋体" w:hAnsi="宋体" w:cs="宋体"/>
                <w:color w:val="000000"/>
                <w:kern w:val="0"/>
                <w:szCs w:val="21"/>
                <w:highlight w:val="none"/>
                <w:u w:val="single"/>
              </w:rPr>
              <w:t>%</w:t>
            </w:r>
            <w:r>
              <w:rPr>
                <w:rFonts w:hint="eastAsia" w:ascii="宋体" w:hAnsi="宋体" w:cs="宋体"/>
                <w:color w:val="000000"/>
                <w:kern w:val="0"/>
                <w:szCs w:val="21"/>
                <w:highlight w:val="none"/>
              </w:rPr>
              <w:t>以上，其中小微企业承担的比例不低于</w:t>
            </w:r>
            <w:r>
              <w:rPr>
                <w:rFonts w:hint="eastAsia" w:ascii="宋体" w:hAnsi="宋体" w:cs="宋体"/>
                <w:color w:val="000000"/>
                <w:kern w:val="0"/>
                <w:szCs w:val="21"/>
                <w:highlight w:val="none"/>
                <w:u w:val="single"/>
              </w:rPr>
              <w:t xml:space="preserve">  </w:t>
            </w:r>
            <w:r>
              <w:rPr>
                <w:rFonts w:ascii="宋体" w:hAnsi="宋体" w:cs="宋体"/>
                <w:color w:val="000000"/>
                <w:kern w:val="0"/>
                <w:szCs w:val="21"/>
                <w:highlight w:val="none"/>
                <w:u w:val="single"/>
              </w:rPr>
              <w:t>%</w:t>
            </w:r>
            <w:r>
              <w:rPr>
                <w:rFonts w:hint="eastAsia" w:ascii="宋体" w:hAnsi="宋体" w:cs="宋体"/>
                <w:color w:val="000000"/>
                <w:kern w:val="0"/>
                <w:szCs w:val="21"/>
                <w:highlight w:val="none"/>
              </w:rPr>
              <w:t>。</w:t>
            </w:r>
          </w:p>
          <w:p w14:paraId="60DC20F6">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组成联合体的中小企业与联合体内其他企业、分包企业之间不得存在直接控股、管理关系。</w:t>
            </w:r>
          </w:p>
          <w:p w14:paraId="011FF00D">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（前述比例由招标人根据项目的具体情况约定）</w:t>
            </w:r>
          </w:p>
          <w:p w14:paraId="420CBC5A">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p>
        </w:tc>
        <w:tc>
          <w:tcPr>
            <w:tcW w:w="729" w:type="dxa"/>
            <w:vMerge w:val="continue"/>
            <w:tcBorders>
              <w:left w:val="single" w:color="auto" w:sz="4" w:space="0"/>
              <w:bottom w:val="single" w:color="auto" w:sz="4" w:space="0"/>
              <w:right w:val="single" w:color="auto" w:sz="4" w:space="0"/>
            </w:tcBorders>
            <w:vAlign w:val="center"/>
          </w:tcPr>
          <w:p w14:paraId="4F1723C7">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vAlign w:val="center"/>
          </w:tcPr>
          <w:p w14:paraId="5200AEB6">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1</w:t>
            </w:r>
            <w:r>
              <w:rPr>
                <w:rFonts w:hint="eastAsia" w:ascii="宋体" w:hAnsi="宋体" w:cs="宋体"/>
                <w:color w:val="000000"/>
                <w:kern w:val="0"/>
                <w:szCs w:val="21"/>
                <w:highlight w:val="none"/>
              </w:rPr>
              <w:t>总承包企业之间或专业承包企业之间组成联合体，不应当是总承包企业与专业承包企业或劳务分包企业组成联合体。</w:t>
            </w:r>
          </w:p>
          <w:p w14:paraId="7F95B843">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2</w:t>
            </w:r>
            <w:r>
              <w:rPr>
                <w:rFonts w:hint="eastAsia" w:ascii="宋体" w:hAnsi="宋体" w:cs="宋体"/>
                <w:color w:val="000000"/>
                <w:kern w:val="0"/>
                <w:szCs w:val="21"/>
                <w:highlight w:val="none"/>
              </w:rPr>
              <w:t>适用于涉及多个总承包资质或专业承包资质的项目。</w:t>
            </w:r>
          </w:p>
          <w:p w14:paraId="6B8AAD92">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3</w:t>
            </w:r>
            <w:r>
              <w:rPr>
                <w:rFonts w:hint="eastAsia" w:ascii="宋体" w:hAnsi="宋体" w:cs="宋体"/>
                <w:color w:val="000000"/>
                <w:kern w:val="0"/>
                <w:szCs w:val="21"/>
                <w:highlight w:val="none"/>
              </w:rPr>
              <w:t>招标人要明确预留的标的和金额，如既有房建工程又有市政工程的施工总承包招标中，要求投标人应当以联合体的形式，将金额较小的部分交由相应资质的中小企业承担。这种联合体形式不常见。</w:t>
            </w:r>
          </w:p>
          <w:p w14:paraId="61B5B06D">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4</w:t>
            </w:r>
            <w:r>
              <w:rPr>
                <w:rFonts w:hint="eastAsia" w:ascii="宋体" w:hAnsi="宋体" w:cs="宋体"/>
                <w:color w:val="000000"/>
                <w:kern w:val="0"/>
                <w:szCs w:val="21"/>
                <w:highlight w:val="none"/>
              </w:rPr>
              <w:t>如由同一专业组成联合体，联合体的资质认定已有规定，该联合体的类似项目业绩、财务状况、信誉状况如何认定，需要在招标文件中约定。</w:t>
            </w:r>
          </w:p>
        </w:tc>
      </w:tr>
      <w:tr w14:paraId="568999E7">
        <w:tblPrEx>
          <w:tblCellMar>
            <w:top w:w="0" w:type="dxa"/>
            <w:left w:w="108" w:type="dxa"/>
            <w:bottom w:w="0" w:type="dxa"/>
            <w:right w:w="108" w:type="dxa"/>
          </w:tblCellMar>
        </w:tblPrEx>
        <w:trPr>
          <w:trHeight w:val="525" w:hRule="atLeast"/>
        </w:trPr>
        <w:tc>
          <w:tcPr>
            <w:tcW w:w="435" w:type="dxa"/>
            <w:tcBorders>
              <w:top w:val="single" w:color="auto" w:sz="4" w:space="0"/>
              <w:left w:val="single" w:color="auto" w:sz="4" w:space="0"/>
              <w:bottom w:val="single" w:color="auto" w:sz="4" w:space="0"/>
              <w:right w:val="single" w:color="auto" w:sz="4" w:space="0"/>
            </w:tcBorders>
            <w:vAlign w:val="center"/>
          </w:tcPr>
          <w:p w14:paraId="308B0CDB">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4</w:t>
            </w:r>
          </w:p>
        </w:tc>
        <w:tc>
          <w:tcPr>
            <w:tcW w:w="1978" w:type="dxa"/>
            <w:tcBorders>
              <w:top w:val="single" w:color="auto" w:sz="4" w:space="0"/>
              <w:left w:val="nil"/>
              <w:bottom w:val="single" w:color="auto" w:sz="4" w:space="0"/>
              <w:right w:val="single" w:color="auto" w:sz="4" w:space="0"/>
            </w:tcBorders>
            <w:vAlign w:val="center"/>
          </w:tcPr>
          <w:p w14:paraId="1599165E">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预留部分份额</w:t>
            </w:r>
          </w:p>
          <w:p w14:paraId="411BA4B5">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要求分包给中小企业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75DBD764">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采购项目部分预留面向中小企业采购</w:t>
            </w:r>
          </w:p>
          <w:p w14:paraId="1934AA2D">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投标人应当以向中小企业分包的形式参加投标，且接受分包的中小企业承担的部分达到预算总额的</w:t>
            </w:r>
            <w:r>
              <w:rPr>
                <w:rFonts w:ascii="宋体" w:hAnsi="宋体" w:cs="宋体"/>
                <w:color w:val="000000"/>
                <w:kern w:val="0"/>
                <w:szCs w:val="21"/>
                <w:highlight w:val="none"/>
              </w:rPr>
              <w:t>40%</w:t>
            </w:r>
            <w:r>
              <w:rPr>
                <w:rFonts w:hint="eastAsia" w:ascii="宋体" w:hAnsi="宋体" w:cs="宋体"/>
                <w:color w:val="000000"/>
                <w:kern w:val="0"/>
                <w:szCs w:val="21"/>
                <w:highlight w:val="none"/>
              </w:rPr>
              <w:t>以上，其中接受分包的小微企业承担的比例不低于</w:t>
            </w:r>
            <w:r>
              <w:rPr>
                <w:rFonts w:ascii="宋体" w:hAnsi="宋体" w:cs="宋体"/>
                <w:color w:val="000000"/>
                <w:kern w:val="0"/>
                <w:szCs w:val="21"/>
                <w:highlight w:val="none"/>
              </w:rPr>
              <w:t>60%</w:t>
            </w:r>
            <w:r>
              <w:rPr>
                <w:rFonts w:hint="eastAsia" w:ascii="宋体" w:hAnsi="宋体" w:cs="宋体"/>
                <w:color w:val="000000"/>
                <w:kern w:val="0"/>
                <w:szCs w:val="21"/>
                <w:highlight w:val="none"/>
              </w:rPr>
              <w:t>。</w:t>
            </w:r>
          </w:p>
          <w:p w14:paraId="55C2324E">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接受分包合同的中小企业与分包企业之间不得存在直接控股、管理关系。</w:t>
            </w:r>
          </w:p>
          <w:p w14:paraId="6B629F84">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（前述比例由招标人根据项目的具体情况约定）</w:t>
            </w:r>
          </w:p>
        </w:tc>
        <w:tc>
          <w:tcPr>
            <w:tcW w:w="729" w:type="dxa"/>
            <w:vMerge w:val="continue"/>
            <w:tcBorders>
              <w:left w:val="single" w:color="auto" w:sz="4" w:space="0"/>
              <w:bottom w:val="single" w:color="auto" w:sz="4" w:space="0"/>
              <w:right w:val="single" w:color="auto" w:sz="4" w:space="0"/>
            </w:tcBorders>
            <w:vAlign w:val="center"/>
          </w:tcPr>
          <w:p w14:paraId="0F5DBC5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vAlign w:val="center"/>
          </w:tcPr>
          <w:p w14:paraId="47CA614D">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1</w:t>
            </w:r>
            <w:r>
              <w:rPr>
                <w:rFonts w:hint="eastAsia" w:ascii="宋体" w:hAnsi="宋体" w:cs="宋体"/>
                <w:color w:val="000000"/>
                <w:kern w:val="0"/>
                <w:szCs w:val="21"/>
                <w:highlight w:val="none"/>
              </w:rPr>
              <w:t>施工总承包企业分包给专业承包企业或劳务分包企业；</w:t>
            </w:r>
          </w:p>
          <w:p w14:paraId="172ACB74">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2</w:t>
            </w:r>
            <w:r>
              <w:rPr>
                <w:rFonts w:hint="eastAsia" w:ascii="宋体" w:hAnsi="宋体" w:cs="宋体"/>
                <w:color w:val="000000"/>
                <w:kern w:val="0"/>
                <w:szCs w:val="21"/>
                <w:highlight w:val="none"/>
              </w:rPr>
              <w:t>专业承包企业分包给劳务分包企业。</w:t>
            </w:r>
          </w:p>
          <w:p w14:paraId="59ACAE63">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3</w:t>
            </w:r>
            <w:r>
              <w:rPr>
                <w:rFonts w:hint="eastAsia" w:ascii="宋体" w:hAnsi="宋体" w:cs="宋体"/>
                <w:color w:val="000000"/>
                <w:kern w:val="0"/>
                <w:szCs w:val="21"/>
                <w:highlight w:val="none"/>
              </w:rPr>
              <w:t>适用于施工总承包发包或专业工程发包的项目。</w:t>
            </w:r>
          </w:p>
          <w:p w14:paraId="33A26EAE">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4</w:t>
            </w:r>
            <w:r>
              <w:rPr>
                <w:rFonts w:hint="eastAsia" w:ascii="宋体" w:hAnsi="宋体" w:cs="宋体"/>
                <w:color w:val="000000"/>
                <w:kern w:val="0"/>
                <w:szCs w:val="21"/>
                <w:highlight w:val="none"/>
              </w:rPr>
              <w:t>招标人要明确预留的标的和金额，如施工总承包招标中，要求投标人应当以向中小企业分包形式，将某些专业工程、专业工程暂估价、劳务作业分包给相应资质的中小企业承担。</w:t>
            </w:r>
          </w:p>
          <w:p w14:paraId="67C84ADD">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5</w:t>
            </w:r>
            <w:r>
              <w:rPr>
                <w:rFonts w:hint="eastAsia" w:ascii="宋体" w:hAnsi="宋体" w:cs="宋体"/>
                <w:color w:val="000000"/>
                <w:kern w:val="0"/>
                <w:szCs w:val="21"/>
                <w:highlight w:val="none"/>
              </w:rPr>
              <w:t>分包形式常见，且易于操作。</w:t>
            </w:r>
          </w:p>
        </w:tc>
      </w:tr>
    </w:tbl>
    <w:p w14:paraId="79DA7A9C">
      <w:pPr>
        <w:spacing w:line="300" w:lineRule="auto"/>
        <w:rPr>
          <w:rFonts w:ascii="Times New Roman" w:hAnsi="Times New Roman"/>
          <w:highlight w:val="none"/>
        </w:rPr>
      </w:pPr>
    </w:p>
    <w:p w14:paraId="31F452C5">
      <w:pPr>
        <w:spacing w:line="300" w:lineRule="auto"/>
        <w:rPr>
          <w:rFonts w:ascii="Times New Roman" w:hAnsi="Times New Roman"/>
          <w:highlight w:val="none"/>
        </w:rPr>
      </w:pPr>
    </w:p>
    <w:tbl>
      <w:tblPr>
        <w:tblStyle w:val="39"/>
        <w:tblW w:w="0" w:type="auto"/>
        <w:jc w:val="center"/>
        <w:tblLayout w:type="fixed"/>
        <w:tblCellMar>
          <w:top w:w="0" w:type="dxa"/>
          <w:left w:w="108" w:type="dxa"/>
          <w:bottom w:w="0" w:type="dxa"/>
          <w:right w:w="108" w:type="dxa"/>
        </w:tblCellMar>
      </w:tblPr>
      <w:tblGrid>
        <w:gridCol w:w="435"/>
        <w:gridCol w:w="714"/>
        <w:gridCol w:w="1329"/>
        <w:gridCol w:w="8228"/>
        <w:gridCol w:w="2893"/>
      </w:tblGrid>
      <w:tr w14:paraId="7857D8CA">
        <w:trPr>
          <w:trHeight w:val="90" w:hRule="atLeast"/>
          <w:jc w:val="center"/>
        </w:trPr>
        <w:tc>
          <w:tcPr>
            <w:tcW w:w="13599" w:type="dxa"/>
            <w:gridSpan w:val="5"/>
            <w:tcBorders>
              <w:top w:val="single" w:color="auto" w:sz="4" w:space="0"/>
              <w:left w:val="single" w:color="auto" w:sz="4" w:space="0"/>
              <w:bottom w:val="single" w:color="auto" w:sz="4" w:space="0"/>
              <w:right w:val="single" w:color="auto" w:sz="4" w:space="0"/>
            </w:tcBorders>
            <w:vAlign w:val="center"/>
          </w:tcPr>
          <w:p w14:paraId="3A8A7E4D">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未预留份额采购项目</w:t>
            </w:r>
          </w:p>
        </w:tc>
      </w:tr>
      <w:tr w14:paraId="354E374D">
        <w:tblPrEx>
          <w:tblCellMar>
            <w:top w:w="0" w:type="dxa"/>
            <w:left w:w="108" w:type="dxa"/>
            <w:bottom w:w="0" w:type="dxa"/>
            <w:right w:w="108" w:type="dxa"/>
          </w:tblCellMar>
        </w:tblPrEx>
        <w:trPr>
          <w:trHeight w:val="525" w:hRule="atLeast"/>
          <w:jc w:val="center"/>
        </w:trPr>
        <w:tc>
          <w:tcPr>
            <w:tcW w:w="435" w:type="dxa"/>
            <w:tcBorders>
              <w:top w:val="single" w:color="auto" w:sz="4" w:space="0"/>
              <w:left w:val="single" w:color="auto" w:sz="4" w:space="0"/>
              <w:bottom w:val="single" w:color="auto" w:sz="4" w:space="0"/>
              <w:right w:val="single" w:color="auto" w:sz="4" w:space="0"/>
            </w:tcBorders>
            <w:vAlign w:val="center"/>
          </w:tcPr>
          <w:p w14:paraId="34E8B80C">
            <w:pPr>
              <w:keepNext w:val="0"/>
              <w:keepLines w:val="0"/>
              <w:widowControl/>
              <w:suppressLineNumbers w:val="0"/>
              <w:spacing w:before="0" w:beforeAutospacing="0" w:after="0" w:afterAutospacing="0" w:line="300" w:lineRule="auto"/>
              <w:ind w:left="0" w:right="0"/>
              <w:jc w:val="left"/>
              <w:rPr>
                <w:rFonts w:hint="eastAsia" w:ascii="宋体" w:hAnsi="宋体" w:cs="宋体"/>
                <w:kern w:val="0"/>
                <w:szCs w:val="21"/>
                <w:highlight w:val="none"/>
              </w:rPr>
            </w:pPr>
            <w:r>
              <w:rPr>
                <w:rFonts w:hint="eastAsia" w:ascii="宋体" w:hAnsi="宋体" w:cs="宋体"/>
                <w:b/>
                <w:bCs/>
                <w:kern w:val="0"/>
                <w:sz w:val="22"/>
                <w:highlight w:val="none"/>
              </w:rPr>
              <w:t>序号</w:t>
            </w:r>
          </w:p>
        </w:tc>
        <w:tc>
          <w:tcPr>
            <w:tcW w:w="714" w:type="dxa"/>
            <w:tcBorders>
              <w:top w:val="single" w:color="auto" w:sz="4" w:space="0"/>
              <w:left w:val="single" w:color="auto" w:sz="4" w:space="0"/>
              <w:bottom w:val="single" w:color="auto" w:sz="4" w:space="0"/>
              <w:right w:val="single" w:color="auto" w:sz="4" w:space="0"/>
            </w:tcBorders>
            <w:vAlign w:val="center"/>
          </w:tcPr>
          <w:p w14:paraId="6102F0C1">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资格条件</w:t>
            </w:r>
          </w:p>
        </w:tc>
        <w:tc>
          <w:tcPr>
            <w:tcW w:w="1329" w:type="dxa"/>
            <w:tcBorders>
              <w:top w:val="single" w:color="auto" w:sz="4" w:space="0"/>
              <w:left w:val="single" w:color="auto" w:sz="4" w:space="0"/>
              <w:bottom w:val="single" w:color="auto" w:sz="4" w:space="0"/>
              <w:right w:val="single" w:color="auto" w:sz="4" w:space="0"/>
            </w:tcBorders>
            <w:vAlign w:val="center"/>
          </w:tcPr>
          <w:p w14:paraId="28B2C790">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资格条件表述</w:t>
            </w:r>
          </w:p>
        </w:tc>
        <w:tc>
          <w:tcPr>
            <w:tcW w:w="8228" w:type="dxa"/>
            <w:tcBorders>
              <w:top w:val="single" w:color="auto" w:sz="4" w:space="0"/>
              <w:left w:val="single" w:color="auto" w:sz="4" w:space="0"/>
              <w:bottom w:val="single" w:color="auto" w:sz="4" w:space="0"/>
              <w:right w:val="single" w:color="auto" w:sz="4" w:space="0"/>
            </w:tcBorders>
            <w:vAlign w:val="center"/>
          </w:tcPr>
          <w:p w14:paraId="123A75A9">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评标优惠</w:t>
            </w:r>
          </w:p>
        </w:tc>
        <w:tc>
          <w:tcPr>
            <w:tcW w:w="2893" w:type="dxa"/>
            <w:tcBorders>
              <w:top w:val="single" w:color="auto" w:sz="4" w:space="0"/>
              <w:left w:val="single" w:color="auto" w:sz="4" w:space="0"/>
              <w:bottom w:val="single" w:color="auto" w:sz="4" w:space="0"/>
              <w:right w:val="single" w:color="auto" w:sz="4" w:space="0"/>
            </w:tcBorders>
            <w:vAlign w:val="center"/>
          </w:tcPr>
          <w:p w14:paraId="0846C54E">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行业适用性</w:t>
            </w:r>
          </w:p>
        </w:tc>
      </w:tr>
      <w:tr w14:paraId="42B2F801">
        <w:tblPrEx>
          <w:tblCellMar>
            <w:top w:w="0" w:type="dxa"/>
            <w:left w:w="108" w:type="dxa"/>
            <w:bottom w:w="0" w:type="dxa"/>
            <w:right w:w="108" w:type="dxa"/>
          </w:tblCellMar>
        </w:tblPrEx>
        <w:trPr>
          <w:trHeight w:val="590"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22C89D4A">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5</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3FB62B34">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不接受联合体</w:t>
            </w:r>
          </w:p>
        </w:tc>
        <w:tc>
          <w:tcPr>
            <w:tcW w:w="1329" w:type="dxa"/>
            <w:vMerge w:val="restart"/>
            <w:tcBorders>
              <w:top w:val="single" w:color="auto" w:sz="4" w:space="0"/>
              <w:left w:val="single" w:color="auto" w:sz="4" w:space="0"/>
              <w:right w:val="single" w:color="auto" w:sz="4" w:space="0"/>
            </w:tcBorders>
            <w:vAlign w:val="center"/>
          </w:tcPr>
          <w:p w14:paraId="611CC90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vAlign w:val="center"/>
          </w:tcPr>
          <w:p w14:paraId="5167774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tcBorders>
              <w:top w:val="nil"/>
              <w:left w:val="single" w:color="auto" w:sz="4" w:space="0"/>
              <w:bottom w:val="single" w:color="auto" w:sz="4" w:space="0"/>
              <w:right w:val="single" w:color="auto" w:sz="4" w:space="0"/>
            </w:tcBorders>
            <w:vAlign w:val="center"/>
          </w:tcPr>
          <w:p w14:paraId="76E7E2D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52DA1FC9">
        <w:tblPrEx>
          <w:tblCellMar>
            <w:top w:w="0" w:type="dxa"/>
            <w:left w:w="108" w:type="dxa"/>
            <w:bottom w:w="0" w:type="dxa"/>
            <w:right w:w="108" w:type="dxa"/>
          </w:tblCellMar>
        </w:tblPrEx>
        <w:trPr>
          <w:trHeight w:val="516"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0EC41510">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72ECFC2E">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bottom w:val="single" w:color="auto" w:sz="4" w:space="0"/>
              <w:right w:val="single" w:color="auto" w:sz="4" w:space="0"/>
            </w:tcBorders>
            <w:vAlign w:val="center"/>
          </w:tcPr>
          <w:p w14:paraId="10454801">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2683453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tcBorders>
              <w:top w:val="nil"/>
              <w:left w:val="nil"/>
              <w:bottom w:val="single" w:color="auto" w:sz="4" w:space="0"/>
              <w:right w:val="single" w:color="auto" w:sz="4" w:space="0"/>
            </w:tcBorders>
            <w:vAlign w:val="center"/>
          </w:tcPr>
          <w:p w14:paraId="6883C92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1F5FDA7F">
        <w:tblPrEx>
          <w:tblCellMar>
            <w:top w:w="0" w:type="dxa"/>
            <w:left w:w="108" w:type="dxa"/>
            <w:bottom w:w="0" w:type="dxa"/>
            <w:right w:w="108" w:type="dxa"/>
          </w:tblCellMar>
        </w:tblPrEx>
        <w:trPr>
          <w:trHeight w:val="544"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19D397B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6</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36081775">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不允许分包</w:t>
            </w:r>
          </w:p>
        </w:tc>
        <w:tc>
          <w:tcPr>
            <w:tcW w:w="1329" w:type="dxa"/>
            <w:vMerge w:val="restart"/>
            <w:tcBorders>
              <w:top w:val="nil"/>
              <w:left w:val="nil"/>
              <w:right w:val="single" w:color="auto" w:sz="4" w:space="0"/>
            </w:tcBorders>
            <w:vAlign w:val="center"/>
          </w:tcPr>
          <w:p w14:paraId="1B4D473F">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vAlign w:val="center"/>
          </w:tcPr>
          <w:p w14:paraId="6DEE080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tcBorders>
              <w:top w:val="nil"/>
              <w:left w:val="nil"/>
              <w:bottom w:val="single" w:color="auto" w:sz="4" w:space="0"/>
              <w:right w:val="single" w:color="auto" w:sz="4" w:space="0"/>
            </w:tcBorders>
            <w:vAlign w:val="center"/>
          </w:tcPr>
          <w:p w14:paraId="32A1688E">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590CFBD1">
        <w:tblPrEx>
          <w:tblCellMar>
            <w:top w:w="0" w:type="dxa"/>
            <w:left w:w="108" w:type="dxa"/>
            <w:bottom w:w="0" w:type="dxa"/>
            <w:right w:w="108" w:type="dxa"/>
          </w:tblCellMar>
        </w:tblPrEx>
        <w:trPr>
          <w:trHeight w:val="305"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19529E0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1625A950">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bottom w:val="single" w:color="auto" w:sz="4" w:space="0"/>
              <w:right w:val="single" w:color="auto" w:sz="4" w:space="0"/>
            </w:tcBorders>
            <w:vAlign w:val="center"/>
          </w:tcPr>
          <w:p w14:paraId="0EF36F73">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5F61F89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tcBorders>
              <w:top w:val="nil"/>
              <w:left w:val="nil"/>
              <w:bottom w:val="single" w:color="auto" w:sz="4" w:space="0"/>
              <w:right w:val="single" w:color="auto" w:sz="4" w:space="0"/>
            </w:tcBorders>
            <w:vAlign w:val="center"/>
          </w:tcPr>
          <w:p w14:paraId="39F7362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1F80F798">
        <w:tblPrEx>
          <w:tblCellMar>
            <w:top w:w="0" w:type="dxa"/>
            <w:left w:w="108" w:type="dxa"/>
            <w:bottom w:w="0" w:type="dxa"/>
            <w:right w:w="108" w:type="dxa"/>
          </w:tblCellMar>
        </w:tblPrEx>
        <w:trPr>
          <w:trHeight w:val="555" w:hRule="atLeast"/>
          <w:jc w:val="center"/>
        </w:trPr>
        <w:tc>
          <w:tcPr>
            <w:tcW w:w="435" w:type="dxa"/>
            <w:vMerge w:val="restart"/>
            <w:tcBorders>
              <w:top w:val="single" w:color="auto" w:sz="4" w:space="0"/>
              <w:left w:val="single" w:color="auto" w:sz="4" w:space="0"/>
              <w:right w:val="single" w:color="auto" w:sz="4" w:space="0"/>
            </w:tcBorders>
            <w:vAlign w:val="center"/>
          </w:tcPr>
          <w:p w14:paraId="120EB7A8">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7</w:t>
            </w:r>
          </w:p>
        </w:tc>
        <w:tc>
          <w:tcPr>
            <w:tcW w:w="714" w:type="dxa"/>
            <w:vMerge w:val="restart"/>
            <w:tcBorders>
              <w:top w:val="single" w:color="auto" w:sz="4" w:space="0"/>
              <w:left w:val="single" w:color="auto" w:sz="4" w:space="0"/>
              <w:right w:val="single" w:color="auto" w:sz="4" w:space="0"/>
            </w:tcBorders>
            <w:vAlign w:val="center"/>
          </w:tcPr>
          <w:p w14:paraId="5CB14A6A">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接受联合体</w:t>
            </w:r>
          </w:p>
        </w:tc>
        <w:tc>
          <w:tcPr>
            <w:tcW w:w="1329" w:type="dxa"/>
            <w:vMerge w:val="restart"/>
            <w:tcBorders>
              <w:top w:val="single" w:color="auto" w:sz="4" w:space="0"/>
              <w:left w:val="single" w:color="auto" w:sz="4" w:space="0"/>
              <w:right w:val="single" w:color="auto" w:sz="4" w:space="0"/>
            </w:tcBorders>
            <w:vAlign w:val="center"/>
          </w:tcPr>
          <w:p w14:paraId="2E2E6A15">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vAlign w:val="center"/>
          </w:tcPr>
          <w:p w14:paraId="26991CC1">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经评审的最低投标报价法：未以联合体形式参加的，对小微企业的报价给予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vAlign w:val="center"/>
          </w:tcPr>
          <w:p w14:paraId="5BFAE8A3">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总承包企业之间或专业承包企业之间组成联合体，不应当是总承包企业与专业承包企业或劳务分包企业组成联合体。</w:t>
            </w:r>
          </w:p>
          <w:p w14:paraId="49EA4172">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适用于涉及多个总承包资质或专业承包资质的项目。</w:t>
            </w:r>
          </w:p>
        </w:tc>
      </w:tr>
      <w:tr w14:paraId="0CB22F61">
        <w:tblPrEx>
          <w:tblCellMar>
            <w:top w:w="0" w:type="dxa"/>
            <w:left w:w="108" w:type="dxa"/>
            <w:bottom w:w="0" w:type="dxa"/>
            <w:right w:w="108" w:type="dxa"/>
          </w:tblCellMar>
        </w:tblPrEx>
        <w:trPr>
          <w:trHeight w:val="555" w:hRule="atLeast"/>
          <w:jc w:val="center"/>
        </w:trPr>
        <w:tc>
          <w:tcPr>
            <w:tcW w:w="435" w:type="dxa"/>
            <w:vMerge w:val="continue"/>
            <w:tcBorders>
              <w:left w:val="single" w:color="auto" w:sz="4" w:space="0"/>
              <w:right w:val="single" w:color="auto" w:sz="4" w:space="0"/>
            </w:tcBorders>
            <w:vAlign w:val="center"/>
          </w:tcPr>
          <w:p w14:paraId="788677C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682AAFBC">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1329" w:type="dxa"/>
            <w:vMerge w:val="continue"/>
            <w:tcBorders>
              <w:left w:val="single" w:color="auto" w:sz="4" w:space="0"/>
              <w:right w:val="single" w:color="auto" w:sz="4" w:space="0"/>
            </w:tcBorders>
            <w:vAlign w:val="center"/>
          </w:tcPr>
          <w:p w14:paraId="423D9DEA">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single" w:color="auto" w:sz="4" w:space="0"/>
              <w:left w:val="nil"/>
              <w:bottom w:val="single" w:color="auto" w:sz="4" w:space="0"/>
              <w:right w:val="single" w:color="auto" w:sz="4" w:space="0"/>
            </w:tcBorders>
            <w:vAlign w:val="center"/>
          </w:tcPr>
          <w:p w14:paraId="36B3A3E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采用综合评估法但未采用低价优先法计算价格分的：评标时对小微企业（联合体各方均为小微企业的，联合体视同小微企业）原报价进行评分的基础上增加其价格得分的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28D9A9A3">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72DB732D">
        <w:tblPrEx>
          <w:tblCellMar>
            <w:top w:w="0" w:type="dxa"/>
            <w:left w:w="108" w:type="dxa"/>
            <w:bottom w:w="0" w:type="dxa"/>
            <w:right w:w="108" w:type="dxa"/>
          </w:tblCellMar>
        </w:tblPrEx>
        <w:trPr>
          <w:trHeight w:val="583" w:hRule="atLeast"/>
          <w:jc w:val="center"/>
        </w:trPr>
        <w:tc>
          <w:tcPr>
            <w:tcW w:w="435" w:type="dxa"/>
            <w:vMerge w:val="continue"/>
            <w:tcBorders>
              <w:left w:val="single" w:color="auto" w:sz="4" w:space="0"/>
              <w:right w:val="single" w:color="auto" w:sz="4" w:space="0"/>
            </w:tcBorders>
            <w:vAlign w:val="center"/>
          </w:tcPr>
          <w:p w14:paraId="6F1681A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4422DDB0">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right w:val="single" w:color="auto" w:sz="4" w:space="0"/>
            </w:tcBorders>
            <w:vAlign w:val="center"/>
          </w:tcPr>
          <w:p w14:paraId="3E371912">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2D8EB780">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经评审的最低投标报价法：联合体协议约定小微企业的合同份额占合同总金额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以上，对联合的报价给予</w:t>
            </w:r>
            <w:r>
              <w:rPr>
                <w:rFonts w:ascii="宋体" w:hAnsi="宋体" w:cs="宋体"/>
                <w:kern w:val="0"/>
                <w:szCs w:val="21"/>
                <w:highlight w:val="none"/>
              </w:rPr>
              <w:t>1%-2%</w:t>
            </w:r>
            <w:r>
              <w:rPr>
                <w:rFonts w:hint="eastAsia" w:ascii="宋体" w:hAnsi="宋体" w:cs="宋体"/>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vAlign w:val="center"/>
          </w:tcPr>
          <w:p w14:paraId="2627688A">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409753FA">
        <w:tblPrEx>
          <w:tblCellMar>
            <w:top w:w="0" w:type="dxa"/>
            <w:left w:w="108" w:type="dxa"/>
            <w:bottom w:w="0" w:type="dxa"/>
            <w:right w:w="108" w:type="dxa"/>
          </w:tblCellMar>
        </w:tblPrEx>
        <w:trPr>
          <w:trHeight w:val="868" w:hRule="atLeast"/>
          <w:jc w:val="center"/>
        </w:trPr>
        <w:tc>
          <w:tcPr>
            <w:tcW w:w="435" w:type="dxa"/>
            <w:vMerge w:val="continue"/>
            <w:tcBorders>
              <w:left w:val="single" w:color="auto" w:sz="4" w:space="0"/>
              <w:bottom w:val="single" w:color="auto" w:sz="4" w:space="0"/>
              <w:right w:val="single" w:color="auto" w:sz="4" w:space="0"/>
            </w:tcBorders>
            <w:vAlign w:val="center"/>
          </w:tcPr>
          <w:p w14:paraId="15861C9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left w:val="single" w:color="auto" w:sz="4" w:space="0"/>
              <w:bottom w:val="single" w:color="auto" w:sz="4" w:space="0"/>
              <w:right w:val="single" w:color="auto" w:sz="4" w:space="0"/>
            </w:tcBorders>
            <w:vAlign w:val="center"/>
          </w:tcPr>
          <w:p w14:paraId="0BC3250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bottom w:val="single" w:color="auto" w:sz="4" w:space="0"/>
              <w:right w:val="single" w:color="auto" w:sz="4" w:space="0"/>
            </w:tcBorders>
            <w:vAlign w:val="center"/>
          </w:tcPr>
          <w:p w14:paraId="788F1C43">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5BD571F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采用综合评估法但未采用低价优先法计算价格分的：联合体协议约定小微企业的合同份额占合同总金额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以上，评标时在原报价进行评分的基础上增加其价格得分的</w:t>
            </w:r>
            <w:r>
              <w:rPr>
                <w:rFonts w:ascii="宋体" w:hAnsi="宋体" w:cs="宋体"/>
                <w:kern w:val="0"/>
                <w:szCs w:val="21"/>
                <w:highlight w:val="none"/>
              </w:rPr>
              <w:t>1%-2%</w:t>
            </w:r>
            <w:r>
              <w:rPr>
                <w:rFonts w:hint="eastAsia" w:ascii="宋体" w:hAnsi="宋体" w:cs="宋体"/>
                <w:kern w:val="0"/>
                <w:szCs w:val="21"/>
                <w:highlight w:val="none"/>
              </w:rPr>
              <w:t>作为其价格分。</w:t>
            </w:r>
          </w:p>
        </w:tc>
        <w:tc>
          <w:tcPr>
            <w:tcW w:w="2893" w:type="dxa"/>
            <w:tcBorders>
              <w:top w:val="single" w:color="auto" w:sz="4" w:space="0"/>
              <w:left w:val="nil"/>
              <w:bottom w:val="single" w:color="auto" w:sz="4" w:space="0"/>
              <w:right w:val="single" w:color="auto" w:sz="4" w:space="0"/>
            </w:tcBorders>
            <w:vAlign w:val="center"/>
          </w:tcPr>
          <w:p w14:paraId="1FB98BC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07C7FCC3">
        <w:tblPrEx>
          <w:tblCellMar>
            <w:top w:w="0" w:type="dxa"/>
            <w:left w:w="108" w:type="dxa"/>
            <w:bottom w:w="0" w:type="dxa"/>
            <w:right w:w="108" w:type="dxa"/>
          </w:tblCellMar>
        </w:tblPrEx>
        <w:trPr>
          <w:trHeight w:val="630"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3C04A3A9">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8</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105591B1">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允许分包</w:t>
            </w:r>
          </w:p>
        </w:tc>
        <w:tc>
          <w:tcPr>
            <w:tcW w:w="1329" w:type="dxa"/>
            <w:vMerge w:val="restart"/>
            <w:tcBorders>
              <w:top w:val="nil"/>
              <w:left w:val="nil"/>
              <w:right w:val="single" w:color="auto" w:sz="4" w:space="0"/>
            </w:tcBorders>
            <w:vAlign w:val="center"/>
          </w:tcPr>
          <w:p w14:paraId="33D6327C">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vAlign w:val="center"/>
          </w:tcPr>
          <w:p w14:paraId="6829737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经评审的最低投标报价法：未进行合同分包的，对小微企业的报价给予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vAlign w:val="center"/>
          </w:tcPr>
          <w:p w14:paraId="65A13CE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施工总承包企业分包给专业承包企业或劳务分包企业；</w:t>
            </w:r>
          </w:p>
          <w:p w14:paraId="1115BC2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专业承包企业分包给劳务分包企业。</w:t>
            </w:r>
          </w:p>
          <w:p w14:paraId="781A5ED8">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适用于施工总承包发包或专业工程发包的项目。</w:t>
            </w:r>
          </w:p>
        </w:tc>
      </w:tr>
      <w:tr w14:paraId="18999927">
        <w:tblPrEx>
          <w:tblCellMar>
            <w:top w:w="0" w:type="dxa"/>
            <w:left w:w="108" w:type="dxa"/>
            <w:bottom w:w="0" w:type="dxa"/>
            <w:right w:w="108" w:type="dxa"/>
          </w:tblCellMar>
        </w:tblPrEx>
        <w:trPr>
          <w:trHeight w:val="630" w:hRule="atLeast"/>
          <w:jc w:val="center"/>
        </w:trPr>
        <w:tc>
          <w:tcPr>
            <w:tcW w:w="435" w:type="dxa"/>
            <w:vMerge w:val="continue"/>
            <w:tcBorders>
              <w:left w:val="single" w:color="auto" w:sz="4" w:space="0"/>
              <w:right w:val="single" w:color="auto" w:sz="4" w:space="0"/>
            </w:tcBorders>
            <w:vAlign w:val="center"/>
          </w:tcPr>
          <w:p w14:paraId="612DAC96">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633DC97E">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1329" w:type="dxa"/>
            <w:vMerge w:val="continue"/>
            <w:tcBorders>
              <w:left w:val="nil"/>
              <w:right w:val="single" w:color="auto" w:sz="4" w:space="0"/>
            </w:tcBorders>
            <w:vAlign w:val="center"/>
          </w:tcPr>
          <w:p w14:paraId="5EFBE175">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0B8B327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6C38C4F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6BE189F9">
        <w:tblPrEx>
          <w:tblCellMar>
            <w:top w:w="0" w:type="dxa"/>
            <w:left w:w="108" w:type="dxa"/>
            <w:bottom w:w="0" w:type="dxa"/>
            <w:right w:w="108" w:type="dxa"/>
          </w:tblCellMar>
        </w:tblPrEx>
        <w:trPr>
          <w:trHeight w:val="461"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37AA2D3A">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73490D96">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right w:val="single" w:color="auto" w:sz="4" w:space="0"/>
            </w:tcBorders>
            <w:vAlign w:val="center"/>
          </w:tcPr>
          <w:p w14:paraId="1470B26A">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20C9739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经评审的最低投标报价法：分包意向协议约定小微企业的合同份额占合同总金额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以上，对大中型企业报价给予</w:t>
            </w:r>
            <w:r>
              <w:rPr>
                <w:rFonts w:ascii="宋体" w:hAnsi="宋体" w:cs="宋体"/>
                <w:kern w:val="0"/>
                <w:szCs w:val="21"/>
                <w:highlight w:val="none"/>
              </w:rPr>
              <w:t>1%-2%</w:t>
            </w:r>
            <w:r>
              <w:rPr>
                <w:rFonts w:hint="eastAsia" w:ascii="宋体" w:hAnsi="宋体" w:cs="宋体"/>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vAlign w:val="center"/>
          </w:tcPr>
          <w:p w14:paraId="2D284FA2">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04FF84AF">
        <w:tblPrEx>
          <w:tblCellMar>
            <w:top w:w="0" w:type="dxa"/>
            <w:left w:w="108" w:type="dxa"/>
            <w:bottom w:w="0" w:type="dxa"/>
            <w:right w:w="108" w:type="dxa"/>
          </w:tblCellMar>
        </w:tblPrEx>
        <w:trPr>
          <w:trHeight w:val="742"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0A4CB3E6">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56992407">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bottom w:val="single" w:color="auto" w:sz="4" w:space="0"/>
              <w:right w:val="single" w:color="auto" w:sz="4" w:space="0"/>
            </w:tcBorders>
            <w:vAlign w:val="center"/>
          </w:tcPr>
          <w:p w14:paraId="3E1295A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458FC6B6">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采用综合评估法但未采用低价优先法计算价格分的：分包意向协议约定小微企业的合同份额占合同总金额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以上，评标时在原报价进行评分的基础上增加其价格得分的</w:t>
            </w:r>
            <w:r>
              <w:rPr>
                <w:rFonts w:ascii="宋体" w:hAnsi="宋体" w:cs="宋体"/>
                <w:kern w:val="0"/>
                <w:szCs w:val="21"/>
                <w:highlight w:val="none"/>
              </w:rPr>
              <w:t>1%-2%</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1417516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bl>
    <w:p w14:paraId="32DE52D3">
      <w:pPr>
        <w:rPr>
          <w:highlight w:val="none"/>
        </w:rPr>
        <w:sectPr>
          <w:pgSz w:w="16838" w:h="11906" w:orient="landscape"/>
          <w:pgMar w:top="1803" w:right="1440" w:bottom="1803" w:left="1440" w:header="851" w:footer="992" w:gutter="0"/>
          <w:cols w:space="720" w:num="1"/>
          <w:docGrid w:type="lines" w:linePitch="319" w:charSpace="0"/>
        </w:sectPr>
      </w:pPr>
    </w:p>
    <w:p w14:paraId="4295B14D">
      <w:pPr>
        <w:pStyle w:val="117"/>
        <w:rPr>
          <w:color w:val="auto"/>
          <w:highlight w:val="none"/>
        </w:rPr>
      </w:pPr>
      <w:bookmarkStart w:id="1392" w:name="_Toc19514"/>
      <w:r>
        <w:rPr>
          <w:rFonts w:hint="eastAsia"/>
          <w:color w:val="auto"/>
          <w:highlight w:val="none"/>
        </w:rPr>
        <w:t>第三章 评标办法（经评审的最低投标价法）</w:t>
      </w:r>
      <w:bookmarkEnd w:id="1309"/>
      <w:bookmarkEnd w:id="1372"/>
      <w:bookmarkEnd w:id="1373"/>
      <w:bookmarkEnd w:id="1374"/>
      <w:bookmarkEnd w:id="1375"/>
      <w:bookmarkEnd w:id="1376"/>
      <w:bookmarkEnd w:id="1377"/>
      <w:bookmarkEnd w:id="1392"/>
    </w:p>
    <w:p w14:paraId="0E0FFEB4">
      <w:pPr>
        <w:spacing w:line="400" w:lineRule="exact"/>
        <w:rPr>
          <w:color w:val="auto"/>
          <w:highlight w:val="none"/>
        </w:rPr>
      </w:pPr>
    </w:p>
    <w:p w14:paraId="064FCC32">
      <w:pPr>
        <w:pStyle w:val="119"/>
        <w:rPr>
          <w:color w:val="auto"/>
          <w:highlight w:val="none"/>
        </w:rPr>
      </w:pPr>
      <w:bookmarkStart w:id="1393" w:name="_Toc23494"/>
      <w:bookmarkStart w:id="1394" w:name="_Toc7442"/>
      <w:bookmarkStart w:id="1395" w:name="_Toc21108"/>
      <w:bookmarkStart w:id="1396" w:name="_Toc3563"/>
      <w:bookmarkStart w:id="1397" w:name="_Toc25029_WPSOffice_Level2"/>
      <w:bookmarkStart w:id="1398" w:name="_Toc25979"/>
      <w:bookmarkStart w:id="1399" w:name="_Toc519085358"/>
      <w:bookmarkStart w:id="1400" w:name="_Toc15023"/>
      <w:r>
        <w:rPr>
          <w:rFonts w:hint="eastAsia"/>
          <w:color w:val="auto"/>
          <w:highlight w:val="none"/>
        </w:rPr>
        <w:t>评标办法前附表</w:t>
      </w:r>
      <w:bookmarkEnd w:id="1393"/>
      <w:bookmarkEnd w:id="1394"/>
      <w:bookmarkEnd w:id="1395"/>
      <w:bookmarkEnd w:id="1396"/>
      <w:bookmarkEnd w:id="1397"/>
      <w:bookmarkEnd w:id="1398"/>
      <w:bookmarkEnd w:id="1399"/>
      <w:bookmarkEnd w:id="1400"/>
    </w:p>
    <w:tbl>
      <w:tblPr>
        <w:tblStyle w:val="39"/>
        <w:tblW w:w="2173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4"/>
        <w:gridCol w:w="1056"/>
        <w:gridCol w:w="2708"/>
        <w:gridCol w:w="109"/>
        <w:gridCol w:w="4682"/>
        <w:gridCol w:w="4529"/>
        <w:gridCol w:w="3960"/>
        <w:gridCol w:w="3956"/>
      </w:tblGrid>
      <w:tr w14:paraId="5BBFA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1790" w:type="dxa"/>
            <w:gridSpan w:val="2"/>
            <w:tcBorders>
              <w:top w:val="single" w:color="auto" w:sz="4" w:space="0"/>
              <w:bottom w:val="single" w:color="auto" w:sz="4" w:space="0"/>
              <w:right w:val="single" w:color="auto" w:sz="4" w:space="0"/>
            </w:tcBorders>
            <w:noWrap w:val="0"/>
            <w:vAlign w:val="center"/>
          </w:tcPr>
          <w:p w14:paraId="4B3A5E6A">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color w:val="auto"/>
                <w:highlight w:val="none"/>
              </w:rPr>
              <w:t xml:space="preserve">  </w:t>
            </w:r>
            <w:r>
              <w:rPr>
                <w:rFonts w:ascii="Calibri" w:hAnsi="Calibri" w:eastAsia="宋体" w:cs="Times New Roman"/>
                <w:b/>
                <w:color w:val="auto"/>
                <w:szCs w:val="21"/>
                <w:highlight w:val="none"/>
              </w:rPr>
              <w:t>条款号</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2BB00F84">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评审因素</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0768E20">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评审标准</w:t>
            </w:r>
          </w:p>
        </w:tc>
      </w:tr>
      <w:tr w14:paraId="0A2BA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bottom w:val="single" w:color="auto" w:sz="4" w:space="0"/>
              <w:right w:val="single" w:color="auto" w:sz="4" w:space="0"/>
            </w:tcBorders>
            <w:noWrap w:val="0"/>
            <w:vAlign w:val="center"/>
          </w:tcPr>
          <w:p w14:paraId="525EFCD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2.1.1</w:t>
            </w:r>
          </w:p>
        </w:tc>
        <w:tc>
          <w:tcPr>
            <w:tcW w:w="1056" w:type="dxa"/>
            <w:vMerge w:val="restart"/>
            <w:tcBorders>
              <w:top w:val="single" w:color="auto" w:sz="4" w:space="0"/>
              <w:bottom w:val="single" w:color="auto" w:sz="4" w:space="0"/>
              <w:right w:val="single" w:color="auto" w:sz="4" w:space="0"/>
            </w:tcBorders>
            <w:noWrap w:val="0"/>
            <w:vAlign w:val="center"/>
          </w:tcPr>
          <w:p w14:paraId="6578DF1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形式</w:t>
            </w:r>
          </w:p>
          <w:p w14:paraId="3028E26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140BB9D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9A4336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4BAB38F">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投标文件能正常</w:t>
            </w:r>
            <w:r>
              <w:rPr>
                <w:rFonts w:ascii="Calibri" w:hAnsi="Calibri" w:eastAsia="宋体" w:cs="Times New Roman"/>
                <w:color w:val="auto"/>
                <w:highlight w:val="none"/>
              </w:rPr>
              <w:t>打开</w:t>
            </w:r>
          </w:p>
        </w:tc>
      </w:tr>
      <w:tr w14:paraId="505CA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0BF1F09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5D47C8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350B44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954C16A">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与营业执照、资质证书、安全生产许可证（如有）一致</w:t>
            </w:r>
          </w:p>
        </w:tc>
      </w:tr>
      <w:tr w14:paraId="0DF1D5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2B581F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58E8416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8DE9C0E">
            <w:pPr>
              <w:keepNext w:val="0"/>
              <w:keepLines w:val="0"/>
              <w:suppressLineNumbers w:val="0"/>
              <w:adjustRightInd w:val="0"/>
              <w:spacing w:before="95" w:beforeLines="3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1FF70EE">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r>
      <w:tr w14:paraId="18EE0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47CFBAD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27AC2EE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C69FEDA">
            <w:pPr>
              <w:keepNext w:val="0"/>
              <w:keepLines w:val="0"/>
              <w:suppressLineNumbers w:val="0"/>
              <w:snapToGrid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投标文件格式、内容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D2CC88C">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r>
      <w:tr w14:paraId="70795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0A42774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7919B87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AD9E5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联合体投标人（如有）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68151B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提交联合体协议书，并明确联合体牵头人</w:t>
            </w:r>
          </w:p>
        </w:tc>
      </w:tr>
      <w:tr w14:paraId="29B24D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6036764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43281AE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2267C95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报价唯一</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497905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只能有一个有效报价</w:t>
            </w:r>
          </w:p>
        </w:tc>
      </w:tr>
      <w:tr w14:paraId="3B37F0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63C9EC8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2AD11A7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BBD8EC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多标段投标</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DE7C908">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符合第二章“投标人须知”第</w:t>
            </w:r>
            <w:r>
              <w:rPr>
                <w:rFonts w:ascii="Calibri" w:hAnsi="Calibri" w:eastAsia="宋体" w:cs="Times New Roman"/>
                <w:color w:val="auto"/>
                <w:szCs w:val="21"/>
                <w:highlight w:val="none"/>
              </w:rPr>
              <w:t>10.1</w:t>
            </w:r>
            <w:r>
              <w:rPr>
                <w:rFonts w:hint="eastAsia" w:ascii="Calibri" w:hAnsi="Calibri" w:eastAsia="宋体" w:cs="Times New Roman"/>
                <w:color w:val="auto"/>
                <w:szCs w:val="21"/>
                <w:highlight w:val="none"/>
              </w:rPr>
              <w:t>款规定</w:t>
            </w:r>
          </w:p>
        </w:tc>
      </w:tr>
      <w:tr w14:paraId="417582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4AFAF2E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056" w:type="dxa"/>
            <w:vMerge w:val="restart"/>
            <w:tcBorders>
              <w:top w:val="single" w:color="auto" w:sz="4" w:space="0"/>
              <w:right w:val="single" w:color="auto" w:sz="4" w:space="0"/>
            </w:tcBorders>
            <w:noWrap w:val="0"/>
            <w:vAlign w:val="center"/>
          </w:tcPr>
          <w:p w14:paraId="095B2C76">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w:t>
            </w:r>
          </w:p>
          <w:p w14:paraId="22839720">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评审</w:t>
            </w:r>
          </w:p>
          <w:p w14:paraId="7D583D60">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标准</w:t>
            </w:r>
          </w:p>
          <w:p w14:paraId="1EDA7927">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﹙后审﹚</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09566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9B5C900">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具备有效的营业执照</w:t>
            </w:r>
          </w:p>
        </w:tc>
      </w:tr>
      <w:tr w14:paraId="1DCC25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1B6B145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7FE052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B95150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资质等级</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364B32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157D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48B6E13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D437FF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A4E56D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财务状况</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4DE6FF3">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5A06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5D8702D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070D3C3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AF75CB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类似业绩</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1F4E7C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4B647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1FD4B9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9ABE9F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FB5F45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E759F8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785B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0A541F6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3D23926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DDB001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w:t>
            </w:r>
            <w:r>
              <w:rPr>
                <w:rFonts w:hint="eastAsia" w:ascii="Calibri" w:hAnsi="Calibri" w:eastAsia="宋体" w:cs="Times New Roman"/>
                <w:color w:val="auto"/>
                <w:kern w:val="0"/>
                <w:highlight w:val="none"/>
              </w:rPr>
              <w:t>资格</w:t>
            </w:r>
            <w:r>
              <w:rPr>
                <w:rFonts w:hint="eastAsia" w:ascii="Calibri" w:hAnsi="Calibri" w:eastAsia="宋体" w:cs="Times New Roman"/>
                <w:color w:val="auto"/>
                <w:szCs w:val="21"/>
                <w:highlight w:val="none"/>
              </w:rPr>
              <w:t xml:space="preserve"> </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C54212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49B2E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D39361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30A6E6B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29B7538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设计负责人</w:t>
            </w:r>
            <w:r>
              <w:rPr>
                <w:rFonts w:hint="eastAsia" w:ascii="Calibri" w:hAnsi="Calibri" w:eastAsia="宋体" w:cs="Times New Roman"/>
                <w:color w:val="auto"/>
                <w:kern w:val="0"/>
                <w:highlight w:val="none"/>
              </w:rPr>
              <w:t>资格</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9986808">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04CCC5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A01B41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46F1074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49E718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施工负责人</w:t>
            </w:r>
            <w:r>
              <w:rPr>
                <w:rFonts w:hint="eastAsia" w:ascii="Calibri" w:hAnsi="Calibri" w:eastAsia="宋体" w:cs="Times New Roman"/>
                <w:color w:val="auto"/>
                <w:kern w:val="0"/>
                <w:highlight w:val="none"/>
              </w:rPr>
              <w:t>资格</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8E311C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429641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3FF28E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326EFA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3F0C10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施工机械设备</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829B27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7A30D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01B3E68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009B3B7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118245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项目管理机构及人员</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C3C873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20250F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63923D6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18EBA7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5CCCA1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其他要求</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716D4430">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68B74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89B587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12B1B57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5A5B53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w:t>
            </w:r>
            <w:r>
              <w:rPr>
                <w:rFonts w:hint="eastAsia" w:ascii="Calibri" w:hAnsi="Calibri" w:eastAsia="宋体" w:cs="Times New Roman"/>
                <w:color w:val="auto"/>
                <w:szCs w:val="21"/>
                <w:highlight w:val="none"/>
              </w:rPr>
              <w:t>（如有）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E940F5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符合第二章“投标人须知”第1.4.2项规定</w:t>
            </w:r>
          </w:p>
        </w:tc>
      </w:tr>
      <w:tr w14:paraId="1A2FA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732" w:hRule="atLeast"/>
        </w:trPr>
        <w:tc>
          <w:tcPr>
            <w:tcW w:w="734" w:type="dxa"/>
            <w:vMerge w:val="continue"/>
            <w:tcBorders>
              <w:bottom w:val="single" w:color="auto" w:sz="4" w:space="0"/>
              <w:right w:val="single" w:color="auto" w:sz="4" w:space="0"/>
            </w:tcBorders>
            <w:noWrap w:val="0"/>
            <w:vAlign w:val="center"/>
          </w:tcPr>
          <w:p w14:paraId="06092EA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center"/>
          </w:tcPr>
          <w:p w14:paraId="6E3FAF3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right w:val="single" w:color="auto" w:sz="4" w:space="0"/>
            </w:tcBorders>
            <w:noWrap w:val="0"/>
            <w:vAlign w:val="center"/>
          </w:tcPr>
          <w:p w14:paraId="2DE15FAC">
            <w:pPr>
              <w:keepNext w:val="0"/>
              <w:keepLines w:val="0"/>
              <w:suppressLineNumbers w:val="0"/>
              <w:autoSpaceDE w:val="0"/>
              <w:autoSpaceDN w:val="0"/>
              <w:adjustRightInd w:val="0"/>
              <w:spacing w:before="0" w:beforeAutospacing="0" w:after="0" w:afterAutospacing="0" w:line="360" w:lineRule="auto"/>
              <w:ind w:left="0" w:right="0"/>
              <w:rPr>
                <w:rFonts w:ascii="宋体" w:hAnsi="宋体" w:eastAsia="宋体" w:cs="Times New Roman"/>
                <w:color w:val="auto"/>
                <w:szCs w:val="21"/>
                <w:highlight w:val="none"/>
              </w:rPr>
            </w:pPr>
            <w:r>
              <w:rPr>
                <w:rFonts w:hint="eastAsia" w:ascii="Calibri" w:hAnsi="Calibri" w:eastAsia="宋体" w:cs="Times New Roman"/>
                <w:color w:val="auto"/>
                <w:highlight w:val="none"/>
              </w:rPr>
              <w:t>不存在禁止投标的情形</w:t>
            </w:r>
          </w:p>
        </w:tc>
        <w:tc>
          <w:tcPr>
            <w:tcW w:w="4682" w:type="dxa"/>
            <w:tcBorders>
              <w:top w:val="single" w:color="auto" w:sz="4" w:space="0"/>
              <w:left w:val="single" w:color="auto" w:sz="4" w:space="0"/>
              <w:right w:val="single" w:color="auto" w:sz="4" w:space="0"/>
            </w:tcBorders>
            <w:noWrap w:val="0"/>
            <w:vAlign w:val="center"/>
          </w:tcPr>
          <w:p w14:paraId="3D4118B9">
            <w:pPr>
              <w:keepNext w:val="0"/>
              <w:keepLines w:val="0"/>
              <w:suppressLineNumbers w:val="0"/>
              <w:snapToGrid w:val="0"/>
              <w:spacing w:before="0" w:beforeAutospacing="0" w:after="0" w:afterAutospacing="0"/>
              <w:ind w:left="0" w:right="0"/>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不存在第二章“投标人须知”第</w:t>
            </w:r>
            <w:r>
              <w:rPr>
                <w:rFonts w:ascii="Calibri" w:hAnsi="Calibri" w:eastAsia="宋体" w:cs="Times New Roman"/>
                <w:color w:val="auto"/>
                <w:szCs w:val="21"/>
                <w:highlight w:val="none"/>
              </w:rPr>
              <w:t>1.4.3</w:t>
            </w:r>
            <w:r>
              <w:rPr>
                <w:rFonts w:hint="eastAsia" w:ascii="Calibri" w:hAnsi="Calibri" w:eastAsia="宋体" w:cs="Times New Roman"/>
                <w:color w:val="auto"/>
                <w:szCs w:val="21"/>
                <w:highlight w:val="none"/>
              </w:rPr>
              <w:t>项规定的任何一种情形</w:t>
            </w:r>
          </w:p>
        </w:tc>
      </w:tr>
      <w:tr w14:paraId="5AA269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tcBorders>
              <w:top w:val="single" w:color="auto" w:sz="4" w:space="0"/>
              <w:bottom w:val="single" w:color="auto" w:sz="4" w:space="0"/>
              <w:right w:val="single" w:color="auto" w:sz="4" w:space="0"/>
            </w:tcBorders>
            <w:noWrap w:val="0"/>
            <w:vAlign w:val="center"/>
          </w:tcPr>
          <w:p w14:paraId="372D0BEB">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056" w:type="dxa"/>
            <w:tcBorders>
              <w:top w:val="single" w:color="auto" w:sz="4" w:space="0"/>
              <w:bottom w:val="single" w:color="auto" w:sz="4" w:space="0"/>
              <w:right w:val="single" w:color="auto" w:sz="4" w:space="0"/>
            </w:tcBorders>
            <w:noWrap w:val="0"/>
            <w:vAlign w:val="center"/>
          </w:tcPr>
          <w:p w14:paraId="5A36D7C1">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资格评</w:t>
            </w:r>
          </w:p>
          <w:p w14:paraId="66738B1C">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审标准</w:t>
            </w:r>
          </w:p>
          <w:p w14:paraId="59BB5906">
            <w:pPr>
              <w:keepNext w:val="0"/>
              <w:keepLines w:val="0"/>
              <w:suppressLineNumbers w:val="0"/>
              <w:autoSpaceDE w:val="0"/>
              <w:autoSpaceDN w:val="0"/>
              <w:adjustRightInd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宋体" w:hAnsi="宋体" w:eastAsia="宋体" w:cs="Times New Roman"/>
                <w:color w:val="auto"/>
                <w:szCs w:val="21"/>
                <w:highlight w:val="none"/>
              </w:rPr>
              <w:t>（预审）</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C705BE6">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见本项目资格预审文件第三章“资格审查办法”</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D47A03A">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满足本项目资格预审文件第三章“资格审查办法”的审查标准并且不影响本次招标的公正性。</w:t>
            </w:r>
          </w:p>
        </w:tc>
      </w:tr>
      <w:tr w14:paraId="4C656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2A727A99">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2.1.3</w:t>
            </w:r>
          </w:p>
        </w:tc>
        <w:tc>
          <w:tcPr>
            <w:tcW w:w="1056" w:type="dxa"/>
            <w:vMerge w:val="restart"/>
            <w:tcBorders>
              <w:top w:val="single" w:color="auto" w:sz="4" w:space="0"/>
              <w:right w:val="single" w:color="auto" w:sz="4" w:space="0"/>
            </w:tcBorders>
            <w:noWrap w:val="0"/>
            <w:vAlign w:val="center"/>
          </w:tcPr>
          <w:p w14:paraId="3EB811F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响应性</w:t>
            </w:r>
          </w:p>
          <w:p w14:paraId="1E1DD10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7F51542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EDF148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投标报价</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D873F7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2</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4</w:t>
            </w:r>
            <w:r>
              <w:rPr>
                <w:rFonts w:ascii="Calibri" w:hAnsi="Calibri" w:eastAsia="宋体" w:cs="Times New Roman"/>
                <w:color w:val="auto"/>
                <w:szCs w:val="21"/>
                <w:highlight w:val="none"/>
              </w:rPr>
              <w:t>项规定</w:t>
            </w:r>
          </w:p>
        </w:tc>
      </w:tr>
      <w:tr w14:paraId="636576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single" w:color="auto" w:sz="4" w:space="0"/>
              <w:right w:val="single" w:color="auto" w:sz="4" w:space="0"/>
            </w:tcBorders>
            <w:noWrap w:val="0"/>
            <w:vAlign w:val="center"/>
          </w:tcPr>
          <w:p w14:paraId="68D1A6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single" w:color="auto" w:sz="4" w:space="0"/>
              <w:right w:val="single" w:color="auto" w:sz="4" w:space="0"/>
            </w:tcBorders>
            <w:noWrap w:val="0"/>
            <w:vAlign w:val="center"/>
          </w:tcPr>
          <w:p w14:paraId="5732AF3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FCF7ED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投标内容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3AA24A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符合第二章“投标人须知”第1.3.1项规定</w:t>
            </w:r>
          </w:p>
        </w:tc>
      </w:tr>
      <w:tr w14:paraId="14CC70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D9C242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2898CA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17D967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工期</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B834DF0">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符合第二章“投标人须知”第1.3.2项规定</w:t>
            </w:r>
          </w:p>
        </w:tc>
      </w:tr>
      <w:tr w14:paraId="14C62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1D5B6BE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39651BB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55E5E1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质量标准</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954BCB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项规定</w:t>
            </w:r>
          </w:p>
        </w:tc>
      </w:tr>
      <w:tr w14:paraId="469D2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8D129C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221C7D4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C935EF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投标有效期</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431639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.3.</w:t>
            </w:r>
            <w:r>
              <w:rPr>
                <w:rFonts w:hint="eastAsia" w:ascii="Calibri" w:hAnsi="Calibri" w:eastAsia="宋体" w:cs="Times New Roman"/>
                <w:color w:val="auto"/>
                <w:szCs w:val="21"/>
                <w:highlight w:val="none"/>
              </w:rPr>
              <w:t>1</w:t>
            </w:r>
            <w:r>
              <w:rPr>
                <w:rFonts w:ascii="Calibri" w:hAnsi="Calibri" w:eastAsia="宋体" w:cs="Times New Roman"/>
                <w:color w:val="auto"/>
                <w:szCs w:val="21"/>
                <w:highlight w:val="none"/>
              </w:rPr>
              <w:t>项规定</w:t>
            </w:r>
          </w:p>
        </w:tc>
      </w:tr>
      <w:tr w14:paraId="473BA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DFF4B6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32D6B87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4E8857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79724358">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符合第二章“投标人须知”第3.4款规定</w:t>
            </w:r>
          </w:p>
        </w:tc>
      </w:tr>
      <w:tr w14:paraId="5951B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451F49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0F0802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D05285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权利义务</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51D645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符合第四章“合同条款及格式”规定的权利义务</w:t>
            </w:r>
          </w:p>
        </w:tc>
      </w:tr>
      <w:tr w14:paraId="2F78C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bottom w:val="single" w:color="auto" w:sz="4" w:space="0"/>
              <w:right w:val="single" w:color="auto" w:sz="4" w:space="0"/>
            </w:tcBorders>
            <w:noWrap w:val="0"/>
            <w:vAlign w:val="center"/>
          </w:tcPr>
          <w:p w14:paraId="1F16F8F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top"/>
          </w:tcPr>
          <w:p w14:paraId="38823EA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4B1B756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7D70EF2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2E200A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restart"/>
            <w:tcBorders>
              <w:top w:val="single" w:color="auto" w:sz="4" w:space="0"/>
              <w:right w:val="single" w:color="auto" w:sz="4" w:space="0"/>
            </w:tcBorders>
            <w:noWrap w:val="0"/>
            <w:vAlign w:val="center"/>
          </w:tcPr>
          <w:p w14:paraId="662EF6E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2.1.</w:t>
            </w:r>
            <w:r>
              <w:rPr>
                <w:rFonts w:hint="eastAsia" w:ascii="Calibri" w:hAnsi="Calibri" w:eastAsia="宋体" w:cs="Times New Roman"/>
                <w:color w:val="auto"/>
                <w:szCs w:val="21"/>
                <w:highlight w:val="none"/>
              </w:rPr>
              <w:t>4</w:t>
            </w:r>
          </w:p>
        </w:tc>
        <w:tc>
          <w:tcPr>
            <w:tcW w:w="1056" w:type="dxa"/>
            <w:vMerge w:val="restart"/>
            <w:tcBorders>
              <w:top w:val="single" w:color="auto" w:sz="4" w:space="0"/>
              <w:right w:val="single" w:color="auto" w:sz="4" w:space="0"/>
            </w:tcBorders>
            <w:noWrap w:val="0"/>
            <w:vAlign w:val="center"/>
          </w:tcPr>
          <w:p w14:paraId="2C76BF0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承包人建议书</w:t>
            </w:r>
            <w:r>
              <w:rPr>
                <w:rFonts w:ascii="Calibri" w:hAnsi="Calibri" w:eastAsia="宋体" w:cs="Times New Roman"/>
                <w:color w:val="auto"/>
                <w:szCs w:val="21"/>
                <w:highlight w:val="none"/>
              </w:rPr>
              <w:t>评审标准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43628CA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图纸</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BD922A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8A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6C18AAD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5348CF3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2F8DB46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工程详细说明</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0A6121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D7FE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3E7F65D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5C57D35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29F8272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设备方案</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C49509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243A0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570A3F6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19BCB67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523F78F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37F822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9EF0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restart"/>
            <w:tcBorders>
              <w:top w:val="single" w:color="auto" w:sz="4" w:space="0"/>
              <w:right w:val="single" w:color="auto" w:sz="4" w:space="0"/>
            </w:tcBorders>
            <w:noWrap w:val="0"/>
            <w:vAlign w:val="center"/>
          </w:tcPr>
          <w:p w14:paraId="1C6E772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w:t>
            </w:r>
            <w:r>
              <w:rPr>
                <w:rFonts w:hint="eastAsia" w:ascii="Calibri" w:hAnsi="Calibri" w:eastAsia="宋体" w:cs="Times New Roman"/>
                <w:color w:val="auto"/>
                <w:szCs w:val="21"/>
                <w:highlight w:val="none"/>
              </w:rPr>
              <w:t>1</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5</w:t>
            </w:r>
          </w:p>
        </w:tc>
        <w:tc>
          <w:tcPr>
            <w:tcW w:w="1056" w:type="dxa"/>
            <w:vMerge w:val="restart"/>
            <w:tcBorders>
              <w:top w:val="single" w:color="auto" w:sz="4" w:space="0"/>
              <w:right w:val="single" w:color="auto" w:sz="4" w:space="0"/>
            </w:tcBorders>
            <w:noWrap w:val="0"/>
            <w:vAlign w:val="center"/>
          </w:tcPr>
          <w:p w14:paraId="3394D59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承包人实施方案</w:t>
            </w:r>
            <w:r>
              <w:rPr>
                <w:rFonts w:ascii="Calibri" w:hAnsi="Calibri" w:eastAsia="宋体" w:cs="Times New Roman"/>
                <w:color w:val="auto"/>
                <w:szCs w:val="21"/>
                <w:highlight w:val="none"/>
              </w:rPr>
              <w:t>评审标准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7A3176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总体实施方案</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3C3A86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73DE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4DC3BF8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F54664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2C70A29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项目实施要点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40B109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A1F54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4966B56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C75163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45783C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项目管理要点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AEC5D6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8BCC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915" w:hRule="atLeast"/>
        </w:trPr>
        <w:tc>
          <w:tcPr>
            <w:tcW w:w="734" w:type="dxa"/>
            <w:vMerge w:val="continue"/>
            <w:tcBorders>
              <w:bottom w:val="single" w:color="auto" w:sz="4" w:space="0"/>
              <w:right w:val="single" w:color="auto" w:sz="4" w:space="0"/>
            </w:tcBorders>
            <w:noWrap w:val="0"/>
            <w:vAlign w:val="center"/>
          </w:tcPr>
          <w:p w14:paraId="2BA7B72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center"/>
          </w:tcPr>
          <w:p w14:paraId="5F7CB16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0A0C1C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20A05A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D6D5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915" w:hRule="atLeast"/>
        </w:trPr>
        <w:tc>
          <w:tcPr>
            <w:tcW w:w="1790" w:type="dxa"/>
            <w:gridSpan w:val="2"/>
            <w:tcBorders>
              <w:bottom w:val="single" w:color="auto" w:sz="4" w:space="0"/>
              <w:right w:val="single" w:color="auto" w:sz="4" w:space="0"/>
            </w:tcBorders>
            <w:noWrap w:val="0"/>
            <w:vAlign w:val="center"/>
          </w:tcPr>
          <w:p w14:paraId="436159E2">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2</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2</w:t>
            </w:r>
          </w:p>
        </w:tc>
        <w:tc>
          <w:tcPr>
            <w:tcW w:w="7499" w:type="dxa"/>
            <w:gridSpan w:val="3"/>
            <w:tcBorders>
              <w:top w:val="single" w:color="auto" w:sz="4" w:space="0"/>
              <w:left w:val="single" w:color="auto" w:sz="4" w:space="0"/>
              <w:bottom w:val="single" w:color="auto" w:sz="4" w:space="0"/>
              <w:right w:val="single" w:color="auto" w:sz="4" w:space="0"/>
            </w:tcBorders>
            <w:noWrap w:val="0"/>
            <w:vAlign w:val="center"/>
          </w:tcPr>
          <w:p w14:paraId="014499F9">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投标人不得存在的其他情形：</w:t>
            </w:r>
          </w:p>
          <w:p w14:paraId="35D4CB3B">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（1）不按评标委员会要求澄清或说明；</w:t>
            </w:r>
          </w:p>
          <w:p w14:paraId="6379D6A1">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（2）串通投标、弄虚作假、行贿或有其他违法违规行为。</w:t>
            </w:r>
          </w:p>
          <w:p w14:paraId="5C4233D4">
            <w:pPr>
              <w:pStyle w:val="2"/>
              <w:keepNext w:val="0"/>
              <w:keepLines w:val="0"/>
              <w:suppressLineNumbers w:val="0"/>
              <w:spacing w:before="0" w:beforeAutospacing="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3）串通投标，包括但不限于下列情形：不同投标人的投标文件记录的IP地址相同且无法提供合理解释的，投标文件记录的网卡（MAC）地址、硬盘序列号、电脑运行环境等硬件信息有一条（含一条）以上相同的，工程量清单编制计价软件密码锁序列号相同的。</w:t>
            </w:r>
          </w:p>
        </w:tc>
      </w:tr>
      <w:tr w14:paraId="38E16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9" w:type="dxa"/>
            <w:gridSpan w:val="5"/>
            <w:tcBorders>
              <w:bottom w:val="single" w:color="auto" w:sz="4" w:space="0"/>
              <w:right w:val="single" w:color="auto" w:sz="4" w:space="0"/>
            </w:tcBorders>
            <w:noWrap w:val="0"/>
            <w:vAlign w:val="center"/>
          </w:tcPr>
          <w:p w14:paraId="4EE6422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c>
          <w:tcPr>
            <w:tcW w:w="4529" w:type="dxa"/>
            <w:noWrap w:val="0"/>
            <w:vAlign w:val="top"/>
          </w:tcPr>
          <w:p w14:paraId="2B283EE2">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c>
          <w:tcPr>
            <w:tcW w:w="3960" w:type="dxa"/>
            <w:noWrap w:val="0"/>
            <w:vAlign w:val="top"/>
          </w:tcPr>
          <w:p w14:paraId="0326A267">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r>
              <w:rPr>
                <w:rFonts w:hint="eastAsia" w:ascii="Calibri" w:hAnsi="Calibri" w:eastAsia="宋体" w:cs="Times New Roman"/>
                <w:color w:val="auto"/>
                <w:szCs w:val="21"/>
                <w:highlight w:val="none"/>
              </w:rPr>
              <w:t>类似项目业绩</w:t>
            </w:r>
          </w:p>
        </w:tc>
        <w:tc>
          <w:tcPr>
            <w:tcW w:w="3956" w:type="dxa"/>
            <w:noWrap w:val="0"/>
            <w:vAlign w:val="center"/>
          </w:tcPr>
          <w:p w14:paraId="2BFD9E46">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r>
      <w:tr w14:paraId="2CABD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7916" w:type="dxa"/>
        </w:trPr>
        <w:tc>
          <w:tcPr>
            <w:tcW w:w="1790" w:type="dxa"/>
            <w:gridSpan w:val="2"/>
            <w:tcBorders>
              <w:top w:val="single" w:color="auto" w:sz="4" w:space="0"/>
              <w:bottom w:val="single" w:color="auto" w:sz="4" w:space="0"/>
              <w:right w:val="single" w:color="auto" w:sz="4" w:space="0"/>
            </w:tcBorders>
            <w:noWrap w:val="0"/>
            <w:vAlign w:val="center"/>
          </w:tcPr>
          <w:p w14:paraId="3E7B28E3">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708" w:type="dxa"/>
            <w:tcBorders>
              <w:top w:val="single" w:color="auto" w:sz="4" w:space="0"/>
              <w:left w:val="single" w:color="auto" w:sz="4" w:space="0"/>
              <w:bottom w:val="single" w:color="auto" w:sz="4" w:space="0"/>
              <w:right w:val="single" w:color="auto" w:sz="4" w:space="0"/>
            </w:tcBorders>
            <w:noWrap w:val="0"/>
            <w:vAlign w:val="top"/>
          </w:tcPr>
          <w:p w14:paraId="0B7D16CB">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量化因素</w:t>
            </w:r>
          </w:p>
        </w:tc>
        <w:tc>
          <w:tcPr>
            <w:tcW w:w="4791" w:type="dxa"/>
            <w:gridSpan w:val="2"/>
            <w:tcBorders>
              <w:top w:val="single" w:color="auto" w:sz="4" w:space="0"/>
              <w:left w:val="single" w:color="auto" w:sz="4" w:space="0"/>
              <w:bottom w:val="single" w:color="auto" w:sz="4" w:space="0"/>
              <w:right w:val="single" w:color="auto" w:sz="4" w:space="0"/>
            </w:tcBorders>
            <w:noWrap w:val="0"/>
            <w:vAlign w:val="top"/>
          </w:tcPr>
          <w:p w14:paraId="30221935">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hint="eastAsia" w:ascii="Calibri" w:hAnsi="Calibri" w:eastAsia="宋体" w:cs="Times New Roman"/>
                <w:b/>
                <w:color w:val="auto"/>
                <w:szCs w:val="21"/>
                <w:highlight w:val="none"/>
              </w:rPr>
              <w:t>量化标准</w:t>
            </w:r>
          </w:p>
        </w:tc>
        <w:tc>
          <w:tcPr>
            <w:tcW w:w="4529" w:type="dxa"/>
            <w:noWrap w:val="0"/>
            <w:vAlign w:val="center"/>
          </w:tcPr>
          <w:p w14:paraId="292FE0DB">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r>
      <w:tr w14:paraId="65833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59CFCB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w:t>
            </w:r>
          </w:p>
        </w:tc>
        <w:tc>
          <w:tcPr>
            <w:tcW w:w="1056" w:type="dxa"/>
            <w:vMerge w:val="restart"/>
            <w:tcBorders>
              <w:top w:val="single" w:color="auto" w:sz="4" w:space="0"/>
              <w:right w:val="single" w:color="auto" w:sz="4" w:space="0"/>
            </w:tcBorders>
            <w:noWrap w:val="0"/>
            <w:vAlign w:val="top"/>
          </w:tcPr>
          <w:p w14:paraId="2032AF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详细评审标准</w:t>
            </w:r>
          </w:p>
        </w:tc>
        <w:tc>
          <w:tcPr>
            <w:tcW w:w="2708" w:type="dxa"/>
            <w:tcBorders>
              <w:top w:val="single" w:color="auto" w:sz="4" w:space="0"/>
              <w:left w:val="single" w:color="auto" w:sz="4" w:space="0"/>
              <w:bottom w:val="single" w:color="auto" w:sz="4" w:space="0"/>
              <w:right w:val="single" w:color="auto" w:sz="4" w:space="0"/>
            </w:tcBorders>
            <w:noWrap w:val="0"/>
            <w:vAlign w:val="center"/>
          </w:tcPr>
          <w:p w14:paraId="2169AC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付款条件</w:t>
            </w: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51CA91A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BEBF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1DFCD4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24089D5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708" w:type="dxa"/>
            <w:tcBorders>
              <w:top w:val="single" w:color="auto" w:sz="4" w:space="0"/>
              <w:left w:val="single" w:color="auto" w:sz="4" w:space="0"/>
              <w:bottom w:val="single" w:color="auto" w:sz="4" w:space="0"/>
              <w:right w:val="single" w:color="auto" w:sz="4" w:space="0"/>
            </w:tcBorders>
            <w:noWrap w:val="0"/>
            <w:vAlign w:val="top"/>
          </w:tcPr>
          <w:p w14:paraId="6551725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493616F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99C61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1CDDD8E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20AD570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708" w:type="dxa"/>
            <w:tcBorders>
              <w:top w:val="single" w:color="auto" w:sz="4" w:space="0"/>
              <w:left w:val="single" w:color="auto" w:sz="4" w:space="0"/>
              <w:bottom w:val="single" w:color="auto" w:sz="4" w:space="0"/>
              <w:right w:val="single" w:color="auto" w:sz="4" w:space="0"/>
            </w:tcBorders>
            <w:noWrap w:val="0"/>
            <w:vAlign w:val="top"/>
          </w:tcPr>
          <w:p w14:paraId="22182E4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1C4FA99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r>
    </w:tbl>
    <w:p w14:paraId="3AD79731">
      <w:pPr>
        <w:spacing w:line="400" w:lineRule="exact"/>
        <w:rPr>
          <w:color w:val="auto"/>
          <w:highlight w:val="none"/>
        </w:rPr>
      </w:pPr>
    </w:p>
    <w:p w14:paraId="0427D310">
      <w:pPr>
        <w:pStyle w:val="119"/>
        <w:rPr>
          <w:color w:val="auto"/>
          <w:highlight w:val="none"/>
        </w:rPr>
      </w:pPr>
      <w:r>
        <w:rPr>
          <w:color w:val="auto"/>
          <w:highlight w:val="none"/>
        </w:rPr>
        <w:br w:type="page"/>
      </w:r>
      <w:bookmarkStart w:id="1401" w:name="_Toc8573"/>
      <w:bookmarkStart w:id="1402" w:name="_Toc6736"/>
      <w:bookmarkStart w:id="1403" w:name="_Toc519085359"/>
      <w:bookmarkStart w:id="1404" w:name="_Toc19726_WPSOffice_Level2"/>
      <w:bookmarkStart w:id="1405" w:name="_Toc18023"/>
      <w:bookmarkStart w:id="1406" w:name="_Toc14559"/>
      <w:bookmarkStart w:id="1407" w:name="_Toc7890"/>
      <w:bookmarkStart w:id="1408" w:name="_Toc27244"/>
      <w:r>
        <w:rPr>
          <w:rFonts w:hint="eastAsia"/>
          <w:color w:val="auto"/>
          <w:highlight w:val="none"/>
        </w:rPr>
        <w:t>评标办法正文部分</w:t>
      </w:r>
      <w:bookmarkEnd w:id="1401"/>
      <w:bookmarkEnd w:id="1402"/>
      <w:bookmarkEnd w:id="1403"/>
      <w:bookmarkEnd w:id="1404"/>
      <w:bookmarkEnd w:id="1405"/>
      <w:bookmarkEnd w:id="1406"/>
      <w:bookmarkEnd w:id="1407"/>
      <w:bookmarkEnd w:id="1408"/>
    </w:p>
    <w:p w14:paraId="34CE51E7">
      <w:pPr>
        <w:pStyle w:val="5"/>
        <w:spacing w:before="159"/>
        <w:rPr>
          <w:rFonts w:hint="eastAsia" w:ascii="Times New Roman" w:hAnsi="Times New Roman"/>
          <w:color w:val="auto"/>
          <w:sz w:val="24"/>
          <w:szCs w:val="32"/>
          <w:highlight w:val="none"/>
        </w:rPr>
      </w:pPr>
      <w:bookmarkStart w:id="1409" w:name="_Toc8742"/>
      <w:bookmarkStart w:id="1410" w:name="_Toc3053"/>
      <w:bookmarkStart w:id="1411" w:name="_Toc3437"/>
      <w:bookmarkStart w:id="1412" w:name="_Toc25958_WPSOffice_Level2"/>
      <w:bookmarkStart w:id="1413" w:name="_Toc13325_WPSOffice_Level2"/>
      <w:bookmarkStart w:id="1414" w:name="_Toc519085360"/>
      <w:bookmarkStart w:id="1415" w:name="_Toc2613"/>
      <w:bookmarkStart w:id="1416" w:name="_Toc10935"/>
      <w:bookmarkStart w:id="1417" w:name="_Toc519085361"/>
      <w:bookmarkStart w:id="1418" w:name="_Toc30544"/>
      <w:bookmarkStart w:id="1419" w:name="_Toc25975_WPSOffice_Level2"/>
      <w:bookmarkStart w:id="1420" w:name="_Toc22688"/>
      <w:bookmarkStart w:id="1421" w:name="_Toc3486"/>
      <w:bookmarkStart w:id="1422" w:name="_Toc8676"/>
      <w:r>
        <w:rPr>
          <w:rFonts w:hint="eastAsia" w:ascii="Times New Roman" w:hAnsi="Times New Roman"/>
          <w:color w:val="auto"/>
          <w:sz w:val="24"/>
          <w:szCs w:val="32"/>
          <w:highlight w:val="none"/>
        </w:rPr>
        <w:t>1. 评标方法</w:t>
      </w:r>
      <w:bookmarkEnd w:id="1409"/>
      <w:bookmarkEnd w:id="1410"/>
      <w:bookmarkEnd w:id="1411"/>
      <w:bookmarkEnd w:id="1412"/>
      <w:bookmarkEnd w:id="1413"/>
      <w:bookmarkEnd w:id="1414"/>
      <w:bookmarkEnd w:id="1415"/>
      <w:bookmarkEnd w:id="1416"/>
    </w:p>
    <w:p w14:paraId="14C1E1ED">
      <w:pPr>
        <w:spacing w:line="400" w:lineRule="exact"/>
        <w:ind w:firstLine="420" w:firstLineChars="200"/>
        <w:rPr>
          <w:color w:val="auto"/>
          <w:highlight w:val="none"/>
        </w:rPr>
      </w:pPr>
      <w:r>
        <w:rPr>
          <w:rFonts w:hint="eastAsia"/>
          <w:color w:val="auto"/>
          <w:highlight w:val="none"/>
        </w:rPr>
        <w:t>本次评标采用经评审的最低投标价法。评标委员会对满足招标文件实质要求的投标文件，根据本章第2.2款规定的量化因素及标准进行价格折算，按照经评审的投标价由低到高的顺序推荐中标候选人，但投标报价低于其成本的除外。经评审的投标价相等时，投标报价低的优先；投标报价也相等的，由招标人或者招标人授权的评标委员会自行确定。</w:t>
      </w:r>
    </w:p>
    <w:p w14:paraId="0EE7127F">
      <w:pPr>
        <w:pStyle w:val="5"/>
        <w:spacing w:before="159"/>
        <w:rPr>
          <w:rFonts w:hint="eastAsia" w:ascii="Times New Roman" w:hAnsi="Times New Roman"/>
          <w:color w:val="auto"/>
          <w:sz w:val="24"/>
          <w:szCs w:val="32"/>
          <w:highlight w:val="none"/>
        </w:rPr>
      </w:pPr>
      <w:bookmarkStart w:id="1423" w:name="_Toc301"/>
      <w:r>
        <w:rPr>
          <w:rFonts w:hint="eastAsia" w:ascii="Times New Roman" w:hAnsi="Times New Roman"/>
          <w:color w:val="auto"/>
          <w:sz w:val="24"/>
          <w:szCs w:val="32"/>
          <w:highlight w:val="none"/>
        </w:rPr>
        <w:t>2. 评审标准</w:t>
      </w:r>
      <w:bookmarkEnd w:id="1417"/>
      <w:bookmarkEnd w:id="1418"/>
      <w:bookmarkEnd w:id="1419"/>
      <w:bookmarkEnd w:id="1420"/>
      <w:bookmarkEnd w:id="1421"/>
      <w:bookmarkEnd w:id="1422"/>
      <w:bookmarkEnd w:id="1423"/>
    </w:p>
    <w:p w14:paraId="47651161">
      <w:pPr>
        <w:pStyle w:val="107"/>
        <w:outlineLvl w:val="3"/>
        <w:rPr>
          <w:rFonts w:hint="eastAsia" w:ascii="黑体" w:hAnsi="黑体"/>
          <w:color w:val="auto"/>
          <w:highlight w:val="none"/>
        </w:rPr>
      </w:pPr>
      <w:bookmarkStart w:id="1424" w:name="_Toc3980936"/>
      <w:bookmarkStart w:id="1425" w:name="_Toc30088"/>
      <w:bookmarkStart w:id="1426" w:name="_Toc12383"/>
      <w:bookmarkStart w:id="1427" w:name="_Toc519085362"/>
      <w:bookmarkStart w:id="1428" w:name="_Toc11657"/>
      <w:bookmarkStart w:id="1429" w:name="_Toc3980488"/>
      <w:bookmarkStart w:id="1430" w:name="_Toc16831"/>
      <w:r>
        <w:rPr>
          <w:rFonts w:hint="eastAsia" w:ascii="黑体" w:hAnsi="黑体"/>
          <w:color w:val="auto"/>
          <w:highlight w:val="none"/>
        </w:rPr>
        <w:t>2.1 初步评审标准</w:t>
      </w:r>
      <w:bookmarkEnd w:id="1424"/>
      <w:bookmarkEnd w:id="1425"/>
      <w:bookmarkEnd w:id="1426"/>
      <w:bookmarkEnd w:id="1427"/>
      <w:bookmarkEnd w:id="1428"/>
      <w:bookmarkEnd w:id="1429"/>
      <w:bookmarkEnd w:id="1430"/>
    </w:p>
    <w:p w14:paraId="23B06FB0">
      <w:pPr>
        <w:spacing w:line="400" w:lineRule="exact"/>
        <w:ind w:firstLine="420" w:firstLineChars="200"/>
        <w:rPr>
          <w:color w:val="auto"/>
          <w:highlight w:val="none"/>
        </w:rPr>
      </w:pPr>
      <w:r>
        <w:rPr>
          <w:rFonts w:hint="eastAsia"/>
          <w:color w:val="auto"/>
          <w:highlight w:val="none"/>
        </w:rPr>
        <w:t>2.1.1 形式评审标准：见评标办法前附表。</w:t>
      </w:r>
    </w:p>
    <w:p w14:paraId="20474F14">
      <w:pPr>
        <w:spacing w:line="400" w:lineRule="exact"/>
        <w:ind w:firstLine="420" w:firstLineChars="200"/>
        <w:rPr>
          <w:color w:val="auto"/>
          <w:highlight w:val="none"/>
        </w:rPr>
      </w:pPr>
      <w:r>
        <w:rPr>
          <w:rFonts w:hint="eastAsia"/>
          <w:color w:val="auto"/>
          <w:highlight w:val="none"/>
        </w:rPr>
        <w:t>2.1.2 资格评审标准：见评标办法前附表。</w:t>
      </w:r>
    </w:p>
    <w:p w14:paraId="6EA4C9B9">
      <w:pPr>
        <w:spacing w:line="400" w:lineRule="exact"/>
        <w:ind w:firstLine="420" w:firstLineChars="200"/>
        <w:rPr>
          <w:color w:val="auto"/>
          <w:highlight w:val="none"/>
        </w:rPr>
      </w:pPr>
      <w:r>
        <w:rPr>
          <w:rFonts w:hint="eastAsia"/>
          <w:color w:val="auto"/>
          <w:highlight w:val="none"/>
        </w:rPr>
        <w:t>2.1.3 响应性评审标准：见评标办法前附表。</w:t>
      </w:r>
    </w:p>
    <w:p w14:paraId="534A4D98">
      <w:pPr>
        <w:spacing w:line="400" w:lineRule="exact"/>
        <w:ind w:firstLine="420" w:firstLineChars="200"/>
        <w:rPr>
          <w:rFonts w:hint="eastAsia"/>
          <w:color w:val="auto"/>
          <w:highlight w:val="none"/>
        </w:rPr>
      </w:pPr>
      <w:r>
        <w:rPr>
          <w:rFonts w:hint="eastAsia"/>
          <w:color w:val="auto"/>
          <w:highlight w:val="none"/>
        </w:rPr>
        <w:t>2.1.4 承包人建议书评审标准：见评标办法前附表。</w:t>
      </w:r>
    </w:p>
    <w:p w14:paraId="3ED33D6F">
      <w:pPr>
        <w:spacing w:line="400" w:lineRule="exact"/>
        <w:ind w:firstLine="420" w:firstLineChars="200"/>
        <w:rPr>
          <w:color w:val="auto"/>
          <w:highlight w:val="none"/>
        </w:rPr>
      </w:pPr>
      <w:r>
        <w:rPr>
          <w:rFonts w:hint="eastAsia"/>
          <w:color w:val="auto"/>
          <w:highlight w:val="none"/>
        </w:rPr>
        <w:t>2.1.5 承包人实施方案评审标准：见评标办法前附表。</w:t>
      </w:r>
    </w:p>
    <w:p w14:paraId="7C26010D">
      <w:pPr>
        <w:pStyle w:val="107"/>
        <w:outlineLvl w:val="3"/>
        <w:rPr>
          <w:rFonts w:hint="eastAsia" w:ascii="黑体" w:hAnsi="黑体"/>
          <w:color w:val="auto"/>
          <w:highlight w:val="none"/>
        </w:rPr>
      </w:pPr>
      <w:bookmarkStart w:id="1431" w:name="_Toc3980489"/>
      <w:bookmarkStart w:id="1432" w:name="_Toc519085363"/>
      <w:bookmarkStart w:id="1433" w:name="_Toc22533"/>
      <w:bookmarkStart w:id="1434" w:name="_Toc3980937"/>
      <w:bookmarkStart w:id="1435" w:name="_Toc11114"/>
      <w:bookmarkStart w:id="1436" w:name="_Toc22169"/>
      <w:bookmarkStart w:id="1437" w:name="_Toc335"/>
      <w:r>
        <w:rPr>
          <w:rFonts w:hint="eastAsia" w:ascii="黑体" w:hAnsi="黑体"/>
          <w:color w:val="auto"/>
          <w:highlight w:val="none"/>
        </w:rPr>
        <w:t>2.2 详细评审标准</w:t>
      </w:r>
      <w:bookmarkEnd w:id="1431"/>
      <w:bookmarkEnd w:id="1432"/>
      <w:bookmarkEnd w:id="1433"/>
      <w:bookmarkEnd w:id="1434"/>
      <w:bookmarkEnd w:id="1435"/>
      <w:bookmarkEnd w:id="1436"/>
      <w:bookmarkEnd w:id="1437"/>
    </w:p>
    <w:p w14:paraId="46A560AE">
      <w:pPr>
        <w:spacing w:line="400" w:lineRule="exact"/>
        <w:ind w:firstLine="420" w:firstLineChars="200"/>
        <w:rPr>
          <w:color w:val="auto"/>
          <w:highlight w:val="none"/>
        </w:rPr>
      </w:pPr>
      <w:r>
        <w:rPr>
          <w:rFonts w:hint="eastAsia"/>
          <w:color w:val="auto"/>
          <w:highlight w:val="none"/>
        </w:rPr>
        <w:t>详细评审标准：见评标办法前附表。</w:t>
      </w:r>
    </w:p>
    <w:p w14:paraId="5787768F">
      <w:pPr>
        <w:pStyle w:val="5"/>
        <w:spacing w:before="159"/>
        <w:rPr>
          <w:rFonts w:ascii="Times New Roman" w:hAnsi="Times New Roman"/>
          <w:color w:val="auto"/>
          <w:sz w:val="24"/>
          <w:szCs w:val="32"/>
          <w:highlight w:val="none"/>
        </w:rPr>
      </w:pPr>
      <w:bookmarkStart w:id="1438" w:name="_Toc17127_WPSOffice_Level2"/>
      <w:bookmarkStart w:id="1439" w:name="_Toc20445"/>
      <w:bookmarkStart w:id="1440" w:name="_Toc4310"/>
      <w:bookmarkStart w:id="1441" w:name="_Toc519085364"/>
      <w:bookmarkStart w:id="1442" w:name="_Toc22088"/>
      <w:bookmarkStart w:id="1443" w:name="_Toc23341"/>
      <w:bookmarkStart w:id="1444" w:name="_Toc12892"/>
      <w:r>
        <w:rPr>
          <w:rFonts w:hint="eastAsia" w:ascii="Times New Roman" w:hAnsi="Times New Roman"/>
          <w:color w:val="auto"/>
          <w:sz w:val="24"/>
          <w:szCs w:val="32"/>
          <w:highlight w:val="none"/>
        </w:rPr>
        <w:t>3. 评标程序</w:t>
      </w:r>
      <w:bookmarkEnd w:id="1438"/>
      <w:bookmarkEnd w:id="1439"/>
      <w:bookmarkEnd w:id="1440"/>
      <w:bookmarkEnd w:id="1441"/>
      <w:bookmarkEnd w:id="1442"/>
      <w:bookmarkEnd w:id="1443"/>
      <w:bookmarkEnd w:id="1444"/>
    </w:p>
    <w:p w14:paraId="3B1296AA">
      <w:pPr>
        <w:pStyle w:val="107"/>
        <w:outlineLvl w:val="3"/>
        <w:rPr>
          <w:rFonts w:ascii="黑体" w:hAnsi="黑体"/>
          <w:color w:val="auto"/>
          <w:highlight w:val="none"/>
        </w:rPr>
      </w:pPr>
      <w:bookmarkStart w:id="1445" w:name="_Toc3194"/>
      <w:bookmarkStart w:id="1446" w:name="_Toc4458"/>
      <w:bookmarkStart w:id="1447" w:name="_Toc519085365"/>
      <w:bookmarkStart w:id="1448" w:name="_Toc27034"/>
      <w:bookmarkStart w:id="1449" w:name="_Toc16245"/>
      <w:r>
        <w:rPr>
          <w:rFonts w:hint="eastAsia" w:ascii="黑体" w:hAnsi="黑体"/>
          <w:color w:val="auto"/>
          <w:highlight w:val="none"/>
        </w:rPr>
        <w:t>3.1 初步评审</w:t>
      </w:r>
      <w:bookmarkEnd w:id="1445"/>
      <w:bookmarkEnd w:id="1446"/>
      <w:bookmarkEnd w:id="1447"/>
      <w:bookmarkEnd w:id="1448"/>
      <w:bookmarkEnd w:id="1449"/>
    </w:p>
    <w:p w14:paraId="31E98D0D">
      <w:pPr>
        <w:tabs>
          <w:tab w:val="left" w:pos="1980"/>
        </w:tabs>
        <w:spacing w:line="400" w:lineRule="exact"/>
        <w:ind w:firstLine="420" w:firstLineChars="200"/>
        <w:rPr>
          <w:color w:val="auto"/>
          <w:highlight w:val="none"/>
        </w:rPr>
      </w:pPr>
      <w:r>
        <w:rPr>
          <w:rFonts w:hint="eastAsia"/>
          <w:color w:val="auto"/>
          <w:highlight w:val="none"/>
        </w:rPr>
        <w:t>3.1.1 评标委员会可以要求投标人提交第二章“投标人须知”第3.5.1项至第3.5.5项规定的有关证明和证件的原件，以便核验。评标委员会依据本章第2.1款规定的标准对投标文件进行初步评审。有一项不符合标准的，评标委员会应当否决其投标。（适用于资格后审的）</w:t>
      </w:r>
    </w:p>
    <w:p w14:paraId="29D16549">
      <w:pPr>
        <w:tabs>
          <w:tab w:val="left" w:pos="1980"/>
        </w:tabs>
        <w:spacing w:line="400" w:lineRule="exact"/>
        <w:ind w:firstLine="420" w:firstLineChars="200"/>
        <w:rPr>
          <w:color w:val="auto"/>
          <w:highlight w:val="none"/>
        </w:rPr>
      </w:pPr>
      <w:r>
        <w:rPr>
          <w:rFonts w:hint="eastAsia"/>
          <w:color w:val="auto"/>
          <w:highlight w:val="none"/>
        </w:rPr>
        <w:t>3.1.1 评标委员会依据本章第2.1.1项、第2.1.3项规定的评审标准对投标文件进行初步评审。有一项不符合评审标准的，评标委员会应当否决其投标。当投标人资格预审申请文件的内容发生重大变化时，评标委员会依据本章第2.1.2项规定的标准对其更新资料进行评审。（适用于已进行资格预审的）</w:t>
      </w:r>
    </w:p>
    <w:p w14:paraId="1DF7E990">
      <w:pPr>
        <w:tabs>
          <w:tab w:val="left" w:pos="1980"/>
        </w:tabs>
        <w:spacing w:line="400" w:lineRule="exact"/>
        <w:ind w:firstLine="420" w:firstLineChars="200"/>
        <w:rPr>
          <w:color w:val="auto"/>
          <w:highlight w:val="none"/>
        </w:rPr>
      </w:pPr>
      <w:r>
        <w:rPr>
          <w:rFonts w:hint="eastAsia"/>
          <w:color w:val="auto"/>
          <w:highlight w:val="none"/>
        </w:rPr>
        <w:t>3.1.2 投标人有以下情形之一的，评标委员会应当否决其投标：</w:t>
      </w:r>
    </w:p>
    <w:p w14:paraId="2FB2BEFF">
      <w:pPr>
        <w:tabs>
          <w:tab w:val="left" w:pos="1980"/>
        </w:tabs>
        <w:spacing w:line="400" w:lineRule="exact"/>
        <w:ind w:firstLine="420" w:firstLineChars="200"/>
        <w:rPr>
          <w:rFonts w:ascii="宋体" w:hAnsi="宋体"/>
          <w:color w:val="auto"/>
          <w:highlight w:val="none"/>
        </w:rPr>
      </w:pPr>
      <w:r>
        <w:rPr>
          <w:rFonts w:hint="eastAsia" w:ascii="宋体" w:hAnsi="宋体"/>
          <w:color w:val="auto"/>
          <w:highlight w:val="none"/>
        </w:rPr>
        <w:t>（1）不按评标委员会要求澄清、说明或补正的；</w:t>
      </w:r>
    </w:p>
    <w:p w14:paraId="644C8105">
      <w:pPr>
        <w:tabs>
          <w:tab w:val="left" w:pos="1980"/>
        </w:tabs>
        <w:spacing w:line="400" w:lineRule="exact"/>
        <w:ind w:firstLine="420" w:firstLineChars="200"/>
        <w:rPr>
          <w:rFonts w:hint="eastAsia" w:ascii="宋体" w:hAnsi="宋体"/>
          <w:color w:val="auto"/>
          <w:highlight w:val="none"/>
        </w:rPr>
      </w:pPr>
      <w:r>
        <w:rPr>
          <w:rFonts w:hint="eastAsia" w:ascii="宋体" w:hAnsi="宋体"/>
          <w:color w:val="auto"/>
          <w:highlight w:val="none"/>
        </w:rPr>
        <w:t>（2）串通投标或弄虚作假或有其他违法行为的。</w:t>
      </w:r>
    </w:p>
    <w:p w14:paraId="4F5D0D83">
      <w:pPr>
        <w:spacing w:line="360" w:lineRule="auto"/>
        <w:ind w:firstLine="420" w:firstLineChars="200"/>
        <w:rPr>
          <w:rFonts w:hint="eastAsia"/>
          <w:color w:val="auto"/>
          <w:highlight w:val="none"/>
        </w:rPr>
      </w:pPr>
      <w:r>
        <w:rPr>
          <w:rFonts w:ascii="宋体" w:hAnsi="宋体"/>
          <w:color w:val="auto"/>
          <w:highlight w:val="none"/>
        </w:rPr>
        <w:t>1</w:t>
      </w:r>
      <w:r>
        <w:rPr>
          <w:rFonts w:hint="eastAsia" w:ascii="宋体" w:hAnsi="宋体"/>
          <w:color w:val="auto"/>
          <w:highlight w:val="none"/>
        </w:rPr>
        <w:t>）</w:t>
      </w:r>
      <w:r>
        <w:rPr>
          <w:rFonts w:hint="eastAsia"/>
          <w:color w:val="auto"/>
          <w:highlight w:val="none"/>
        </w:rPr>
        <w:t>有下列情形之一的，视为投标人相互串通投标：</w:t>
      </w:r>
    </w:p>
    <w:p w14:paraId="35D8ACB8">
      <w:pPr>
        <w:spacing w:line="360" w:lineRule="auto"/>
        <w:ind w:firstLine="420" w:firstLineChars="200"/>
        <w:rPr>
          <w:color w:val="auto"/>
          <w:highlight w:val="none"/>
        </w:rPr>
      </w:pPr>
      <w:r>
        <w:rPr>
          <w:rFonts w:hint="eastAsia" w:ascii="宋体" w:hAnsi="宋体"/>
          <w:color w:val="auto"/>
          <w:highlight w:val="none"/>
        </w:rPr>
        <w:t>①</w:t>
      </w:r>
      <w:r>
        <w:rPr>
          <w:rFonts w:hint="eastAsia"/>
          <w:color w:val="auto"/>
          <w:highlight w:val="none"/>
        </w:rPr>
        <w:t>不同投标人的投标文件由同一单位或者个人编制；</w:t>
      </w:r>
    </w:p>
    <w:p w14:paraId="3503CD90">
      <w:pPr>
        <w:spacing w:line="360" w:lineRule="auto"/>
        <w:ind w:firstLine="420" w:firstLineChars="200"/>
        <w:rPr>
          <w:color w:val="auto"/>
          <w:highlight w:val="none"/>
        </w:rPr>
      </w:pPr>
      <w:r>
        <w:rPr>
          <w:rFonts w:hint="eastAsia" w:ascii="宋体" w:hAnsi="宋体"/>
          <w:color w:val="auto"/>
          <w:highlight w:val="none"/>
        </w:rPr>
        <w:t>②</w:t>
      </w:r>
      <w:r>
        <w:rPr>
          <w:rFonts w:hint="eastAsia"/>
          <w:color w:val="auto"/>
          <w:highlight w:val="none"/>
        </w:rPr>
        <w:t>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45C137B8">
      <w:pPr>
        <w:spacing w:line="360" w:lineRule="auto"/>
        <w:ind w:firstLine="420" w:firstLineChars="200"/>
        <w:rPr>
          <w:color w:val="auto"/>
          <w:highlight w:val="none"/>
        </w:rPr>
      </w:pPr>
      <w:r>
        <w:rPr>
          <w:rFonts w:hint="eastAsia" w:ascii="宋体" w:hAnsi="宋体"/>
          <w:color w:val="auto"/>
          <w:highlight w:val="none"/>
        </w:rPr>
        <w:t>③</w:t>
      </w:r>
      <w:r>
        <w:rPr>
          <w:rFonts w:hint="eastAsia"/>
          <w:color w:val="auto"/>
          <w:highlight w:val="none"/>
        </w:rPr>
        <w:t>不同投标人的投标文件载明的项目管理成员为同一人；</w:t>
      </w:r>
    </w:p>
    <w:p w14:paraId="4AEB3955">
      <w:pPr>
        <w:spacing w:line="400" w:lineRule="exact"/>
        <w:ind w:firstLine="482"/>
        <w:rPr>
          <w:color w:val="auto"/>
          <w:highlight w:val="none"/>
        </w:rPr>
      </w:pPr>
      <w:r>
        <w:rPr>
          <w:rFonts w:hint="eastAsia" w:ascii="宋体" w:hAnsi="宋体"/>
          <w:color w:val="auto"/>
          <w:highlight w:val="none"/>
        </w:rPr>
        <w:t>④</w:t>
      </w:r>
      <w:r>
        <w:rPr>
          <w:rFonts w:hint="eastAsia"/>
          <w:color w:val="auto"/>
          <w:highlight w:val="none"/>
        </w:rPr>
        <w:t>不同投标人的投标文件异常一致、投标报价呈规律性差异或者投标文件的实质性内容存在两处以上细节错误一致；</w:t>
      </w:r>
    </w:p>
    <w:p w14:paraId="44D3EBD4">
      <w:pPr>
        <w:spacing w:line="360" w:lineRule="auto"/>
        <w:ind w:firstLine="420" w:firstLineChars="200"/>
        <w:rPr>
          <w:rFonts w:hint="eastAsia"/>
          <w:color w:val="auto"/>
          <w:highlight w:val="none"/>
        </w:rPr>
      </w:pPr>
      <w:r>
        <w:rPr>
          <w:rFonts w:hint="eastAsia" w:ascii="宋体" w:hAnsi="宋体"/>
          <w:color w:val="auto"/>
          <w:highlight w:val="none"/>
        </w:rPr>
        <w:t>⑤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1E32C1E7">
      <w:pPr>
        <w:spacing w:line="360" w:lineRule="auto"/>
        <w:ind w:firstLine="420" w:firstLineChars="200"/>
        <w:rPr>
          <w:rFonts w:hint="eastAsia"/>
          <w:color w:val="auto"/>
          <w:highlight w:val="none"/>
        </w:rPr>
      </w:pPr>
      <w:r>
        <w:rPr>
          <w:rFonts w:hint="eastAsia" w:ascii="宋体" w:hAnsi="宋体"/>
          <w:color w:val="auto"/>
          <w:highlight w:val="none"/>
        </w:rPr>
        <w:t>⑥</w:t>
      </w:r>
      <w:r>
        <w:rPr>
          <w:rFonts w:hint="eastAsia"/>
          <w:color w:val="auto"/>
          <w:highlight w:val="none"/>
        </w:rPr>
        <w:t>不同投标人的投标保证金从同一单位或者个人的账户转出。</w:t>
      </w:r>
    </w:p>
    <w:p w14:paraId="2B986163">
      <w:pPr>
        <w:spacing w:line="400" w:lineRule="exact"/>
        <w:rPr>
          <w:rFonts w:ascii="宋体" w:hAnsi="宋体"/>
          <w:color w:val="auto"/>
          <w:highlight w:val="none"/>
        </w:rPr>
      </w:pPr>
      <w:r>
        <w:rPr>
          <w:rFonts w:hint="eastAsia" w:ascii="宋体" w:hAnsi="宋体"/>
          <w:color w:val="auto"/>
          <w:highlight w:val="none"/>
        </w:rPr>
        <w:t xml:space="preserve">    </w:t>
      </w:r>
      <w:r>
        <w:rPr>
          <w:rFonts w:ascii="宋体" w:hAnsi="宋体"/>
          <w:color w:val="auto"/>
          <w:highlight w:val="none"/>
        </w:rPr>
        <w:t>2</w:t>
      </w:r>
      <w:r>
        <w:rPr>
          <w:rFonts w:hint="eastAsia" w:ascii="宋体" w:hAnsi="宋体"/>
          <w:color w:val="auto"/>
          <w:highlight w:val="none"/>
        </w:rPr>
        <w:t>）有下列情形之一的，属于弄虚作假行为：</w:t>
      </w:r>
    </w:p>
    <w:p w14:paraId="69FAF61A">
      <w:pPr>
        <w:spacing w:line="400" w:lineRule="exact"/>
        <w:ind w:firstLine="420" w:firstLineChars="200"/>
        <w:rPr>
          <w:rFonts w:ascii="宋体" w:hAnsi="宋体"/>
          <w:color w:val="auto"/>
          <w:highlight w:val="none"/>
        </w:rPr>
      </w:pPr>
      <w:r>
        <w:rPr>
          <w:rFonts w:hint="eastAsia" w:ascii="宋体" w:hAnsi="宋体"/>
          <w:color w:val="auto"/>
          <w:highlight w:val="none"/>
        </w:rPr>
        <w:t>①</w:t>
      </w:r>
      <w:r>
        <w:rPr>
          <w:rFonts w:ascii="宋体" w:hAnsi="宋体"/>
          <w:color w:val="auto"/>
          <w:highlight w:val="none"/>
        </w:rPr>
        <w:t xml:space="preserve"> </w:t>
      </w:r>
      <w:r>
        <w:rPr>
          <w:rFonts w:hint="eastAsia" w:ascii="宋体" w:hAnsi="宋体"/>
          <w:color w:val="auto"/>
          <w:highlight w:val="none"/>
        </w:rPr>
        <w:t>使用通过受让或者租借等方式获取的资格、资质证书投标的，即以他人名义投标的；</w:t>
      </w:r>
    </w:p>
    <w:p w14:paraId="40AE74C8">
      <w:pPr>
        <w:spacing w:line="400" w:lineRule="exact"/>
        <w:ind w:firstLine="420" w:firstLineChars="200"/>
        <w:rPr>
          <w:rFonts w:ascii="宋体" w:hAnsi="宋体"/>
          <w:color w:val="auto"/>
          <w:highlight w:val="none"/>
        </w:rPr>
      </w:pPr>
      <w:r>
        <w:rPr>
          <w:rFonts w:hint="eastAsia" w:ascii="宋体" w:hAnsi="宋体"/>
          <w:color w:val="auto"/>
          <w:highlight w:val="none"/>
        </w:rPr>
        <w:t>②</w:t>
      </w:r>
      <w:r>
        <w:rPr>
          <w:rFonts w:ascii="宋体" w:hAnsi="宋体"/>
          <w:color w:val="auto"/>
          <w:highlight w:val="none"/>
        </w:rPr>
        <w:t xml:space="preserve"> </w:t>
      </w:r>
      <w:r>
        <w:rPr>
          <w:rFonts w:hint="eastAsia" w:ascii="宋体" w:hAnsi="宋体"/>
          <w:color w:val="auto"/>
          <w:highlight w:val="none"/>
        </w:rPr>
        <w:t>使用伪造、变造的许可证件；</w:t>
      </w:r>
    </w:p>
    <w:p w14:paraId="7D4B602F">
      <w:pPr>
        <w:spacing w:line="400" w:lineRule="exact"/>
        <w:ind w:firstLine="420" w:firstLineChars="200"/>
        <w:rPr>
          <w:rFonts w:ascii="宋体" w:hAnsi="宋体"/>
          <w:color w:val="auto"/>
          <w:highlight w:val="none"/>
        </w:rPr>
      </w:pPr>
      <w:r>
        <w:rPr>
          <w:rFonts w:hint="eastAsia" w:ascii="宋体" w:hAnsi="宋体"/>
          <w:color w:val="auto"/>
          <w:highlight w:val="none"/>
        </w:rPr>
        <w:t>③</w:t>
      </w:r>
      <w:r>
        <w:rPr>
          <w:rFonts w:ascii="宋体" w:hAnsi="宋体"/>
          <w:color w:val="auto"/>
          <w:highlight w:val="none"/>
        </w:rPr>
        <w:t xml:space="preserve"> </w:t>
      </w:r>
      <w:r>
        <w:rPr>
          <w:rFonts w:hint="eastAsia" w:ascii="宋体" w:hAnsi="宋体"/>
          <w:color w:val="auto"/>
          <w:highlight w:val="none"/>
        </w:rPr>
        <w:t>提供虚假的财务状况或者业绩；</w:t>
      </w:r>
    </w:p>
    <w:p w14:paraId="624242BC">
      <w:pPr>
        <w:spacing w:line="400" w:lineRule="exact"/>
        <w:ind w:firstLine="420" w:firstLineChars="200"/>
        <w:rPr>
          <w:rFonts w:ascii="宋体" w:hAnsi="宋体"/>
          <w:color w:val="auto"/>
          <w:highlight w:val="none"/>
        </w:rPr>
      </w:pPr>
      <w:r>
        <w:rPr>
          <w:rFonts w:hint="eastAsia" w:ascii="宋体" w:hAnsi="宋体"/>
          <w:color w:val="auto"/>
          <w:highlight w:val="none"/>
        </w:rPr>
        <w:t>④</w:t>
      </w:r>
      <w:r>
        <w:rPr>
          <w:rFonts w:ascii="宋体" w:hAnsi="宋体"/>
          <w:color w:val="auto"/>
          <w:highlight w:val="none"/>
        </w:rPr>
        <w:t xml:space="preserve"> </w:t>
      </w:r>
      <w:r>
        <w:rPr>
          <w:rFonts w:hint="eastAsia" w:ascii="宋体" w:hAnsi="宋体"/>
          <w:color w:val="auto"/>
          <w:highlight w:val="none"/>
        </w:rPr>
        <w:t>提供虚假的项目负责人或者主要技术人员简历、劳动关系证明；</w:t>
      </w:r>
    </w:p>
    <w:p w14:paraId="4E360DE0">
      <w:pPr>
        <w:spacing w:line="400" w:lineRule="exact"/>
        <w:ind w:firstLine="420" w:firstLineChars="200"/>
        <w:rPr>
          <w:rFonts w:ascii="宋体" w:hAnsi="宋体"/>
          <w:color w:val="auto"/>
          <w:highlight w:val="none"/>
        </w:rPr>
      </w:pPr>
      <w:r>
        <w:rPr>
          <w:rFonts w:hint="eastAsia" w:ascii="宋体" w:hAnsi="宋体"/>
          <w:color w:val="auto"/>
          <w:highlight w:val="none"/>
        </w:rPr>
        <w:t>⑤</w:t>
      </w:r>
      <w:r>
        <w:rPr>
          <w:rFonts w:ascii="宋体" w:hAnsi="宋体"/>
          <w:color w:val="auto"/>
          <w:highlight w:val="none"/>
        </w:rPr>
        <w:t xml:space="preserve"> </w:t>
      </w:r>
      <w:r>
        <w:rPr>
          <w:rFonts w:hint="eastAsia" w:ascii="宋体" w:hAnsi="宋体"/>
          <w:color w:val="auto"/>
          <w:highlight w:val="none"/>
        </w:rPr>
        <w:t>提供虚假的信用状况；</w:t>
      </w:r>
    </w:p>
    <w:p w14:paraId="32BC0926">
      <w:pPr>
        <w:tabs>
          <w:tab w:val="left" w:pos="993"/>
        </w:tabs>
        <w:spacing w:line="400" w:lineRule="exact"/>
        <w:ind w:firstLine="420" w:firstLineChars="200"/>
        <w:rPr>
          <w:rFonts w:ascii="宋体" w:hAnsi="宋体"/>
          <w:color w:val="auto"/>
          <w:highlight w:val="none"/>
        </w:rPr>
      </w:pPr>
      <w:r>
        <w:rPr>
          <w:rFonts w:hint="eastAsia" w:ascii="宋体" w:hAnsi="宋体"/>
          <w:color w:val="auto"/>
          <w:highlight w:val="none"/>
        </w:rPr>
        <w:t>⑥</w:t>
      </w:r>
      <w:r>
        <w:rPr>
          <w:rFonts w:ascii="宋体" w:hAnsi="宋体"/>
          <w:color w:val="auto"/>
          <w:highlight w:val="none"/>
        </w:rPr>
        <w:t xml:space="preserve"> </w:t>
      </w:r>
      <w:r>
        <w:rPr>
          <w:rFonts w:hint="eastAsia" w:ascii="宋体" w:hAnsi="宋体"/>
          <w:color w:val="auto"/>
          <w:highlight w:val="none"/>
        </w:rPr>
        <w:t>其他弄虚作假的行为。</w:t>
      </w:r>
    </w:p>
    <w:p w14:paraId="12154BB3">
      <w:pPr>
        <w:spacing w:line="360" w:lineRule="auto"/>
        <w:ind w:firstLine="420" w:firstLineChars="200"/>
        <w:rPr>
          <w:rFonts w:hint="eastAsia"/>
          <w:color w:val="auto"/>
          <w:highlight w:val="none"/>
        </w:rPr>
      </w:pPr>
      <w:r>
        <w:rPr>
          <w:rFonts w:hint="eastAsia"/>
          <w:color w:val="auto"/>
          <w:highlight w:val="none"/>
        </w:rPr>
        <w:t>3.1.3投标报价有算术错误的，评标委员会按以下原则对投标报价进行修正，修正的价格经投标人书面确认后具有约束力。投标人不接受修正价格的，</w:t>
      </w:r>
      <w:r>
        <w:rPr>
          <w:color w:val="auto"/>
          <w:highlight w:val="none"/>
        </w:rPr>
        <w:t>或者修正后的投标报价超过</w:t>
      </w:r>
      <w:r>
        <w:rPr>
          <w:rFonts w:hint="eastAsia"/>
          <w:color w:val="auto"/>
          <w:highlight w:val="none"/>
        </w:rPr>
        <w:t>最高投标限价</w:t>
      </w:r>
      <w:r>
        <w:rPr>
          <w:color w:val="auto"/>
          <w:highlight w:val="none"/>
        </w:rPr>
        <w:t>的（如有</w:t>
      </w:r>
      <w:r>
        <w:rPr>
          <w:rFonts w:hint="eastAsia"/>
          <w:color w:val="auto"/>
          <w:highlight w:val="none"/>
        </w:rPr>
        <w:t>），其投标将被否决。</w:t>
      </w:r>
    </w:p>
    <w:p w14:paraId="7E2E298C">
      <w:pPr>
        <w:tabs>
          <w:tab w:val="left" w:pos="1980"/>
        </w:tabs>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38A0657D">
      <w:pPr>
        <w:tabs>
          <w:tab w:val="left" w:pos="1980"/>
        </w:tabs>
        <w:spacing w:line="400" w:lineRule="exact"/>
        <w:ind w:firstLine="420" w:firstLineChars="200"/>
        <w:rPr>
          <w:rFonts w:hint="eastAsia"/>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1A1F286D">
      <w:pPr>
        <w:tabs>
          <w:tab w:val="left" w:pos="1980"/>
        </w:tabs>
        <w:spacing w:line="400" w:lineRule="exact"/>
        <w:ind w:firstLine="420" w:firstLineChars="200"/>
        <w:rPr>
          <w:color w:val="auto"/>
          <w:highlight w:val="none"/>
        </w:rPr>
      </w:pPr>
      <w:r>
        <w:rPr>
          <w:rFonts w:hint="eastAsia"/>
          <w:color w:val="auto"/>
          <w:highlight w:val="none"/>
        </w:rPr>
        <w:t>3.1.4</w:t>
      </w:r>
      <w:r>
        <w:rPr>
          <w:color w:val="auto"/>
          <w:highlight w:val="none"/>
        </w:rPr>
        <w:t>评标委员会否决不合格投标后，因有效投标不足三个使得投标明显缺乏竞争的，评标委员会可以否决全部投标。</w:t>
      </w:r>
    </w:p>
    <w:p w14:paraId="5550B600">
      <w:pPr>
        <w:pStyle w:val="107"/>
        <w:outlineLvl w:val="3"/>
        <w:rPr>
          <w:rFonts w:ascii="黑体" w:hAnsi="黑体"/>
          <w:color w:val="auto"/>
          <w:highlight w:val="none"/>
        </w:rPr>
      </w:pPr>
      <w:bookmarkStart w:id="1450" w:name="_Toc1864"/>
      <w:bookmarkStart w:id="1451" w:name="_Toc519085366"/>
      <w:bookmarkStart w:id="1452" w:name="_Toc8102"/>
      <w:bookmarkStart w:id="1453" w:name="_Toc15107"/>
      <w:bookmarkStart w:id="1454" w:name="_Toc14937"/>
      <w:r>
        <w:rPr>
          <w:rFonts w:hint="eastAsia" w:ascii="黑体" w:hAnsi="黑体"/>
          <w:color w:val="auto"/>
          <w:highlight w:val="none"/>
        </w:rPr>
        <w:t>3.2 详细评审</w:t>
      </w:r>
      <w:bookmarkEnd w:id="1450"/>
      <w:bookmarkEnd w:id="1451"/>
      <w:bookmarkEnd w:id="1452"/>
      <w:bookmarkEnd w:id="1453"/>
      <w:bookmarkEnd w:id="1454"/>
    </w:p>
    <w:p w14:paraId="603F6BED">
      <w:pPr>
        <w:tabs>
          <w:tab w:val="left" w:pos="1980"/>
        </w:tabs>
        <w:spacing w:line="400" w:lineRule="exact"/>
        <w:ind w:firstLine="420" w:firstLineChars="200"/>
        <w:rPr>
          <w:color w:val="auto"/>
          <w:highlight w:val="none"/>
        </w:rPr>
      </w:pPr>
      <w:r>
        <w:rPr>
          <w:rFonts w:hint="eastAsia"/>
          <w:color w:val="auto"/>
          <w:highlight w:val="none"/>
        </w:rPr>
        <w:t>3.2.1 评标委员会按本章第2.2款规定的量化因素和标准进行价格折算，计算出评标价，并编制价格比较一览表。</w:t>
      </w:r>
    </w:p>
    <w:p w14:paraId="1C2D6F84">
      <w:pPr>
        <w:spacing w:line="400" w:lineRule="exact"/>
        <w:ind w:firstLine="420" w:firstLineChars="200"/>
        <w:rPr>
          <w:color w:val="auto"/>
          <w:highlight w:val="none"/>
        </w:rPr>
      </w:pPr>
      <w:r>
        <w:rPr>
          <w:rFonts w:hint="eastAsia"/>
          <w:color w:val="auto"/>
          <w:highlight w:val="none"/>
        </w:rPr>
        <w:t>3.2.2 评标委员会发现投标人的报价明显低于其他投标报价，或者在设有标底时明显低于标底，使得其投标报价可能低于其成本的，应当要求该投标人作出书面说明并提供相应的证明材料。投标人不能合理说明或者不能提供相应证明材料的，评标委员会应当认定该投标人以低于成本报价竞标，应当否决其投标。</w:t>
      </w:r>
    </w:p>
    <w:p w14:paraId="1A1EE57F">
      <w:pPr>
        <w:pStyle w:val="107"/>
        <w:outlineLvl w:val="3"/>
        <w:rPr>
          <w:rFonts w:ascii="黑体" w:hAnsi="黑体"/>
          <w:color w:val="auto"/>
          <w:highlight w:val="none"/>
        </w:rPr>
      </w:pPr>
      <w:bookmarkStart w:id="1455" w:name="_Toc18672"/>
      <w:bookmarkStart w:id="1456" w:name="_Toc9124"/>
      <w:bookmarkStart w:id="1457" w:name="_Toc519085367"/>
      <w:bookmarkStart w:id="1458" w:name="_Toc11455"/>
      <w:bookmarkStart w:id="1459" w:name="_Toc17308"/>
      <w:r>
        <w:rPr>
          <w:rFonts w:hint="eastAsia" w:ascii="黑体" w:hAnsi="黑体"/>
          <w:color w:val="auto"/>
          <w:highlight w:val="none"/>
        </w:rPr>
        <w:t>3.3 投标文件的澄清和补正</w:t>
      </w:r>
      <w:bookmarkEnd w:id="1455"/>
      <w:bookmarkEnd w:id="1456"/>
      <w:bookmarkEnd w:id="1457"/>
      <w:bookmarkEnd w:id="1458"/>
      <w:bookmarkEnd w:id="1459"/>
    </w:p>
    <w:p w14:paraId="5D215F4F">
      <w:pPr>
        <w:tabs>
          <w:tab w:val="left" w:pos="1980"/>
        </w:tabs>
        <w:spacing w:line="400" w:lineRule="exact"/>
        <w:ind w:firstLine="420" w:firstLineChars="200"/>
        <w:rPr>
          <w:rFonts w:hint="eastAsia"/>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3304EBCF">
      <w:pPr>
        <w:tabs>
          <w:tab w:val="left" w:pos="1980"/>
        </w:tabs>
        <w:spacing w:line="400" w:lineRule="exact"/>
        <w:ind w:firstLine="420" w:firstLineChars="200"/>
        <w:rPr>
          <w:rFonts w:hint="eastAsia"/>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270375CC">
      <w:pPr>
        <w:tabs>
          <w:tab w:val="left" w:pos="1980"/>
        </w:tabs>
        <w:spacing w:line="400" w:lineRule="exact"/>
        <w:ind w:firstLine="420" w:firstLineChars="200"/>
        <w:rPr>
          <w:rFonts w:hint="eastAsia"/>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2BFAAAA0">
      <w:pPr>
        <w:tabs>
          <w:tab w:val="left" w:pos="1980"/>
        </w:tabs>
        <w:spacing w:line="400" w:lineRule="exact"/>
        <w:ind w:firstLine="420" w:firstLineChars="200"/>
        <w:rPr>
          <w:rFonts w:hint="eastAsia"/>
          <w:color w:val="auto"/>
          <w:highlight w:val="none"/>
        </w:rPr>
      </w:pPr>
      <w:r>
        <w:rPr>
          <w:rFonts w:hint="eastAsia"/>
          <w:color w:val="auto"/>
          <w:highlight w:val="none"/>
        </w:rPr>
        <w:t>3.3.4评标委员会要求投标人对投标文件问题澄清的通知，以及投标人对投标文件的澄清通过“市电子交易平台”“投标文件澄清”菜单以书面形式进行。</w:t>
      </w:r>
    </w:p>
    <w:p w14:paraId="3C3C5CD0">
      <w:pPr>
        <w:pStyle w:val="107"/>
        <w:outlineLvl w:val="3"/>
        <w:rPr>
          <w:rFonts w:ascii="黑体" w:hAnsi="黑体"/>
          <w:color w:val="auto"/>
          <w:highlight w:val="none"/>
        </w:rPr>
      </w:pPr>
      <w:bookmarkStart w:id="1460" w:name="_Toc28547"/>
      <w:bookmarkStart w:id="1461" w:name="_Toc32507"/>
      <w:bookmarkStart w:id="1462" w:name="_Toc519085368"/>
      <w:bookmarkStart w:id="1463" w:name="_Toc26364"/>
      <w:bookmarkStart w:id="1464" w:name="_Toc26948"/>
      <w:r>
        <w:rPr>
          <w:rFonts w:hint="eastAsia" w:ascii="黑体" w:hAnsi="黑体"/>
          <w:color w:val="auto"/>
          <w:highlight w:val="none"/>
        </w:rPr>
        <w:t>3.4 评标结果</w:t>
      </w:r>
      <w:bookmarkEnd w:id="1460"/>
      <w:bookmarkEnd w:id="1461"/>
      <w:bookmarkEnd w:id="1462"/>
      <w:bookmarkEnd w:id="1463"/>
      <w:bookmarkEnd w:id="1464"/>
    </w:p>
    <w:p w14:paraId="24CD4E30">
      <w:pPr>
        <w:tabs>
          <w:tab w:val="left" w:pos="1980"/>
        </w:tabs>
        <w:spacing w:line="400" w:lineRule="exact"/>
        <w:ind w:firstLine="420" w:firstLineChars="200"/>
        <w:rPr>
          <w:color w:val="auto"/>
          <w:highlight w:val="none"/>
        </w:rPr>
      </w:pPr>
      <w:r>
        <w:rPr>
          <w:rFonts w:hint="eastAsia"/>
          <w:color w:val="auto"/>
          <w:highlight w:val="none"/>
        </w:rPr>
        <w:t>3.4.1评标委员会按照第二章“投标人须知</w:t>
      </w:r>
      <w:r>
        <w:rPr>
          <w:rFonts w:hint="eastAsia"/>
          <w:color w:val="auto"/>
          <w:highlight w:val="none"/>
          <w:lang w:val="en-US" w:eastAsia="zh-CN"/>
        </w:rPr>
        <w:t>前附表</w:t>
      </w:r>
      <w:r>
        <w:rPr>
          <w:rFonts w:hint="eastAsia"/>
          <w:color w:val="auto"/>
          <w:highlight w:val="none"/>
        </w:rPr>
        <w:t>” 第</w:t>
      </w:r>
      <w:r>
        <w:rPr>
          <w:rFonts w:hint="eastAsia"/>
          <w:color w:val="auto"/>
          <w:highlight w:val="none"/>
          <w:lang w:val="en-US" w:eastAsia="zh-CN"/>
        </w:rPr>
        <w:t>6.3.2</w:t>
      </w:r>
      <w:r>
        <w:rPr>
          <w:rFonts w:hint="eastAsia"/>
          <w:color w:val="auto"/>
          <w:highlight w:val="none"/>
        </w:rPr>
        <w:t>款规定</w:t>
      </w:r>
      <w:r>
        <w:rPr>
          <w:rFonts w:hint="eastAsia"/>
          <w:color w:val="auto"/>
          <w:highlight w:val="none"/>
          <w:lang w:eastAsia="zh-CN"/>
        </w:rPr>
        <w:t>，</w:t>
      </w:r>
      <w:r>
        <w:rPr>
          <w:rFonts w:hint="eastAsia"/>
          <w:color w:val="auto"/>
          <w:highlight w:val="none"/>
          <w:lang w:val="en-US" w:eastAsia="zh-CN"/>
        </w:rPr>
        <w:t>根据</w:t>
      </w:r>
      <w:r>
        <w:rPr>
          <w:rFonts w:hint="eastAsia"/>
          <w:color w:val="auto"/>
          <w:highlight w:val="none"/>
        </w:rPr>
        <w:t>经评审的价格由低到高的顺序推荐中标候选人</w:t>
      </w:r>
      <w:r>
        <w:rPr>
          <w:rFonts w:hint="eastAsia"/>
          <w:color w:val="auto"/>
          <w:highlight w:val="none"/>
          <w:lang w:eastAsia="zh-CN"/>
        </w:rPr>
        <w:t>，</w:t>
      </w:r>
      <w:r>
        <w:rPr>
          <w:rFonts w:hint="eastAsia"/>
          <w:color w:val="auto"/>
          <w:highlight w:val="none"/>
          <w:lang w:val="en-US" w:eastAsia="zh-CN"/>
        </w:rPr>
        <w:t>不</w:t>
      </w:r>
      <w:r>
        <w:rPr>
          <w:rFonts w:hint="eastAsia"/>
          <w:color w:val="auto"/>
          <w:highlight w:val="none"/>
        </w:rPr>
        <w:t>标明排列顺序。</w:t>
      </w:r>
    </w:p>
    <w:p w14:paraId="1B910089">
      <w:pPr>
        <w:spacing w:line="400" w:lineRule="exact"/>
        <w:ind w:firstLine="482"/>
        <w:rPr>
          <w:rFonts w:hint="eastAsia"/>
          <w:color w:val="auto"/>
          <w:highlight w:val="none"/>
        </w:rPr>
      </w:pPr>
      <w:r>
        <w:rPr>
          <w:rFonts w:hint="eastAsia"/>
          <w:color w:val="auto"/>
          <w:highlight w:val="none"/>
        </w:rPr>
        <w:t>3.4.2招标文件允许多标段（包）投标、多标段（包）中标的，各标段（包）中标候选人的推荐按第二章“投标人须知” 第10.1款规定执行，对某些标段（包）由此产生的空缺由排序在后的投标人依次替补。</w:t>
      </w:r>
    </w:p>
    <w:p w14:paraId="469A3810">
      <w:pPr>
        <w:spacing w:line="360" w:lineRule="auto"/>
        <w:ind w:firstLine="420" w:firstLineChars="200"/>
        <w:rPr>
          <w:rFonts w:hint="eastAsia" w:eastAsia="宋体"/>
          <w:color w:val="FF0000"/>
          <w:highlight w:val="none"/>
          <w:lang w:eastAsia="zh-CN"/>
        </w:rPr>
        <w:sectPr>
          <w:pgSz w:w="11906" w:h="16838"/>
          <w:pgMar w:top="1440" w:right="1803" w:bottom="1440" w:left="1803" w:header="851" w:footer="992" w:gutter="0"/>
          <w:cols w:space="720" w:num="1"/>
          <w:docGrid w:type="lines" w:linePitch="319" w:charSpace="0"/>
        </w:sectPr>
      </w:pPr>
      <w:r>
        <w:rPr>
          <w:rFonts w:hint="eastAsia"/>
          <w:color w:val="auto"/>
          <w:highlight w:val="none"/>
        </w:rPr>
        <w:t xml:space="preserve"> 3.4.3 评标委员会完成评标后，应当向招标人提交书面评标报告</w:t>
      </w:r>
      <w:r>
        <w:rPr>
          <w:rFonts w:hint="eastAsia"/>
          <w:color w:val="auto"/>
          <w:highlight w:val="none"/>
          <w:lang w:eastAsia="zh-CN"/>
        </w:rPr>
        <w:t>，</w:t>
      </w:r>
      <w:r>
        <w:rPr>
          <w:rFonts w:hint="eastAsia"/>
          <w:color w:val="auto"/>
          <w:highlight w:val="none"/>
          <w:lang w:val="en-US" w:eastAsia="zh-CN"/>
        </w:rPr>
        <w:t>并在评标报告评审结论中对每个中标候选人的优势、不足、风险等情况进行详细说明。</w:t>
      </w:r>
    </w:p>
    <w:p w14:paraId="415122D9">
      <w:pPr>
        <w:pStyle w:val="4"/>
        <w:spacing w:before="63"/>
        <w:rPr>
          <w:rFonts w:hint="eastAsia" w:ascii="Times New Roman" w:hAnsi="Times New Roman"/>
          <w:color w:val="auto"/>
          <w:highlight w:val="none"/>
        </w:rPr>
      </w:pPr>
      <w:bookmarkStart w:id="1465" w:name="_Toc29629"/>
      <w:r>
        <w:rPr>
          <w:rFonts w:hint="eastAsia" w:ascii="Times New Roman" w:hAnsi="Times New Roman"/>
          <w:color w:val="auto"/>
          <w:highlight w:val="none"/>
        </w:rPr>
        <w:t>政府采购工程招标资格条件设置及评标优惠政策一览表</w:t>
      </w:r>
      <w:bookmarkEnd w:id="1465"/>
    </w:p>
    <w:p w14:paraId="221BCDDE">
      <w:pPr>
        <w:jc w:val="center"/>
        <w:rPr>
          <w:color w:val="auto"/>
          <w:highlight w:val="none"/>
        </w:rPr>
      </w:pPr>
      <w:r>
        <w:rPr>
          <w:rFonts w:hint="eastAsia" w:ascii="宋体" w:hAnsi="宋体" w:cs="宋体"/>
          <w:b/>
          <w:bCs/>
          <w:color w:val="auto"/>
          <w:kern w:val="0"/>
          <w:sz w:val="28"/>
          <w:szCs w:val="28"/>
          <w:highlight w:val="none"/>
        </w:rPr>
        <w:t>（2022年7月1日起正式执行）</w:t>
      </w:r>
    </w:p>
    <w:tbl>
      <w:tblPr>
        <w:tblStyle w:val="39"/>
        <w:tblW w:w="0" w:type="auto"/>
        <w:tblInd w:w="93" w:type="dxa"/>
        <w:tblLayout w:type="fixed"/>
        <w:tblCellMar>
          <w:top w:w="0" w:type="dxa"/>
          <w:left w:w="108" w:type="dxa"/>
          <w:bottom w:w="0" w:type="dxa"/>
          <w:right w:w="108" w:type="dxa"/>
        </w:tblCellMar>
      </w:tblPr>
      <w:tblGrid>
        <w:gridCol w:w="435"/>
        <w:gridCol w:w="1978"/>
        <w:gridCol w:w="4474"/>
        <w:gridCol w:w="729"/>
        <w:gridCol w:w="5734"/>
      </w:tblGrid>
      <w:tr w14:paraId="68A20081">
        <w:tblPrEx>
          <w:tblCellMar>
            <w:top w:w="0" w:type="dxa"/>
            <w:left w:w="108" w:type="dxa"/>
            <w:bottom w:w="0" w:type="dxa"/>
            <w:right w:w="108" w:type="dxa"/>
          </w:tblCellMar>
        </w:tblPrEx>
        <w:trPr>
          <w:trHeight w:val="630" w:hRule="atLeast"/>
        </w:trPr>
        <w:tc>
          <w:tcPr>
            <w:tcW w:w="13350" w:type="dxa"/>
            <w:gridSpan w:val="5"/>
            <w:tcBorders>
              <w:top w:val="single" w:color="auto" w:sz="4" w:space="0"/>
              <w:left w:val="single" w:color="auto" w:sz="4" w:space="0"/>
              <w:bottom w:val="single" w:color="auto" w:sz="4" w:space="0"/>
              <w:right w:val="single" w:color="auto" w:sz="4" w:space="0"/>
            </w:tcBorders>
            <w:noWrap w:val="0"/>
            <w:vAlign w:val="center"/>
          </w:tcPr>
          <w:p w14:paraId="243C06FF">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预留份额的采购项目</w:t>
            </w:r>
          </w:p>
        </w:tc>
      </w:tr>
      <w:tr w14:paraId="70D371D7">
        <w:tblPrEx>
          <w:tblCellMar>
            <w:top w:w="0" w:type="dxa"/>
            <w:left w:w="108" w:type="dxa"/>
            <w:bottom w:w="0" w:type="dxa"/>
            <w:right w:w="108" w:type="dxa"/>
          </w:tblCellMar>
        </w:tblPrEx>
        <w:trPr>
          <w:trHeight w:val="630"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2189219E">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序号</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08FE786F">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资格条件</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0DFC088A">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资格条件表述</w:t>
            </w:r>
          </w:p>
        </w:tc>
        <w:tc>
          <w:tcPr>
            <w:tcW w:w="729" w:type="dxa"/>
            <w:tcBorders>
              <w:top w:val="single" w:color="auto" w:sz="4" w:space="0"/>
              <w:left w:val="single" w:color="auto" w:sz="4" w:space="0"/>
              <w:bottom w:val="single" w:color="auto" w:sz="4" w:space="0"/>
              <w:right w:val="single" w:color="auto" w:sz="4" w:space="0"/>
            </w:tcBorders>
            <w:noWrap w:val="0"/>
            <w:vAlign w:val="center"/>
          </w:tcPr>
          <w:p w14:paraId="1BF9C29A">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评标优惠</w:t>
            </w:r>
          </w:p>
        </w:tc>
        <w:tc>
          <w:tcPr>
            <w:tcW w:w="5734" w:type="dxa"/>
            <w:tcBorders>
              <w:top w:val="single" w:color="auto" w:sz="4" w:space="0"/>
              <w:left w:val="single" w:color="auto" w:sz="4" w:space="0"/>
              <w:bottom w:val="single" w:color="auto" w:sz="4" w:space="0"/>
              <w:right w:val="single" w:color="auto" w:sz="4" w:space="0"/>
            </w:tcBorders>
            <w:noWrap w:val="0"/>
            <w:vAlign w:val="center"/>
          </w:tcPr>
          <w:p w14:paraId="32617857">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行业适用性</w:t>
            </w:r>
          </w:p>
        </w:tc>
      </w:tr>
      <w:tr w14:paraId="7B480D51">
        <w:tblPrEx>
          <w:tblCellMar>
            <w:top w:w="0" w:type="dxa"/>
            <w:left w:w="108" w:type="dxa"/>
            <w:bottom w:w="0" w:type="dxa"/>
            <w:right w:w="108" w:type="dxa"/>
          </w:tblCellMar>
        </w:tblPrEx>
        <w:trPr>
          <w:trHeight w:val="494" w:hRule="atLeast"/>
        </w:trPr>
        <w:tc>
          <w:tcPr>
            <w:tcW w:w="435" w:type="dxa"/>
            <w:tcBorders>
              <w:top w:val="nil"/>
              <w:left w:val="single" w:color="auto" w:sz="4" w:space="0"/>
              <w:bottom w:val="single" w:color="auto" w:sz="4" w:space="0"/>
              <w:right w:val="single" w:color="auto" w:sz="4" w:space="0"/>
            </w:tcBorders>
            <w:noWrap w:val="0"/>
            <w:vAlign w:val="center"/>
          </w:tcPr>
          <w:p w14:paraId="009F8788">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p>
        </w:tc>
        <w:tc>
          <w:tcPr>
            <w:tcW w:w="1978" w:type="dxa"/>
            <w:tcBorders>
              <w:top w:val="nil"/>
              <w:left w:val="single" w:color="auto" w:sz="4" w:space="0"/>
              <w:bottom w:val="single" w:color="auto" w:sz="4" w:space="0"/>
              <w:right w:val="single" w:color="auto" w:sz="4" w:space="0"/>
            </w:tcBorders>
            <w:noWrap w:val="0"/>
            <w:vAlign w:val="center"/>
          </w:tcPr>
          <w:p w14:paraId="198B914C">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专门面向中小企业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6559E92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采购项目整体预留专门面向中小企业采购</w:t>
            </w:r>
          </w:p>
        </w:tc>
        <w:tc>
          <w:tcPr>
            <w:tcW w:w="729" w:type="dxa"/>
            <w:vMerge w:val="restart"/>
            <w:tcBorders>
              <w:top w:val="single" w:color="auto" w:sz="4" w:space="0"/>
              <w:left w:val="single" w:color="auto" w:sz="4" w:space="0"/>
              <w:bottom w:val="single" w:color="auto" w:sz="4" w:space="0"/>
              <w:right w:val="single" w:color="auto" w:sz="4" w:space="0"/>
            </w:tcBorders>
            <w:noWrap w:val="0"/>
            <w:vAlign w:val="center"/>
          </w:tcPr>
          <w:p w14:paraId="7ECE0BAB">
            <w:pPr>
              <w:keepNext w:val="0"/>
              <w:keepLines w:val="0"/>
              <w:widowControl/>
              <w:suppressLineNumbers w:val="0"/>
              <w:spacing w:before="0" w:beforeAutospacing="0" w:after="0" w:afterAutospacing="0"/>
              <w:ind w:left="0" w:right="0"/>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落实了政府采购预留份额政策，无评标优惠。</w:t>
            </w:r>
          </w:p>
        </w:tc>
        <w:tc>
          <w:tcPr>
            <w:tcW w:w="5734" w:type="dxa"/>
            <w:vMerge w:val="restart"/>
            <w:tcBorders>
              <w:top w:val="nil"/>
              <w:left w:val="single" w:color="auto" w:sz="4" w:space="0"/>
              <w:right w:val="single" w:color="auto" w:sz="4" w:space="0"/>
            </w:tcBorders>
            <w:noWrap w:val="0"/>
            <w:vAlign w:val="center"/>
          </w:tcPr>
          <w:p w14:paraId="3DEADFB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适用于中小型项目</w:t>
            </w:r>
          </w:p>
        </w:tc>
      </w:tr>
      <w:tr w14:paraId="401EECCF">
        <w:tblPrEx>
          <w:tblCellMar>
            <w:top w:w="0" w:type="dxa"/>
            <w:left w:w="108" w:type="dxa"/>
            <w:bottom w:w="0" w:type="dxa"/>
            <w:right w:w="108" w:type="dxa"/>
          </w:tblCellMar>
        </w:tblPrEx>
        <w:trPr>
          <w:trHeight w:val="463" w:hRule="atLeast"/>
        </w:trPr>
        <w:tc>
          <w:tcPr>
            <w:tcW w:w="435" w:type="dxa"/>
            <w:tcBorders>
              <w:top w:val="nil"/>
              <w:left w:val="single" w:color="auto" w:sz="4" w:space="0"/>
              <w:bottom w:val="single" w:color="auto" w:sz="4" w:space="0"/>
              <w:right w:val="single" w:color="auto" w:sz="4" w:space="0"/>
            </w:tcBorders>
            <w:noWrap w:val="0"/>
            <w:vAlign w:val="center"/>
          </w:tcPr>
          <w:p w14:paraId="6991C040">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p>
        </w:tc>
        <w:tc>
          <w:tcPr>
            <w:tcW w:w="1978" w:type="dxa"/>
            <w:tcBorders>
              <w:top w:val="nil"/>
              <w:left w:val="nil"/>
              <w:bottom w:val="single" w:color="auto" w:sz="4" w:space="0"/>
              <w:right w:val="single" w:color="auto" w:sz="4" w:space="0"/>
            </w:tcBorders>
            <w:noWrap w:val="0"/>
            <w:vAlign w:val="center"/>
          </w:tcPr>
          <w:p w14:paraId="5CB492D7">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专门面向小微企业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7B74A37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采购项目整体预留专门面向小微企业采购</w:t>
            </w:r>
          </w:p>
        </w:tc>
        <w:tc>
          <w:tcPr>
            <w:tcW w:w="729" w:type="dxa"/>
            <w:vMerge w:val="continue"/>
            <w:tcBorders>
              <w:left w:val="single" w:color="auto" w:sz="4" w:space="0"/>
              <w:bottom w:val="single" w:color="auto" w:sz="4" w:space="0"/>
              <w:right w:val="single" w:color="auto" w:sz="4" w:space="0"/>
            </w:tcBorders>
            <w:noWrap w:val="0"/>
            <w:vAlign w:val="center"/>
          </w:tcPr>
          <w:p w14:paraId="7EC3A3B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vMerge w:val="continue"/>
            <w:tcBorders>
              <w:left w:val="single" w:color="auto" w:sz="4" w:space="0"/>
              <w:bottom w:val="single" w:color="auto" w:sz="4" w:space="0"/>
              <w:right w:val="single" w:color="auto" w:sz="4" w:space="0"/>
            </w:tcBorders>
            <w:noWrap w:val="0"/>
            <w:vAlign w:val="center"/>
          </w:tcPr>
          <w:p w14:paraId="6CEC158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1C4D527F">
        <w:tblPrEx>
          <w:tblCellMar>
            <w:top w:w="0" w:type="dxa"/>
            <w:left w:w="108" w:type="dxa"/>
            <w:bottom w:w="0" w:type="dxa"/>
            <w:right w:w="108" w:type="dxa"/>
          </w:tblCellMar>
        </w:tblPrEx>
        <w:trPr>
          <w:trHeight w:val="928"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79C5324A">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6D795125">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预留部分份额</w:t>
            </w:r>
          </w:p>
          <w:p w14:paraId="09A7A7DE">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要求联合中小企业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63ACF59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采购项目部分预留面向中小企业采购</w:t>
            </w:r>
          </w:p>
          <w:p w14:paraId="108FC0C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投标人应当以联合体的形式参加投标，且联合体中中小企业承担的部分达到预算总额的</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以上，其中小微企业承担的比例不低于</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3B14FB3C">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组成联合体的中小企业与联合体内其他企业、分包企业之间不得存在直接控股、管理关系。</w:t>
            </w:r>
          </w:p>
          <w:p w14:paraId="48D3767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（前述比例由招标人根据项目的具体情况约定）</w:t>
            </w:r>
          </w:p>
          <w:p w14:paraId="3D01A6E6">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29" w:type="dxa"/>
            <w:vMerge w:val="continue"/>
            <w:tcBorders>
              <w:left w:val="single" w:color="auto" w:sz="4" w:space="0"/>
              <w:bottom w:val="single" w:color="auto" w:sz="4" w:space="0"/>
              <w:right w:val="single" w:color="auto" w:sz="4" w:space="0"/>
            </w:tcBorders>
            <w:noWrap w:val="0"/>
            <w:vAlign w:val="center"/>
          </w:tcPr>
          <w:p w14:paraId="02EAF34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noWrap w:val="0"/>
            <w:vAlign w:val="center"/>
          </w:tcPr>
          <w:p w14:paraId="316CE0E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总承包企业之间或专业承包企业之间组成联合体，不应当是总承包企业与专业承包企业或劳务分包企业组成联合体。</w:t>
            </w:r>
          </w:p>
          <w:p w14:paraId="71B9492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适用于涉及多个总承包资质或专业承包资质的项目。</w:t>
            </w:r>
          </w:p>
          <w:p w14:paraId="37741AB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r>
              <w:rPr>
                <w:rFonts w:hint="eastAsia" w:ascii="宋体" w:hAnsi="宋体" w:eastAsia="宋体" w:cs="宋体"/>
                <w:color w:val="auto"/>
                <w:kern w:val="0"/>
                <w:szCs w:val="21"/>
                <w:highlight w:val="none"/>
              </w:rPr>
              <w:t>招标人要明确预留的标的和金额，如既有房建工程又有市政工程的施工总承包招标中，要求投标人应当以联合体的形式，将金额较小的部分交由相应资质的中小企业承担。这种联合体形式不常见。</w:t>
            </w:r>
          </w:p>
          <w:p w14:paraId="7EC2AFA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r>
              <w:rPr>
                <w:rFonts w:hint="eastAsia" w:ascii="宋体" w:hAnsi="宋体" w:eastAsia="宋体" w:cs="宋体"/>
                <w:color w:val="auto"/>
                <w:kern w:val="0"/>
                <w:szCs w:val="21"/>
                <w:highlight w:val="none"/>
              </w:rPr>
              <w:t>如由同一专业组成联合体，联合体的资质认定已有规定，该联合体的类似项目业绩、财务状况、信誉状况如何认定，需要在招标文件中约定。</w:t>
            </w:r>
          </w:p>
        </w:tc>
      </w:tr>
      <w:tr w14:paraId="5E162950">
        <w:tblPrEx>
          <w:tblCellMar>
            <w:top w:w="0" w:type="dxa"/>
            <w:left w:w="108" w:type="dxa"/>
            <w:bottom w:w="0" w:type="dxa"/>
            <w:right w:w="108" w:type="dxa"/>
          </w:tblCellMar>
        </w:tblPrEx>
        <w:trPr>
          <w:trHeight w:val="525"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241980C2">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p>
        </w:tc>
        <w:tc>
          <w:tcPr>
            <w:tcW w:w="1978" w:type="dxa"/>
            <w:tcBorders>
              <w:top w:val="single" w:color="auto" w:sz="4" w:space="0"/>
              <w:left w:val="nil"/>
              <w:bottom w:val="single" w:color="auto" w:sz="4" w:space="0"/>
              <w:right w:val="single" w:color="auto" w:sz="4" w:space="0"/>
            </w:tcBorders>
            <w:noWrap w:val="0"/>
            <w:vAlign w:val="center"/>
          </w:tcPr>
          <w:p w14:paraId="43BFA0ED">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预留部分份额</w:t>
            </w:r>
          </w:p>
          <w:p w14:paraId="321E4C7C">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要求分包给中小企业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780D49E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采购项目部分预留面向中小企业采购</w:t>
            </w:r>
          </w:p>
          <w:p w14:paraId="38BF362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投标人应当以向中小企业分包的形式参加投标，且接受分包的中小企业承担的部分达到预算总额的</w:t>
            </w:r>
            <w:r>
              <w:rPr>
                <w:rFonts w:ascii="宋体" w:hAnsi="宋体" w:eastAsia="宋体" w:cs="宋体"/>
                <w:color w:val="auto"/>
                <w:kern w:val="0"/>
                <w:szCs w:val="21"/>
                <w:highlight w:val="none"/>
              </w:rPr>
              <w:t>40%</w:t>
            </w:r>
            <w:r>
              <w:rPr>
                <w:rFonts w:hint="eastAsia" w:ascii="宋体" w:hAnsi="宋体" w:eastAsia="宋体" w:cs="宋体"/>
                <w:color w:val="auto"/>
                <w:kern w:val="0"/>
                <w:szCs w:val="21"/>
                <w:highlight w:val="none"/>
              </w:rPr>
              <w:t>以上，其中接受分包的小微企业承担的比例不低于</w:t>
            </w:r>
            <w:r>
              <w:rPr>
                <w:rFonts w:ascii="宋体" w:hAnsi="宋体" w:eastAsia="宋体" w:cs="宋体"/>
                <w:color w:val="auto"/>
                <w:kern w:val="0"/>
                <w:szCs w:val="21"/>
                <w:highlight w:val="none"/>
              </w:rPr>
              <w:t>60%</w:t>
            </w:r>
            <w:r>
              <w:rPr>
                <w:rFonts w:hint="eastAsia" w:ascii="宋体" w:hAnsi="宋体" w:eastAsia="宋体" w:cs="宋体"/>
                <w:color w:val="auto"/>
                <w:kern w:val="0"/>
                <w:szCs w:val="21"/>
                <w:highlight w:val="none"/>
              </w:rPr>
              <w:t>。</w:t>
            </w:r>
          </w:p>
          <w:p w14:paraId="125882F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接受分包合同的中小企业与分包企业之间不得存在直接控股、管理关系。</w:t>
            </w:r>
          </w:p>
          <w:p w14:paraId="1074123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（前述比例由招标人根据项目的具体情况约定）</w:t>
            </w:r>
          </w:p>
        </w:tc>
        <w:tc>
          <w:tcPr>
            <w:tcW w:w="729" w:type="dxa"/>
            <w:vMerge w:val="continue"/>
            <w:tcBorders>
              <w:left w:val="single" w:color="auto" w:sz="4" w:space="0"/>
              <w:bottom w:val="single" w:color="auto" w:sz="4" w:space="0"/>
              <w:right w:val="single" w:color="auto" w:sz="4" w:space="0"/>
            </w:tcBorders>
            <w:noWrap w:val="0"/>
            <w:vAlign w:val="center"/>
          </w:tcPr>
          <w:p w14:paraId="48DDD35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noWrap w:val="0"/>
            <w:vAlign w:val="center"/>
          </w:tcPr>
          <w:p w14:paraId="35CEF77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施工总承包企业分包给专业承包企业或劳务分包企业；</w:t>
            </w:r>
          </w:p>
          <w:p w14:paraId="2C87AF3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专业承包企业分包给劳务分包企业。</w:t>
            </w:r>
          </w:p>
          <w:p w14:paraId="6831253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r>
              <w:rPr>
                <w:rFonts w:hint="eastAsia" w:ascii="宋体" w:hAnsi="宋体" w:eastAsia="宋体" w:cs="宋体"/>
                <w:color w:val="auto"/>
                <w:kern w:val="0"/>
                <w:szCs w:val="21"/>
                <w:highlight w:val="none"/>
              </w:rPr>
              <w:t>适用于施工总承包发包或专业工程发包的项目。</w:t>
            </w:r>
          </w:p>
          <w:p w14:paraId="6C8847D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r>
              <w:rPr>
                <w:rFonts w:hint="eastAsia" w:ascii="宋体" w:hAnsi="宋体" w:eastAsia="宋体" w:cs="宋体"/>
                <w:color w:val="auto"/>
                <w:kern w:val="0"/>
                <w:szCs w:val="21"/>
                <w:highlight w:val="none"/>
              </w:rPr>
              <w:t>招标人要明确预留的标的和金额，如施工总承包招标中，要求投标人应当以向中小企业分包形式，将某些专业工程、专业工程暂估价、劳务作业分包给相应资质的中小企业承担。</w:t>
            </w:r>
          </w:p>
          <w:p w14:paraId="7AB5B11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5</w:t>
            </w:r>
            <w:r>
              <w:rPr>
                <w:rFonts w:hint="eastAsia" w:ascii="宋体" w:hAnsi="宋体" w:eastAsia="宋体" w:cs="宋体"/>
                <w:color w:val="auto"/>
                <w:kern w:val="0"/>
                <w:szCs w:val="21"/>
                <w:highlight w:val="none"/>
              </w:rPr>
              <w:t>分包形式常见，且易于操作。</w:t>
            </w:r>
          </w:p>
        </w:tc>
      </w:tr>
    </w:tbl>
    <w:p w14:paraId="26978010">
      <w:pPr>
        <w:rPr>
          <w:color w:val="auto"/>
          <w:highlight w:val="none"/>
        </w:rPr>
      </w:pPr>
    </w:p>
    <w:p w14:paraId="39901EEA">
      <w:pPr>
        <w:rPr>
          <w:color w:val="auto"/>
          <w:highlight w:val="none"/>
        </w:rPr>
      </w:pPr>
    </w:p>
    <w:tbl>
      <w:tblPr>
        <w:tblStyle w:val="39"/>
        <w:tblW w:w="0" w:type="auto"/>
        <w:jc w:val="center"/>
        <w:tblLayout w:type="fixed"/>
        <w:tblCellMar>
          <w:top w:w="0" w:type="dxa"/>
          <w:left w:w="108" w:type="dxa"/>
          <w:bottom w:w="0" w:type="dxa"/>
          <w:right w:w="108" w:type="dxa"/>
        </w:tblCellMar>
      </w:tblPr>
      <w:tblGrid>
        <w:gridCol w:w="435"/>
        <w:gridCol w:w="714"/>
        <w:gridCol w:w="1329"/>
        <w:gridCol w:w="8228"/>
        <w:gridCol w:w="2893"/>
      </w:tblGrid>
      <w:tr w14:paraId="1BD4F44E">
        <w:trPr>
          <w:trHeight w:val="90" w:hRule="atLeast"/>
          <w:jc w:val="center"/>
        </w:trPr>
        <w:tc>
          <w:tcPr>
            <w:tcW w:w="13599" w:type="dxa"/>
            <w:gridSpan w:val="5"/>
            <w:tcBorders>
              <w:top w:val="single" w:color="auto" w:sz="4" w:space="0"/>
              <w:left w:val="single" w:color="auto" w:sz="4" w:space="0"/>
              <w:bottom w:val="single" w:color="auto" w:sz="4" w:space="0"/>
              <w:right w:val="single" w:color="auto" w:sz="4" w:space="0"/>
            </w:tcBorders>
            <w:noWrap w:val="0"/>
            <w:vAlign w:val="center"/>
          </w:tcPr>
          <w:p w14:paraId="5FC3BAD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szCs w:val="22"/>
                <w:highlight w:val="none"/>
              </w:rPr>
              <w:t>未预留份额采购项目</w:t>
            </w:r>
          </w:p>
        </w:tc>
      </w:tr>
      <w:tr w14:paraId="09B0435E">
        <w:tblPrEx>
          <w:tblCellMar>
            <w:top w:w="0" w:type="dxa"/>
            <w:left w:w="108" w:type="dxa"/>
            <w:bottom w:w="0" w:type="dxa"/>
            <w:right w:w="108" w:type="dxa"/>
          </w:tblCellMar>
        </w:tblPrEx>
        <w:trPr>
          <w:trHeight w:val="525"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6C6D923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序号</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46DB1F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资格条件</w:t>
            </w:r>
          </w:p>
        </w:tc>
        <w:tc>
          <w:tcPr>
            <w:tcW w:w="1329" w:type="dxa"/>
            <w:tcBorders>
              <w:top w:val="single" w:color="auto" w:sz="4" w:space="0"/>
              <w:left w:val="single" w:color="auto" w:sz="4" w:space="0"/>
              <w:bottom w:val="single" w:color="auto" w:sz="4" w:space="0"/>
              <w:right w:val="single" w:color="auto" w:sz="4" w:space="0"/>
            </w:tcBorders>
            <w:noWrap w:val="0"/>
            <w:vAlign w:val="center"/>
          </w:tcPr>
          <w:p w14:paraId="63C90CA0">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资格条件表述</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1D99904B">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评标优惠</w:t>
            </w:r>
          </w:p>
        </w:tc>
        <w:tc>
          <w:tcPr>
            <w:tcW w:w="2893" w:type="dxa"/>
            <w:tcBorders>
              <w:top w:val="single" w:color="auto" w:sz="4" w:space="0"/>
              <w:left w:val="single" w:color="auto" w:sz="4" w:space="0"/>
              <w:bottom w:val="single" w:color="auto" w:sz="4" w:space="0"/>
              <w:right w:val="single" w:color="auto" w:sz="4" w:space="0"/>
            </w:tcBorders>
            <w:noWrap w:val="0"/>
            <w:vAlign w:val="center"/>
          </w:tcPr>
          <w:p w14:paraId="6D4EAE82">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行业适用性</w:t>
            </w:r>
          </w:p>
        </w:tc>
      </w:tr>
      <w:tr w14:paraId="280927F9">
        <w:tblPrEx>
          <w:tblCellMar>
            <w:top w:w="0" w:type="dxa"/>
            <w:left w:w="108" w:type="dxa"/>
            <w:bottom w:w="0" w:type="dxa"/>
            <w:right w:w="108" w:type="dxa"/>
          </w:tblCellMar>
        </w:tblPrEx>
        <w:trPr>
          <w:trHeight w:val="590"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75D6C5B6">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5</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1FD714A1">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不接受联合体</w:t>
            </w:r>
          </w:p>
        </w:tc>
        <w:tc>
          <w:tcPr>
            <w:tcW w:w="1329" w:type="dxa"/>
            <w:vMerge w:val="restart"/>
            <w:tcBorders>
              <w:top w:val="single" w:color="auto" w:sz="4" w:space="0"/>
              <w:left w:val="single" w:color="auto" w:sz="4" w:space="0"/>
              <w:right w:val="single" w:color="auto" w:sz="4" w:space="0"/>
            </w:tcBorders>
            <w:noWrap w:val="0"/>
            <w:vAlign w:val="center"/>
          </w:tcPr>
          <w:p w14:paraId="3F5E9F1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6F9FC08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tcBorders>
              <w:top w:val="nil"/>
              <w:left w:val="single" w:color="auto" w:sz="4" w:space="0"/>
              <w:bottom w:val="single" w:color="auto" w:sz="4" w:space="0"/>
              <w:right w:val="single" w:color="auto" w:sz="4" w:space="0"/>
            </w:tcBorders>
            <w:noWrap w:val="0"/>
            <w:vAlign w:val="center"/>
          </w:tcPr>
          <w:p w14:paraId="72A421A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18156BE7">
        <w:tblPrEx>
          <w:tblCellMar>
            <w:top w:w="0" w:type="dxa"/>
            <w:left w:w="108" w:type="dxa"/>
            <w:bottom w:w="0" w:type="dxa"/>
            <w:right w:w="108" w:type="dxa"/>
          </w:tblCellMar>
        </w:tblPrEx>
        <w:trPr>
          <w:trHeight w:val="516"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39F33EE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2CA8DBCC">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bottom w:val="single" w:color="auto" w:sz="4" w:space="0"/>
              <w:right w:val="single" w:color="auto" w:sz="4" w:space="0"/>
            </w:tcBorders>
            <w:noWrap w:val="0"/>
            <w:vAlign w:val="center"/>
          </w:tcPr>
          <w:p w14:paraId="1C9768D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022F79B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tcBorders>
              <w:top w:val="nil"/>
              <w:left w:val="nil"/>
              <w:bottom w:val="single" w:color="auto" w:sz="4" w:space="0"/>
              <w:right w:val="single" w:color="auto" w:sz="4" w:space="0"/>
            </w:tcBorders>
            <w:noWrap w:val="0"/>
            <w:vAlign w:val="center"/>
          </w:tcPr>
          <w:p w14:paraId="31985EB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635CD724">
        <w:tblPrEx>
          <w:tblCellMar>
            <w:top w:w="0" w:type="dxa"/>
            <w:left w:w="108" w:type="dxa"/>
            <w:bottom w:w="0" w:type="dxa"/>
            <w:right w:w="108" w:type="dxa"/>
          </w:tblCellMar>
        </w:tblPrEx>
        <w:trPr>
          <w:trHeight w:val="544"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03BA051A">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6</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5B324451">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不允许分包</w:t>
            </w:r>
          </w:p>
        </w:tc>
        <w:tc>
          <w:tcPr>
            <w:tcW w:w="1329" w:type="dxa"/>
            <w:vMerge w:val="restart"/>
            <w:tcBorders>
              <w:top w:val="nil"/>
              <w:left w:val="nil"/>
              <w:right w:val="single" w:color="auto" w:sz="4" w:space="0"/>
            </w:tcBorders>
            <w:noWrap w:val="0"/>
            <w:vAlign w:val="center"/>
          </w:tcPr>
          <w:p w14:paraId="6D0013CE">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noWrap w:val="0"/>
            <w:vAlign w:val="center"/>
          </w:tcPr>
          <w:p w14:paraId="68C3903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tcBorders>
              <w:top w:val="nil"/>
              <w:left w:val="nil"/>
              <w:bottom w:val="single" w:color="auto" w:sz="4" w:space="0"/>
              <w:right w:val="single" w:color="auto" w:sz="4" w:space="0"/>
            </w:tcBorders>
            <w:noWrap w:val="0"/>
            <w:vAlign w:val="center"/>
          </w:tcPr>
          <w:p w14:paraId="0D818F4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770E7655">
        <w:tblPrEx>
          <w:tblCellMar>
            <w:top w:w="0" w:type="dxa"/>
            <w:left w:w="108" w:type="dxa"/>
            <w:bottom w:w="0" w:type="dxa"/>
            <w:right w:w="108" w:type="dxa"/>
          </w:tblCellMar>
        </w:tblPrEx>
        <w:trPr>
          <w:trHeight w:val="305"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41CE38D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5F4BE3A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bottom w:val="single" w:color="auto" w:sz="4" w:space="0"/>
              <w:right w:val="single" w:color="auto" w:sz="4" w:space="0"/>
            </w:tcBorders>
            <w:noWrap w:val="0"/>
            <w:vAlign w:val="center"/>
          </w:tcPr>
          <w:p w14:paraId="1AFB42C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260B1CD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tcBorders>
              <w:top w:val="nil"/>
              <w:left w:val="nil"/>
              <w:bottom w:val="single" w:color="auto" w:sz="4" w:space="0"/>
              <w:right w:val="single" w:color="auto" w:sz="4" w:space="0"/>
            </w:tcBorders>
            <w:noWrap w:val="0"/>
            <w:vAlign w:val="center"/>
          </w:tcPr>
          <w:p w14:paraId="3A7AD87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069D20CB">
        <w:tblPrEx>
          <w:tblCellMar>
            <w:top w:w="0" w:type="dxa"/>
            <w:left w:w="108" w:type="dxa"/>
            <w:bottom w:w="0" w:type="dxa"/>
            <w:right w:w="108" w:type="dxa"/>
          </w:tblCellMar>
        </w:tblPrEx>
        <w:trPr>
          <w:trHeight w:val="555" w:hRule="atLeast"/>
          <w:jc w:val="center"/>
        </w:trPr>
        <w:tc>
          <w:tcPr>
            <w:tcW w:w="435" w:type="dxa"/>
            <w:vMerge w:val="restart"/>
            <w:tcBorders>
              <w:top w:val="single" w:color="auto" w:sz="4" w:space="0"/>
              <w:left w:val="single" w:color="auto" w:sz="4" w:space="0"/>
              <w:right w:val="single" w:color="auto" w:sz="4" w:space="0"/>
            </w:tcBorders>
            <w:noWrap w:val="0"/>
            <w:vAlign w:val="center"/>
          </w:tcPr>
          <w:p w14:paraId="63B7B4AA">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7</w:t>
            </w:r>
          </w:p>
        </w:tc>
        <w:tc>
          <w:tcPr>
            <w:tcW w:w="714" w:type="dxa"/>
            <w:vMerge w:val="restart"/>
            <w:tcBorders>
              <w:top w:val="single" w:color="auto" w:sz="4" w:space="0"/>
              <w:left w:val="single" w:color="auto" w:sz="4" w:space="0"/>
              <w:right w:val="single" w:color="auto" w:sz="4" w:space="0"/>
            </w:tcBorders>
            <w:noWrap w:val="0"/>
            <w:vAlign w:val="center"/>
          </w:tcPr>
          <w:p w14:paraId="68A1B481">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接受联合体</w:t>
            </w:r>
          </w:p>
        </w:tc>
        <w:tc>
          <w:tcPr>
            <w:tcW w:w="1329" w:type="dxa"/>
            <w:vMerge w:val="restart"/>
            <w:tcBorders>
              <w:top w:val="single" w:color="auto" w:sz="4" w:space="0"/>
              <w:left w:val="single" w:color="auto" w:sz="4" w:space="0"/>
              <w:right w:val="single" w:color="auto" w:sz="4" w:space="0"/>
            </w:tcBorders>
            <w:noWrap w:val="0"/>
            <w:vAlign w:val="center"/>
          </w:tcPr>
          <w:p w14:paraId="4E654659">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6F4BC64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经评审的最低投标报价法：未以联合体形式参加的，对小微企业的报价给予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noWrap w:val="0"/>
            <w:vAlign w:val="center"/>
          </w:tcPr>
          <w:p w14:paraId="74D2D47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总承包企业之间或专业承包企业之间组成联合体，不应当是总承包企业与专业承包企业或劳务分包企业组成联合体。</w:t>
            </w:r>
          </w:p>
          <w:p w14:paraId="123C309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适用于涉及多个总承包资质或专业承包资质的项目。</w:t>
            </w:r>
          </w:p>
        </w:tc>
      </w:tr>
      <w:tr w14:paraId="15FB5B20">
        <w:tblPrEx>
          <w:tblCellMar>
            <w:top w:w="0" w:type="dxa"/>
            <w:left w:w="108" w:type="dxa"/>
            <w:bottom w:w="0" w:type="dxa"/>
            <w:right w:w="108" w:type="dxa"/>
          </w:tblCellMar>
        </w:tblPrEx>
        <w:trPr>
          <w:trHeight w:val="555" w:hRule="atLeast"/>
          <w:jc w:val="center"/>
        </w:trPr>
        <w:tc>
          <w:tcPr>
            <w:tcW w:w="435" w:type="dxa"/>
            <w:vMerge w:val="continue"/>
            <w:tcBorders>
              <w:left w:val="single" w:color="auto" w:sz="4" w:space="0"/>
              <w:right w:val="single" w:color="auto" w:sz="4" w:space="0"/>
            </w:tcBorders>
            <w:noWrap w:val="0"/>
            <w:vAlign w:val="center"/>
          </w:tcPr>
          <w:p w14:paraId="053E8955">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4CEFB108">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1329" w:type="dxa"/>
            <w:vMerge w:val="continue"/>
            <w:tcBorders>
              <w:left w:val="single" w:color="auto" w:sz="4" w:space="0"/>
              <w:right w:val="single" w:color="auto" w:sz="4" w:space="0"/>
            </w:tcBorders>
            <w:noWrap w:val="0"/>
            <w:vAlign w:val="center"/>
          </w:tcPr>
          <w:p w14:paraId="09010126">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single" w:color="auto" w:sz="4" w:space="0"/>
              <w:left w:val="nil"/>
              <w:bottom w:val="single" w:color="auto" w:sz="4" w:space="0"/>
              <w:right w:val="single" w:color="auto" w:sz="4" w:space="0"/>
            </w:tcBorders>
            <w:noWrap w:val="0"/>
            <w:vAlign w:val="center"/>
          </w:tcPr>
          <w:p w14:paraId="2757B18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采用综合评估法但未采用低价优先法计算价格分的：评标时对小微企业（联合体各方均为小微企业的，联合体视同小微企业）原报价进行评分的基础上增加其价格得分的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0017516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14CAAB6A">
        <w:trPr>
          <w:trHeight w:val="583" w:hRule="atLeast"/>
          <w:jc w:val="center"/>
        </w:trPr>
        <w:tc>
          <w:tcPr>
            <w:tcW w:w="435" w:type="dxa"/>
            <w:vMerge w:val="continue"/>
            <w:tcBorders>
              <w:left w:val="single" w:color="auto" w:sz="4" w:space="0"/>
              <w:right w:val="single" w:color="auto" w:sz="4" w:space="0"/>
            </w:tcBorders>
            <w:noWrap w:val="0"/>
            <w:vAlign w:val="center"/>
          </w:tcPr>
          <w:p w14:paraId="68BE79E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6D2F5C1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right w:val="single" w:color="auto" w:sz="4" w:space="0"/>
            </w:tcBorders>
            <w:noWrap w:val="0"/>
            <w:vAlign w:val="center"/>
          </w:tcPr>
          <w:p w14:paraId="64C2C182">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3C8A968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经评审的最低投标报价法：联合体协议约定小微企业的合同份额占合同总金额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以上，对联合的报价给予</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noWrap w:val="0"/>
            <w:vAlign w:val="center"/>
          </w:tcPr>
          <w:p w14:paraId="74C9769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3F00658E">
        <w:tblPrEx>
          <w:tblCellMar>
            <w:top w:w="0" w:type="dxa"/>
            <w:left w:w="108" w:type="dxa"/>
            <w:bottom w:w="0" w:type="dxa"/>
            <w:right w:w="108" w:type="dxa"/>
          </w:tblCellMar>
        </w:tblPrEx>
        <w:trPr>
          <w:trHeight w:val="868" w:hRule="atLeast"/>
          <w:jc w:val="center"/>
        </w:trPr>
        <w:tc>
          <w:tcPr>
            <w:tcW w:w="435" w:type="dxa"/>
            <w:vMerge w:val="continue"/>
            <w:tcBorders>
              <w:left w:val="single" w:color="auto" w:sz="4" w:space="0"/>
              <w:bottom w:val="single" w:color="auto" w:sz="4" w:space="0"/>
              <w:right w:val="single" w:color="auto" w:sz="4" w:space="0"/>
            </w:tcBorders>
            <w:noWrap w:val="0"/>
            <w:vAlign w:val="center"/>
          </w:tcPr>
          <w:p w14:paraId="0F48C72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left w:val="single" w:color="auto" w:sz="4" w:space="0"/>
              <w:bottom w:val="single" w:color="auto" w:sz="4" w:space="0"/>
              <w:right w:val="single" w:color="auto" w:sz="4" w:space="0"/>
            </w:tcBorders>
            <w:noWrap w:val="0"/>
            <w:vAlign w:val="center"/>
          </w:tcPr>
          <w:p w14:paraId="7CEDDCA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bottom w:val="single" w:color="auto" w:sz="4" w:space="0"/>
              <w:right w:val="single" w:color="auto" w:sz="4" w:space="0"/>
            </w:tcBorders>
            <w:noWrap w:val="0"/>
            <w:vAlign w:val="center"/>
          </w:tcPr>
          <w:p w14:paraId="4DBED31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4A196D6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采用综合评估法但未采用低价优先法计算价格分的：联合体协议约定小微企业的合同份额占合同总金额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以上，评标时在原报价进行评分的基础上增加其价格得分的</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作为其价格分。</w:t>
            </w:r>
          </w:p>
        </w:tc>
        <w:tc>
          <w:tcPr>
            <w:tcW w:w="2893" w:type="dxa"/>
            <w:tcBorders>
              <w:top w:val="single" w:color="auto" w:sz="4" w:space="0"/>
              <w:left w:val="nil"/>
              <w:bottom w:val="single" w:color="auto" w:sz="4" w:space="0"/>
              <w:right w:val="single" w:color="auto" w:sz="4" w:space="0"/>
            </w:tcBorders>
            <w:noWrap w:val="0"/>
            <w:vAlign w:val="center"/>
          </w:tcPr>
          <w:p w14:paraId="54C60BF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328F733E">
        <w:tblPrEx>
          <w:tblCellMar>
            <w:top w:w="0" w:type="dxa"/>
            <w:left w:w="108" w:type="dxa"/>
            <w:bottom w:w="0" w:type="dxa"/>
            <w:right w:w="108" w:type="dxa"/>
          </w:tblCellMar>
        </w:tblPrEx>
        <w:trPr>
          <w:trHeight w:val="630"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7619AB15">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8</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34935CD2">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允许分包</w:t>
            </w:r>
          </w:p>
        </w:tc>
        <w:tc>
          <w:tcPr>
            <w:tcW w:w="1329" w:type="dxa"/>
            <w:vMerge w:val="restart"/>
            <w:tcBorders>
              <w:top w:val="nil"/>
              <w:left w:val="nil"/>
              <w:right w:val="single" w:color="auto" w:sz="4" w:space="0"/>
            </w:tcBorders>
            <w:noWrap w:val="0"/>
            <w:vAlign w:val="center"/>
          </w:tcPr>
          <w:p w14:paraId="2752F807">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noWrap w:val="0"/>
            <w:vAlign w:val="center"/>
          </w:tcPr>
          <w:p w14:paraId="7C45DC2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经评审的最低投标报价法：未进行合同分包的，对小微企业的报价给予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noWrap w:val="0"/>
            <w:vAlign w:val="center"/>
          </w:tcPr>
          <w:p w14:paraId="437E6F9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施工总承包企业分包给专业承包企业或劳务分包企业；</w:t>
            </w:r>
          </w:p>
          <w:p w14:paraId="24DF691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专业承包企业分包给劳务分包企业。</w:t>
            </w:r>
          </w:p>
          <w:p w14:paraId="5E95EFB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适用于施工总承包发包或专业工程发包的项目。</w:t>
            </w:r>
          </w:p>
        </w:tc>
      </w:tr>
      <w:tr w14:paraId="3F6B954C">
        <w:tblPrEx>
          <w:tblCellMar>
            <w:top w:w="0" w:type="dxa"/>
            <w:left w:w="108" w:type="dxa"/>
            <w:bottom w:w="0" w:type="dxa"/>
            <w:right w:w="108" w:type="dxa"/>
          </w:tblCellMar>
        </w:tblPrEx>
        <w:trPr>
          <w:trHeight w:val="630" w:hRule="atLeast"/>
          <w:jc w:val="center"/>
        </w:trPr>
        <w:tc>
          <w:tcPr>
            <w:tcW w:w="435" w:type="dxa"/>
            <w:vMerge w:val="continue"/>
            <w:tcBorders>
              <w:left w:val="single" w:color="auto" w:sz="4" w:space="0"/>
              <w:right w:val="single" w:color="auto" w:sz="4" w:space="0"/>
            </w:tcBorders>
            <w:noWrap w:val="0"/>
            <w:vAlign w:val="center"/>
          </w:tcPr>
          <w:p w14:paraId="26304424">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1EB80B0D">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1329" w:type="dxa"/>
            <w:vMerge w:val="continue"/>
            <w:tcBorders>
              <w:left w:val="nil"/>
              <w:right w:val="single" w:color="auto" w:sz="4" w:space="0"/>
            </w:tcBorders>
            <w:noWrap w:val="0"/>
            <w:vAlign w:val="center"/>
          </w:tcPr>
          <w:p w14:paraId="650C0193">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5BA1D25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6E473E7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4EC50D77">
        <w:tblPrEx>
          <w:tblCellMar>
            <w:top w:w="0" w:type="dxa"/>
            <w:left w:w="108" w:type="dxa"/>
            <w:bottom w:w="0" w:type="dxa"/>
            <w:right w:w="108" w:type="dxa"/>
          </w:tblCellMar>
        </w:tblPrEx>
        <w:trPr>
          <w:trHeight w:val="461"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6253219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070A8AC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right w:val="single" w:color="auto" w:sz="4" w:space="0"/>
            </w:tcBorders>
            <w:noWrap w:val="0"/>
            <w:vAlign w:val="center"/>
          </w:tcPr>
          <w:p w14:paraId="42B5C91E">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2A579DF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经评审的最低投标报价法：分包意向协议约定小微企业的合同份额占合同总金额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以上，对大中型企业报价给予</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noWrap w:val="0"/>
            <w:vAlign w:val="center"/>
          </w:tcPr>
          <w:p w14:paraId="2C0F27E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00912D3A">
        <w:tblPrEx>
          <w:tblCellMar>
            <w:top w:w="0" w:type="dxa"/>
            <w:left w:w="108" w:type="dxa"/>
            <w:bottom w:w="0" w:type="dxa"/>
            <w:right w:w="108" w:type="dxa"/>
          </w:tblCellMar>
        </w:tblPrEx>
        <w:trPr>
          <w:trHeight w:val="742"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239824E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03F7A54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bottom w:val="single" w:color="auto" w:sz="4" w:space="0"/>
              <w:right w:val="single" w:color="auto" w:sz="4" w:space="0"/>
            </w:tcBorders>
            <w:noWrap w:val="0"/>
            <w:vAlign w:val="center"/>
          </w:tcPr>
          <w:p w14:paraId="4D315D3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738EDE2C">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采用综合评估法但未采用低价优先法计算价格分的：分包意向协议约定小微企业的合同份额占合同总金额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以上，评标时在原报价进行评分的基础上增加其价格得分的</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4A033CB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bl>
    <w:p w14:paraId="3A1A368C">
      <w:pPr>
        <w:pStyle w:val="117"/>
        <w:jc w:val="both"/>
        <w:rPr>
          <w:rFonts w:hint="eastAsia"/>
          <w:color w:val="auto"/>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 w:linePitch="319" w:charSpace="0"/>
        </w:sectPr>
      </w:pPr>
    </w:p>
    <w:p w14:paraId="71E61C2C">
      <w:pPr>
        <w:rPr>
          <w:rFonts w:hint="eastAsia"/>
          <w:color w:val="auto"/>
          <w:highlight w:val="none"/>
        </w:rPr>
      </w:pPr>
    </w:p>
    <w:p w14:paraId="3D4FE78E">
      <w:pPr>
        <w:pStyle w:val="117"/>
        <w:rPr>
          <w:rFonts w:hint="eastAsia"/>
          <w:color w:val="auto"/>
          <w:sz w:val="28"/>
          <w:szCs w:val="28"/>
          <w:highlight w:val="none"/>
        </w:rPr>
      </w:pPr>
      <w:bookmarkStart w:id="1466" w:name="_Toc152042387"/>
      <w:bookmarkStart w:id="1467" w:name="_Toc247527634"/>
      <w:bookmarkStart w:id="1468" w:name="_Toc247514033"/>
      <w:bookmarkStart w:id="1469" w:name="_Toc152045609"/>
      <w:bookmarkStart w:id="1470" w:name="_Toc144974577"/>
      <w:bookmarkStart w:id="1471" w:name="_Toc519085369"/>
      <w:bookmarkStart w:id="1472" w:name="_Toc16077"/>
      <w:bookmarkStart w:id="1473" w:name="_Toc17592"/>
      <w:bookmarkStart w:id="1474" w:name="_Toc22567"/>
      <w:bookmarkStart w:id="1475" w:name="_Toc20136"/>
      <w:bookmarkStart w:id="1476" w:name="_Toc14557"/>
      <w:bookmarkStart w:id="1477" w:name="_Toc9948_WPSOffice_Level1"/>
      <w:bookmarkStart w:id="1478" w:name="_Toc3962"/>
      <w:r>
        <w:rPr>
          <w:rFonts w:hint="eastAsia"/>
          <w:color w:val="auto"/>
          <w:highlight w:val="none"/>
        </w:rPr>
        <w:t>第四章 合同条款及格式</w:t>
      </w:r>
      <w:bookmarkEnd w:id="1466"/>
      <w:bookmarkEnd w:id="1467"/>
      <w:bookmarkEnd w:id="1468"/>
      <w:bookmarkEnd w:id="1469"/>
      <w:bookmarkEnd w:id="1470"/>
      <w:bookmarkEnd w:id="1471"/>
      <w:bookmarkStart w:id="1479" w:name="_Toc184635097"/>
      <w:bookmarkStart w:id="1480" w:name="_Toc247527635"/>
      <w:bookmarkStart w:id="1481" w:name="_Toc247514034"/>
      <w:bookmarkStart w:id="1482" w:name="_Toc152042388"/>
      <w:bookmarkStart w:id="1483" w:name="_Toc152045610"/>
      <w:bookmarkStart w:id="1484" w:name="_Toc144974578"/>
      <w:r>
        <w:rPr>
          <w:rFonts w:hint="eastAsia"/>
          <w:color w:val="auto"/>
          <w:highlight w:val="none"/>
        </w:rPr>
        <w:t>（参考）</w:t>
      </w:r>
      <w:r>
        <w:rPr>
          <w:color w:val="auto"/>
          <w:highlight w:val="none"/>
        </w:rPr>
        <w:br w:type="page"/>
      </w:r>
      <w:bookmarkEnd w:id="1472"/>
      <w:bookmarkEnd w:id="1473"/>
      <w:bookmarkEnd w:id="1474"/>
      <w:bookmarkEnd w:id="1475"/>
      <w:bookmarkStart w:id="1485" w:name="_Toc519085370"/>
      <w:bookmarkStart w:id="1486" w:name="_Toc31270"/>
      <w:bookmarkStart w:id="1487" w:name="_Toc19624"/>
      <w:bookmarkStart w:id="1488" w:name="_Toc20828"/>
      <w:bookmarkStart w:id="1489" w:name="_Toc19217"/>
      <w:r>
        <w:rPr>
          <w:rFonts w:hint="eastAsia"/>
          <w:color w:val="auto"/>
          <w:sz w:val="28"/>
          <w:szCs w:val="28"/>
          <w:highlight w:val="none"/>
        </w:rPr>
        <w:t>第一节  通用合同条款</w:t>
      </w:r>
      <w:bookmarkEnd w:id="1476"/>
      <w:bookmarkEnd w:id="1477"/>
      <w:bookmarkEnd w:id="1478"/>
      <w:bookmarkEnd w:id="1485"/>
      <w:bookmarkEnd w:id="1486"/>
      <w:bookmarkEnd w:id="1487"/>
      <w:bookmarkEnd w:id="1488"/>
      <w:bookmarkEnd w:id="1489"/>
    </w:p>
    <w:p w14:paraId="4AF1BA64">
      <w:pPr>
        <w:spacing w:line="400" w:lineRule="exact"/>
        <w:jc w:val="center"/>
        <w:outlineLvl w:val="1"/>
        <w:rPr>
          <w:rFonts w:hint="eastAsia" w:ascii="黑体" w:eastAsia="黑体"/>
          <w:color w:val="auto"/>
          <w:sz w:val="28"/>
          <w:szCs w:val="28"/>
          <w:highlight w:val="none"/>
        </w:rPr>
      </w:pPr>
      <w:bookmarkStart w:id="1490" w:name="_Toc25395"/>
      <w:bookmarkStart w:id="1491" w:name="_Toc4572"/>
      <w:bookmarkStart w:id="1492" w:name="_Toc1694_WPSOffice_Level1"/>
      <w:r>
        <w:rPr>
          <w:rFonts w:hint="eastAsia" w:ascii="黑体" w:eastAsia="黑体"/>
          <w:color w:val="auto"/>
          <w:sz w:val="28"/>
          <w:szCs w:val="28"/>
          <w:highlight w:val="none"/>
        </w:rPr>
        <w:t>通用合同条款</w:t>
      </w:r>
      <w:bookmarkEnd w:id="1490"/>
      <w:bookmarkEnd w:id="1491"/>
      <w:bookmarkEnd w:id="1492"/>
    </w:p>
    <w:p w14:paraId="780D6CC5">
      <w:pPr>
        <w:rPr>
          <w:rFonts w:hint="eastAsia"/>
          <w:color w:val="auto"/>
          <w:highlight w:val="none"/>
        </w:rPr>
      </w:pPr>
    </w:p>
    <w:bookmarkEnd w:id="1479"/>
    <w:bookmarkEnd w:id="1480"/>
    <w:bookmarkEnd w:id="1481"/>
    <w:p w14:paraId="0867B182">
      <w:pPr>
        <w:pStyle w:val="5"/>
        <w:spacing w:before="159"/>
        <w:rPr>
          <w:color w:val="auto"/>
          <w:highlight w:val="none"/>
        </w:rPr>
      </w:pPr>
      <w:bookmarkStart w:id="1493" w:name="_Toc300835032"/>
      <w:bookmarkStart w:id="1494" w:name="_Toc27044"/>
      <w:bookmarkStart w:id="1495" w:name="_Toc247527636"/>
      <w:bookmarkStart w:id="1496" w:name="_Toc519085371"/>
      <w:bookmarkStart w:id="1497" w:name="_Toc1093"/>
      <w:bookmarkStart w:id="1498" w:name="_Toc184635098"/>
      <w:bookmarkStart w:id="1499" w:name="_Toc9165"/>
      <w:bookmarkStart w:id="1500" w:name="_Toc21158"/>
      <w:bookmarkStart w:id="1501" w:name="_Toc247514035"/>
      <w:bookmarkStart w:id="1502" w:name="_Toc9606"/>
      <w:bookmarkStart w:id="1503" w:name="_Toc808_WPSOffice_Level1"/>
      <w:r>
        <w:rPr>
          <w:color w:val="auto"/>
          <w:highlight w:val="none"/>
        </w:rPr>
        <w:t xml:space="preserve">1. </w:t>
      </w:r>
      <w:r>
        <w:rPr>
          <w:rStyle w:val="82"/>
          <w:color w:val="auto"/>
          <w:highlight w:val="none"/>
        </w:rPr>
        <w:t>一般约定</w:t>
      </w:r>
      <w:bookmarkEnd w:id="1493"/>
      <w:bookmarkEnd w:id="1494"/>
      <w:bookmarkEnd w:id="1495"/>
      <w:bookmarkEnd w:id="1496"/>
      <w:bookmarkEnd w:id="1497"/>
      <w:bookmarkEnd w:id="1498"/>
      <w:bookmarkEnd w:id="1499"/>
      <w:bookmarkEnd w:id="1500"/>
      <w:bookmarkEnd w:id="1501"/>
      <w:bookmarkEnd w:id="1502"/>
      <w:bookmarkEnd w:id="1503"/>
    </w:p>
    <w:p w14:paraId="4504F5C1">
      <w:pPr>
        <w:pStyle w:val="107"/>
        <w:outlineLvl w:val="3"/>
        <w:rPr>
          <w:rFonts w:ascii="黑体" w:hAnsi="黑体"/>
          <w:color w:val="auto"/>
          <w:highlight w:val="none"/>
        </w:rPr>
      </w:pPr>
      <w:bookmarkStart w:id="1504" w:name="_Toc247514036"/>
      <w:bookmarkStart w:id="1505" w:name="_Toc15880_WPSOffice_Level2"/>
      <w:bookmarkStart w:id="1506" w:name="_Toc26153"/>
      <w:bookmarkStart w:id="1507" w:name="_Toc247527637"/>
      <w:bookmarkStart w:id="1508" w:name="_Toc27224"/>
      <w:bookmarkStart w:id="1509" w:name="_Toc300835033"/>
      <w:bookmarkStart w:id="1510" w:name="_Toc3570"/>
      <w:bookmarkStart w:id="1511" w:name="_Toc7815"/>
      <w:bookmarkStart w:id="1512" w:name="_Toc519085372"/>
      <w:bookmarkStart w:id="1513" w:name="_Toc828"/>
      <w:r>
        <w:rPr>
          <w:rFonts w:ascii="黑体" w:hAnsi="黑体"/>
          <w:color w:val="auto"/>
          <w:highlight w:val="none"/>
        </w:rPr>
        <w:t>1.1 词语定义</w:t>
      </w:r>
      <w:bookmarkEnd w:id="1504"/>
      <w:bookmarkEnd w:id="1505"/>
      <w:bookmarkEnd w:id="1506"/>
      <w:bookmarkEnd w:id="1507"/>
      <w:bookmarkEnd w:id="1508"/>
      <w:bookmarkEnd w:id="1509"/>
      <w:bookmarkEnd w:id="1510"/>
      <w:bookmarkEnd w:id="1511"/>
      <w:bookmarkEnd w:id="1512"/>
      <w:bookmarkEnd w:id="1513"/>
    </w:p>
    <w:p w14:paraId="2E6ED8CB">
      <w:pPr>
        <w:spacing w:line="360" w:lineRule="auto"/>
        <w:ind w:firstLine="420" w:firstLineChars="200"/>
        <w:rPr>
          <w:color w:val="auto"/>
          <w:szCs w:val="21"/>
          <w:highlight w:val="none"/>
        </w:rPr>
      </w:pPr>
      <w:r>
        <w:rPr>
          <w:rFonts w:hAnsi="宋体"/>
          <w:color w:val="auto"/>
          <w:szCs w:val="21"/>
          <w:highlight w:val="none"/>
        </w:rPr>
        <w:t>通用合同条款、专用合同条款中的下列词语应具有本款所赋予的含义。</w:t>
      </w:r>
    </w:p>
    <w:p w14:paraId="184E1283">
      <w:pPr>
        <w:spacing w:line="360" w:lineRule="auto"/>
        <w:ind w:firstLine="424" w:firstLineChars="202"/>
        <w:rPr>
          <w:rFonts w:hAnsi="宋体"/>
          <w:color w:val="auto"/>
          <w:szCs w:val="21"/>
          <w:highlight w:val="none"/>
        </w:rPr>
      </w:pPr>
      <w:bookmarkStart w:id="1514" w:name="_Toc519085373"/>
      <w:r>
        <w:rPr>
          <w:rFonts w:hAnsi="宋体"/>
          <w:color w:val="auto"/>
          <w:szCs w:val="21"/>
          <w:highlight w:val="none"/>
        </w:rPr>
        <w:t>1.1.1 合同</w:t>
      </w:r>
      <w:bookmarkEnd w:id="1514"/>
    </w:p>
    <w:p w14:paraId="656940F5">
      <w:pPr>
        <w:spacing w:line="360" w:lineRule="auto"/>
        <w:ind w:firstLine="630" w:firstLineChars="300"/>
        <w:rPr>
          <w:color w:val="auto"/>
          <w:szCs w:val="21"/>
          <w:highlight w:val="none"/>
        </w:rPr>
      </w:pPr>
      <w:r>
        <w:rPr>
          <w:color w:val="auto"/>
          <w:highlight w:val="none"/>
        </w:rPr>
        <w:t>1.1.1.1</w:t>
      </w:r>
      <w:r>
        <w:rPr>
          <w:color w:val="auto"/>
          <w:szCs w:val="21"/>
          <w:highlight w:val="none"/>
        </w:rPr>
        <w:t xml:space="preserve"> </w:t>
      </w:r>
      <w:r>
        <w:rPr>
          <w:rFonts w:hAnsi="宋体"/>
          <w:color w:val="auto"/>
          <w:szCs w:val="21"/>
          <w:highlight w:val="none"/>
        </w:rPr>
        <w:t>合同文件（或称合同）：指合同协议书、中标通知书、投标函及投标函附录、专用合同条款、通用合同条款、发包人要求、价格清单、承包人建议书，以及其他构成合同组成部分的文件。</w:t>
      </w:r>
    </w:p>
    <w:p w14:paraId="297CE12F">
      <w:pPr>
        <w:spacing w:line="360" w:lineRule="auto"/>
        <w:ind w:firstLine="630" w:firstLineChars="300"/>
        <w:rPr>
          <w:color w:val="auto"/>
          <w:szCs w:val="21"/>
          <w:highlight w:val="none"/>
        </w:rPr>
      </w:pPr>
      <w:r>
        <w:rPr>
          <w:color w:val="auto"/>
          <w:highlight w:val="none"/>
        </w:rPr>
        <w:t>1.1.1.2</w:t>
      </w:r>
      <w:r>
        <w:rPr>
          <w:color w:val="auto"/>
          <w:szCs w:val="21"/>
          <w:highlight w:val="none"/>
        </w:rPr>
        <w:t xml:space="preserve"> </w:t>
      </w:r>
      <w:r>
        <w:rPr>
          <w:rFonts w:hAnsi="宋体"/>
          <w:color w:val="auto"/>
          <w:szCs w:val="21"/>
          <w:highlight w:val="none"/>
        </w:rPr>
        <w:t>合同协议书：指第</w:t>
      </w:r>
      <w:r>
        <w:rPr>
          <w:color w:val="auto"/>
          <w:highlight w:val="none"/>
        </w:rPr>
        <w:t>1.5</w:t>
      </w:r>
      <w:r>
        <w:rPr>
          <w:color w:val="auto"/>
          <w:szCs w:val="21"/>
          <w:highlight w:val="none"/>
        </w:rPr>
        <w:t xml:space="preserve"> </w:t>
      </w:r>
      <w:r>
        <w:rPr>
          <w:rFonts w:hAnsi="宋体"/>
          <w:color w:val="auto"/>
          <w:szCs w:val="21"/>
          <w:highlight w:val="none"/>
        </w:rPr>
        <w:t>款所指的合同协议书。</w:t>
      </w:r>
    </w:p>
    <w:p w14:paraId="35BEE484">
      <w:pPr>
        <w:spacing w:line="360" w:lineRule="auto"/>
        <w:ind w:firstLine="630" w:firstLineChars="300"/>
        <w:rPr>
          <w:color w:val="auto"/>
          <w:szCs w:val="21"/>
          <w:highlight w:val="none"/>
        </w:rPr>
      </w:pPr>
      <w:r>
        <w:rPr>
          <w:color w:val="auto"/>
          <w:highlight w:val="none"/>
        </w:rPr>
        <w:t>1.1.1.3</w:t>
      </w:r>
      <w:r>
        <w:rPr>
          <w:color w:val="auto"/>
          <w:szCs w:val="21"/>
          <w:highlight w:val="none"/>
        </w:rPr>
        <w:t xml:space="preserve"> </w:t>
      </w:r>
      <w:r>
        <w:rPr>
          <w:rFonts w:hAnsi="宋体"/>
          <w:color w:val="auto"/>
          <w:szCs w:val="21"/>
          <w:highlight w:val="none"/>
        </w:rPr>
        <w:t>中标通知书：指发包人通知承包人中标的函件。中标通知书随附的澄清、说明、补正事项纪要等，是中标通知书的组成部分。</w:t>
      </w:r>
    </w:p>
    <w:p w14:paraId="502EFFE7">
      <w:pPr>
        <w:spacing w:line="360" w:lineRule="auto"/>
        <w:ind w:firstLine="630" w:firstLineChars="300"/>
        <w:rPr>
          <w:color w:val="auto"/>
          <w:szCs w:val="21"/>
          <w:highlight w:val="none"/>
        </w:rPr>
      </w:pPr>
      <w:r>
        <w:rPr>
          <w:color w:val="auto"/>
          <w:highlight w:val="none"/>
        </w:rPr>
        <w:t>1.1.1.4</w:t>
      </w:r>
      <w:r>
        <w:rPr>
          <w:color w:val="auto"/>
          <w:szCs w:val="21"/>
          <w:highlight w:val="none"/>
        </w:rPr>
        <w:t xml:space="preserve"> </w:t>
      </w:r>
      <w:r>
        <w:rPr>
          <w:rFonts w:hAnsi="宋体"/>
          <w:color w:val="auto"/>
          <w:szCs w:val="21"/>
          <w:highlight w:val="none"/>
        </w:rPr>
        <w:t>投标函：指构成合同文件组成部分的由承包人填写并签署的投标函。</w:t>
      </w:r>
    </w:p>
    <w:p w14:paraId="2F38FCC2">
      <w:pPr>
        <w:spacing w:line="360" w:lineRule="auto"/>
        <w:ind w:firstLine="630" w:firstLineChars="300"/>
        <w:rPr>
          <w:color w:val="auto"/>
          <w:szCs w:val="21"/>
          <w:highlight w:val="none"/>
        </w:rPr>
      </w:pPr>
      <w:r>
        <w:rPr>
          <w:color w:val="auto"/>
          <w:highlight w:val="none"/>
        </w:rPr>
        <w:t>1.1.1.5</w:t>
      </w:r>
      <w:r>
        <w:rPr>
          <w:color w:val="auto"/>
          <w:szCs w:val="21"/>
          <w:highlight w:val="none"/>
        </w:rPr>
        <w:t xml:space="preserve"> </w:t>
      </w:r>
      <w:r>
        <w:rPr>
          <w:rFonts w:hAnsi="宋体"/>
          <w:color w:val="auto"/>
          <w:szCs w:val="21"/>
          <w:highlight w:val="none"/>
        </w:rPr>
        <w:t>投标函附录：指附在投标函后构成合同文件的投标函附录。</w:t>
      </w:r>
    </w:p>
    <w:p w14:paraId="7E1BF8C8">
      <w:pPr>
        <w:spacing w:line="360" w:lineRule="auto"/>
        <w:ind w:firstLine="630" w:firstLineChars="300"/>
        <w:rPr>
          <w:color w:val="auto"/>
          <w:szCs w:val="21"/>
          <w:highlight w:val="none"/>
        </w:rPr>
      </w:pPr>
      <w:r>
        <w:rPr>
          <w:color w:val="auto"/>
          <w:highlight w:val="none"/>
        </w:rPr>
        <w:t>1.1.1.6</w:t>
      </w:r>
      <w:r>
        <w:rPr>
          <w:color w:val="auto"/>
          <w:szCs w:val="21"/>
          <w:highlight w:val="none"/>
        </w:rPr>
        <w:t xml:space="preserve"> </w:t>
      </w:r>
      <w:r>
        <w:rPr>
          <w:rFonts w:hAnsi="宋体"/>
          <w:color w:val="auto"/>
          <w:szCs w:val="21"/>
          <w:highlight w:val="none"/>
        </w:rPr>
        <w:t>发包人要求：指构成合同文件组成部分的名为发包人要求的文件，包括招标项目的目的、范围、设计与其他技术标准和要求，</w:t>
      </w:r>
      <w:r>
        <w:rPr>
          <w:rStyle w:val="44"/>
          <w:rFonts w:hAnsi="宋体"/>
          <w:color w:val="auto"/>
          <w:highlight w:val="none"/>
        </w:rPr>
        <w:t>以及</w:t>
      </w:r>
      <w:r>
        <w:rPr>
          <w:rFonts w:hAnsi="宋体"/>
          <w:color w:val="auto"/>
          <w:szCs w:val="21"/>
          <w:highlight w:val="none"/>
        </w:rPr>
        <w:t>合同双方当事人约定对其所作的修改或补充。</w:t>
      </w:r>
    </w:p>
    <w:p w14:paraId="067C66D7">
      <w:pPr>
        <w:spacing w:line="360" w:lineRule="auto"/>
        <w:ind w:firstLine="630" w:firstLineChars="300"/>
        <w:rPr>
          <w:color w:val="auto"/>
          <w:szCs w:val="21"/>
          <w:highlight w:val="none"/>
        </w:rPr>
      </w:pPr>
      <w:r>
        <w:rPr>
          <w:color w:val="auto"/>
          <w:highlight w:val="none"/>
        </w:rPr>
        <w:t>1.1.1.7</w:t>
      </w:r>
      <w:r>
        <w:rPr>
          <w:color w:val="auto"/>
          <w:szCs w:val="21"/>
          <w:highlight w:val="none"/>
        </w:rPr>
        <w:t xml:space="preserve"> </w:t>
      </w:r>
      <w:r>
        <w:rPr>
          <w:rFonts w:hAnsi="宋体"/>
          <w:color w:val="auto"/>
          <w:szCs w:val="21"/>
          <w:highlight w:val="none"/>
        </w:rPr>
        <w:t>价格清单：指构成合同文件组成部分的由承包人按规定的格式和要求填写并标明价格的清单。</w:t>
      </w:r>
    </w:p>
    <w:p w14:paraId="0AF1D11D">
      <w:pPr>
        <w:spacing w:line="360" w:lineRule="auto"/>
        <w:ind w:firstLine="630" w:firstLineChars="300"/>
        <w:rPr>
          <w:color w:val="auto"/>
          <w:szCs w:val="21"/>
          <w:highlight w:val="none"/>
        </w:rPr>
      </w:pPr>
      <w:r>
        <w:rPr>
          <w:color w:val="auto"/>
          <w:highlight w:val="none"/>
        </w:rPr>
        <w:t>1.1.1.8</w:t>
      </w:r>
      <w:r>
        <w:rPr>
          <w:rFonts w:hAnsi="宋体"/>
          <w:color w:val="auto"/>
          <w:szCs w:val="21"/>
          <w:highlight w:val="none"/>
        </w:rPr>
        <w:t>承包人建议书：指构成合同文件组成部分的名为承包人建议书的文件。承包人建议书由承包人随投标函一起提交。承包人建议书应包括承包人的设计图纸及相应说明等设计文件。</w:t>
      </w:r>
    </w:p>
    <w:p w14:paraId="46D4EDD3">
      <w:pPr>
        <w:spacing w:line="360" w:lineRule="auto"/>
        <w:ind w:firstLine="630" w:firstLineChars="300"/>
        <w:rPr>
          <w:color w:val="auto"/>
          <w:szCs w:val="21"/>
          <w:highlight w:val="none"/>
        </w:rPr>
      </w:pPr>
      <w:r>
        <w:rPr>
          <w:color w:val="auto"/>
          <w:szCs w:val="21"/>
          <w:highlight w:val="none"/>
        </w:rPr>
        <w:t xml:space="preserve"> </w:t>
      </w:r>
      <w:r>
        <w:rPr>
          <w:color w:val="auto"/>
          <w:highlight w:val="none"/>
        </w:rPr>
        <w:t>1.1.1.9</w:t>
      </w:r>
      <w:r>
        <w:rPr>
          <w:color w:val="auto"/>
          <w:szCs w:val="21"/>
          <w:highlight w:val="none"/>
        </w:rPr>
        <w:t xml:space="preserve"> </w:t>
      </w:r>
      <w:r>
        <w:rPr>
          <w:rFonts w:hAnsi="宋体"/>
          <w:color w:val="auto"/>
          <w:szCs w:val="21"/>
          <w:highlight w:val="none"/>
        </w:rPr>
        <w:t>其他合同文件：指经合同双方当事人确认构成合同文件的其他文件。</w:t>
      </w:r>
    </w:p>
    <w:p w14:paraId="55A27B6C">
      <w:pPr>
        <w:spacing w:line="360" w:lineRule="auto"/>
        <w:ind w:firstLine="424" w:firstLineChars="202"/>
        <w:rPr>
          <w:rFonts w:hAnsi="宋体"/>
          <w:color w:val="auto"/>
          <w:szCs w:val="21"/>
          <w:highlight w:val="none"/>
        </w:rPr>
      </w:pPr>
      <w:bookmarkStart w:id="1515" w:name="_Toc519085374"/>
      <w:r>
        <w:rPr>
          <w:rFonts w:hAnsi="宋体"/>
          <w:color w:val="auto"/>
          <w:szCs w:val="21"/>
          <w:highlight w:val="none"/>
        </w:rPr>
        <w:t>1.1.2 合同当事人和人员</w:t>
      </w:r>
      <w:bookmarkEnd w:id="1515"/>
    </w:p>
    <w:p w14:paraId="52AF1462">
      <w:pPr>
        <w:spacing w:line="360" w:lineRule="auto"/>
        <w:ind w:firstLine="630" w:firstLineChars="300"/>
        <w:rPr>
          <w:color w:val="auto"/>
          <w:szCs w:val="21"/>
          <w:highlight w:val="none"/>
        </w:rPr>
      </w:pPr>
      <w:r>
        <w:rPr>
          <w:color w:val="auto"/>
          <w:highlight w:val="none"/>
        </w:rPr>
        <w:t>1.1.2.1</w:t>
      </w:r>
      <w:r>
        <w:rPr>
          <w:color w:val="auto"/>
          <w:szCs w:val="21"/>
          <w:highlight w:val="none"/>
        </w:rPr>
        <w:t xml:space="preserve"> </w:t>
      </w:r>
      <w:r>
        <w:rPr>
          <w:rFonts w:hAnsi="宋体"/>
          <w:color w:val="auto"/>
          <w:szCs w:val="21"/>
          <w:highlight w:val="none"/>
        </w:rPr>
        <w:t>合同当事人：指发包人和（或）承包人。</w:t>
      </w:r>
    </w:p>
    <w:p w14:paraId="1BA5F81C">
      <w:pPr>
        <w:spacing w:line="360" w:lineRule="auto"/>
        <w:ind w:firstLine="630" w:firstLineChars="300"/>
        <w:rPr>
          <w:color w:val="auto"/>
          <w:szCs w:val="21"/>
          <w:highlight w:val="none"/>
        </w:rPr>
      </w:pPr>
      <w:r>
        <w:rPr>
          <w:color w:val="auto"/>
          <w:highlight w:val="none"/>
        </w:rPr>
        <w:t>1.1.2.2</w:t>
      </w:r>
      <w:r>
        <w:rPr>
          <w:color w:val="auto"/>
          <w:szCs w:val="21"/>
          <w:highlight w:val="none"/>
        </w:rPr>
        <w:t xml:space="preserve"> </w:t>
      </w:r>
      <w:r>
        <w:rPr>
          <w:rFonts w:hAnsi="宋体"/>
          <w:color w:val="auto"/>
          <w:szCs w:val="21"/>
          <w:highlight w:val="none"/>
        </w:rPr>
        <w:t>发包人：指专用合同条款中指明并与承包人在合同协议书中签字的当事人。</w:t>
      </w:r>
    </w:p>
    <w:p w14:paraId="17B8A8B5">
      <w:pPr>
        <w:spacing w:line="360" w:lineRule="auto"/>
        <w:ind w:firstLine="630" w:firstLineChars="300"/>
        <w:rPr>
          <w:color w:val="auto"/>
          <w:szCs w:val="21"/>
          <w:highlight w:val="none"/>
        </w:rPr>
      </w:pPr>
      <w:r>
        <w:rPr>
          <w:color w:val="auto"/>
          <w:highlight w:val="none"/>
        </w:rPr>
        <w:t>1.1.2.3</w:t>
      </w:r>
      <w:r>
        <w:rPr>
          <w:color w:val="auto"/>
          <w:szCs w:val="21"/>
          <w:highlight w:val="none"/>
        </w:rPr>
        <w:t xml:space="preserve"> </w:t>
      </w:r>
      <w:r>
        <w:rPr>
          <w:rFonts w:hAnsi="宋体"/>
          <w:color w:val="auto"/>
          <w:szCs w:val="21"/>
          <w:highlight w:val="none"/>
        </w:rPr>
        <w:t>承包人：指与发包人签订合同协议书的当事人。</w:t>
      </w:r>
    </w:p>
    <w:p w14:paraId="3C22719A">
      <w:pPr>
        <w:spacing w:line="360" w:lineRule="auto"/>
        <w:ind w:firstLine="630" w:firstLineChars="300"/>
        <w:rPr>
          <w:color w:val="auto"/>
          <w:szCs w:val="21"/>
          <w:highlight w:val="none"/>
        </w:rPr>
      </w:pPr>
      <w:r>
        <w:rPr>
          <w:color w:val="auto"/>
          <w:highlight w:val="none"/>
        </w:rPr>
        <w:t>1.1.2.4</w:t>
      </w:r>
      <w:r>
        <w:rPr>
          <w:color w:val="auto"/>
          <w:szCs w:val="21"/>
          <w:highlight w:val="none"/>
        </w:rPr>
        <w:t xml:space="preserve"> </w:t>
      </w:r>
      <w:r>
        <w:rPr>
          <w:rFonts w:hAnsi="宋体"/>
          <w:color w:val="auto"/>
          <w:szCs w:val="21"/>
          <w:highlight w:val="none"/>
        </w:rPr>
        <w:t>承包人项目负责人：指承包人指定代表承包人履行义务的负责人。</w:t>
      </w:r>
    </w:p>
    <w:p w14:paraId="1D710C56">
      <w:pPr>
        <w:spacing w:line="360" w:lineRule="auto"/>
        <w:ind w:firstLine="630" w:firstLineChars="300"/>
        <w:rPr>
          <w:color w:val="auto"/>
          <w:szCs w:val="21"/>
          <w:highlight w:val="none"/>
        </w:rPr>
      </w:pPr>
      <w:r>
        <w:rPr>
          <w:color w:val="auto"/>
          <w:highlight w:val="none"/>
        </w:rPr>
        <w:t>1.1.2.5</w:t>
      </w:r>
      <w:r>
        <w:rPr>
          <w:color w:val="auto"/>
          <w:szCs w:val="21"/>
          <w:highlight w:val="none"/>
        </w:rPr>
        <w:t xml:space="preserve"> </w:t>
      </w:r>
      <w:r>
        <w:rPr>
          <w:rFonts w:hAnsi="宋体"/>
          <w:color w:val="auto"/>
          <w:szCs w:val="21"/>
          <w:highlight w:val="none"/>
        </w:rPr>
        <w:t>设计负责人：指承包人指定负责组织指导协调设计工作并具有相应资格的人员。</w:t>
      </w:r>
    </w:p>
    <w:p w14:paraId="76E77B61">
      <w:pPr>
        <w:spacing w:line="360" w:lineRule="auto"/>
        <w:ind w:firstLine="630" w:firstLineChars="300"/>
        <w:rPr>
          <w:color w:val="auto"/>
          <w:szCs w:val="21"/>
          <w:highlight w:val="none"/>
        </w:rPr>
      </w:pPr>
      <w:r>
        <w:rPr>
          <w:color w:val="auto"/>
          <w:highlight w:val="none"/>
        </w:rPr>
        <w:t>1.1.2.6</w:t>
      </w:r>
      <w:r>
        <w:rPr>
          <w:color w:val="auto"/>
          <w:szCs w:val="21"/>
          <w:highlight w:val="none"/>
        </w:rPr>
        <w:t xml:space="preserve"> </w:t>
      </w:r>
      <w:r>
        <w:rPr>
          <w:rFonts w:hAnsi="宋体"/>
          <w:color w:val="auto"/>
          <w:szCs w:val="21"/>
          <w:highlight w:val="none"/>
        </w:rPr>
        <w:t>施工负责人：指承包人指定负责组织指导协调施工工作并具有相应资格的人员。</w:t>
      </w:r>
    </w:p>
    <w:p w14:paraId="2A7828BD">
      <w:pPr>
        <w:spacing w:line="360" w:lineRule="auto"/>
        <w:ind w:firstLine="630" w:firstLineChars="300"/>
        <w:rPr>
          <w:color w:val="auto"/>
          <w:szCs w:val="21"/>
          <w:highlight w:val="none"/>
        </w:rPr>
      </w:pPr>
      <w:r>
        <w:rPr>
          <w:color w:val="auto"/>
          <w:highlight w:val="none"/>
        </w:rPr>
        <w:t>1.1.2.7</w:t>
      </w:r>
      <w:r>
        <w:rPr>
          <w:color w:val="auto"/>
          <w:szCs w:val="21"/>
          <w:highlight w:val="none"/>
        </w:rPr>
        <w:t xml:space="preserve"> </w:t>
      </w:r>
      <w:r>
        <w:rPr>
          <w:rFonts w:hAnsi="宋体"/>
          <w:color w:val="auto"/>
          <w:szCs w:val="21"/>
          <w:highlight w:val="none"/>
        </w:rPr>
        <w:t>采购负责人：指承包人指定负责组织指导协调采购工作的人员。</w:t>
      </w:r>
    </w:p>
    <w:p w14:paraId="3ECB8F9A">
      <w:pPr>
        <w:spacing w:line="360" w:lineRule="auto"/>
        <w:ind w:firstLine="630" w:firstLineChars="300"/>
        <w:rPr>
          <w:color w:val="auto"/>
          <w:szCs w:val="21"/>
          <w:highlight w:val="none"/>
        </w:rPr>
      </w:pPr>
      <w:r>
        <w:rPr>
          <w:color w:val="auto"/>
          <w:highlight w:val="none"/>
        </w:rPr>
        <w:t>1.1.2.8</w:t>
      </w:r>
      <w:r>
        <w:rPr>
          <w:color w:val="auto"/>
          <w:szCs w:val="21"/>
          <w:highlight w:val="none"/>
        </w:rPr>
        <w:t xml:space="preserve"> </w:t>
      </w:r>
      <w:r>
        <w:rPr>
          <w:rFonts w:hAnsi="宋体"/>
          <w:color w:val="auto"/>
          <w:szCs w:val="21"/>
          <w:highlight w:val="none"/>
        </w:rPr>
        <w:t>分包人：指从承包人处分包合同中某一部分工作，并与其签订分包合同的分包人。</w:t>
      </w:r>
    </w:p>
    <w:p w14:paraId="64A17BE6">
      <w:pPr>
        <w:spacing w:line="360" w:lineRule="auto"/>
        <w:ind w:firstLine="630" w:firstLineChars="300"/>
        <w:rPr>
          <w:color w:val="auto"/>
          <w:szCs w:val="21"/>
          <w:highlight w:val="none"/>
        </w:rPr>
      </w:pPr>
      <w:r>
        <w:rPr>
          <w:color w:val="auto"/>
          <w:highlight w:val="none"/>
        </w:rPr>
        <w:t>1.1.2.9</w:t>
      </w:r>
      <w:r>
        <w:rPr>
          <w:color w:val="auto"/>
          <w:szCs w:val="21"/>
          <w:highlight w:val="none"/>
        </w:rPr>
        <w:t xml:space="preserve"> </w:t>
      </w:r>
      <w:r>
        <w:rPr>
          <w:rFonts w:hAnsi="宋体"/>
          <w:color w:val="auto"/>
          <w:szCs w:val="21"/>
          <w:highlight w:val="none"/>
        </w:rPr>
        <w:t>监理人：指在专用合同条款中指明的，受发包人委托对合同履行实施管理的法人或其他组织。属于国家强制监理的，监理人应当具有相应的监理资质。</w:t>
      </w:r>
    </w:p>
    <w:p w14:paraId="525605DB">
      <w:pPr>
        <w:spacing w:line="360" w:lineRule="auto"/>
        <w:ind w:firstLine="630" w:firstLineChars="300"/>
        <w:rPr>
          <w:color w:val="auto"/>
          <w:szCs w:val="21"/>
          <w:highlight w:val="none"/>
        </w:rPr>
      </w:pPr>
      <w:r>
        <w:rPr>
          <w:color w:val="auto"/>
          <w:highlight w:val="none"/>
        </w:rPr>
        <w:t xml:space="preserve">1.1.2.7 </w:t>
      </w:r>
      <w:r>
        <w:rPr>
          <w:rFonts w:hAnsi="宋体"/>
          <w:color w:val="auto"/>
          <w:szCs w:val="21"/>
          <w:highlight w:val="none"/>
        </w:rPr>
        <w:t>总监理工程师：指由监理人委派对合同履行实施管理的全权负责人。</w:t>
      </w:r>
    </w:p>
    <w:p w14:paraId="0A2D8CE6">
      <w:pPr>
        <w:spacing w:line="360" w:lineRule="auto"/>
        <w:ind w:firstLine="424" w:firstLineChars="202"/>
        <w:rPr>
          <w:rFonts w:hAnsi="宋体"/>
          <w:color w:val="auto"/>
          <w:szCs w:val="21"/>
          <w:highlight w:val="none"/>
        </w:rPr>
      </w:pPr>
      <w:bookmarkStart w:id="1516" w:name="_Toc519085375"/>
      <w:r>
        <w:rPr>
          <w:rFonts w:hAnsi="宋体"/>
          <w:color w:val="auto"/>
          <w:szCs w:val="21"/>
          <w:highlight w:val="none"/>
        </w:rPr>
        <w:t>1.1.3 工程和设备</w:t>
      </w:r>
      <w:bookmarkEnd w:id="1516"/>
    </w:p>
    <w:p w14:paraId="0E33C71A">
      <w:pPr>
        <w:spacing w:line="360" w:lineRule="auto"/>
        <w:ind w:firstLine="630" w:firstLineChars="300"/>
        <w:rPr>
          <w:color w:val="auto"/>
          <w:szCs w:val="21"/>
          <w:highlight w:val="none"/>
        </w:rPr>
      </w:pPr>
      <w:r>
        <w:rPr>
          <w:color w:val="auto"/>
          <w:highlight w:val="none"/>
        </w:rPr>
        <w:t>1.1.3.1</w:t>
      </w:r>
      <w:r>
        <w:rPr>
          <w:color w:val="auto"/>
          <w:szCs w:val="21"/>
          <w:highlight w:val="none"/>
        </w:rPr>
        <w:t xml:space="preserve"> </w:t>
      </w:r>
      <w:r>
        <w:rPr>
          <w:rFonts w:hAnsi="宋体"/>
          <w:color w:val="auto"/>
          <w:szCs w:val="21"/>
          <w:highlight w:val="none"/>
        </w:rPr>
        <w:t>工程：指永久工程和（或）临时工程。</w:t>
      </w:r>
    </w:p>
    <w:p w14:paraId="3C1F39A9">
      <w:pPr>
        <w:spacing w:line="360" w:lineRule="auto"/>
        <w:ind w:firstLine="630" w:firstLineChars="300"/>
        <w:rPr>
          <w:color w:val="auto"/>
          <w:szCs w:val="21"/>
          <w:highlight w:val="none"/>
        </w:rPr>
      </w:pPr>
      <w:r>
        <w:rPr>
          <w:color w:val="auto"/>
          <w:highlight w:val="none"/>
        </w:rPr>
        <w:t>1.1.3.2</w:t>
      </w:r>
      <w:r>
        <w:rPr>
          <w:color w:val="auto"/>
          <w:szCs w:val="21"/>
          <w:highlight w:val="none"/>
        </w:rPr>
        <w:t xml:space="preserve"> </w:t>
      </w:r>
      <w:r>
        <w:rPr>
          <w:rFonts w:hAnsi="宋体"/>
          <w:color w:val="auto"/>
          <w:szCs w:val="21"/>
          <w:highlight w:val="none"/>
        </w:rPr>
        <w:t>永久工程：指按合同约定建造并移交给发包人的工程，包括工程设备。</w:t>
      </w:r>
    </w:p>
    <w:p w14:paraId="2403D9F4">
      <w:pPr>
        <w:spacing w:line="360" w:lineRule="auto"/>
        <w:ind w:firstLine="630" w:firstLineChars="300"/>
        <w:rPr>
          <w:color w:val="auto"/>
          <w:szCs w:val="21"/>
          <w:highlight w:val="none"/>
        </w:rPr>
      </w:pPr>
      <w:r>
        <w:rPr>
          <w:color w:val="auto"/>
          <w:highlight w:val="none"/>
        </w:rPr>
        <w:t>1.1.3.3</w:t>
      </w:r>
      <w:r>
        <w:rPr>
          <w:color w:val="auto"/>
          <w:szCs w:val="21"/>
          <w:highlight w:val="none"/>
        </w:rPr>
        <w:t xml:space="preserve"> </w:t>
      </w:r>
      <w:r>
        <w:rPr>
          <w:rFonts w:hAnsi="宋体"/>
          <w:color w:val="auto"/>
          <w:szCs w:val="21"/>
          <w:highlight w:val="none"/>
        </w:rPr>
        <w:t>临时工程：指为完成合同约定的永久工程所修建的各类临时性工程，不包括施工设备。</w:t>
      </w:r>
    </w:p>
    <w:p w14:paraId="7E24198A">
      <w:pPr>
        <w:spacing w:line="360" w:lineRule="auto"/>
        <w:ind w:firstLine="630" w:firstLineChars="300"/>
        <w:rPr>
          <w:color w:val="auto"/>
          <w:szCs w:val="21"/>
          <w:highlight w:val="none"/>
        </w:rPr>
      </w:pPr>
      <w:r>
        <w:rPr>
          <w:color w:val="auto"/>
          <w:highlight w:val="none"/>
        </w:rPr>
        <w:t xml:space="preserve">1.1.3.4 </w:t>
      </w:r>
      <w:r>
        <w:rPr>
          <w:rFonts w:hAnsi="宋体"/>
          <w:color w:val="auto"/>
          <w:szCs w:val="21"/>
          <w:highlight w:val="none"/>
        </w:rPr>
        <w:t>区段工程：指专用合同条款中指明特定范围的能单独接收并使用的永久工程。</w:t>
      </w:r>
    </w:p>
    <w:p w14:paraId="6E3CA83A">
      <w:pPr>
        <w:spacing w:line="360" w:lineRule="auto"/>
        <w:ind w:firstLine="630" w:firstLineChars="300"/>
        <w:rPr>
          <w:color w:val="auto"/>
          <w:szCs w:val="21"/>
          <w:highlight w:val="none"/>
        </w:rPr>
      </w:pPr>
      <w:r>
        <w:rPr>
          <w:color w:val="auto"/>
          <w:highlight w:val="none"/>
        </w:rPr>
        <w:t>1.1.3.5</w:t>
      </w:r>
      <w:r>
        <w:rPr>
          <w:color w:val="auto"/>
          <w:szCs w:val="21"/>
          <w:highlight w:val="none"/>
        </w:rPr>
        <w:t xml:space="preserve"> </w:t>
      </w:r>
      <w:r>
        <w:rPr>
          <w:rFonts w:hAnsi="宋体"/>
          <w:color w:val="auto"/>
          <w:szCs w:val="21"/>
          <w:highlight w:val="none"/>
        </w:rPr>
        <w:t>工程设备：指构成或计划构成永久工程的机电设备、仪器装置、运载工具及其他类似的设备和装置。</w:t>
      </w:r>
    </w:p>
    <w:p w14:paraId="08543BA8">
      <w:pPr>
        <w:spacing w:line="360" w:lineRule="auto"/>
        <w:ind w:firstLine="630" w:firstLineChars="300"/>
        <w:rPr>
          <w:color w:val="auto"/>
          <w:szCs w:val="21"/>
          <w:highlight w:val="none"/>
        </w:rPr>
      </w:pPr>
      <w:r>
        <w:rPr>
          <w:color w:val="auto"/>
          <w:highlight w:val="none"/>
        </w:rPr>
        <w:t>1.1.3.6</w:t>
      </w:r>
      <w:r>
        <w:rPr>
          <w:color w:val="auto"/>
          <w:szCs w:val="21"/>
          <w:highlight w:val="none"/>
        </w:rPr>
        <w:t xml:space="preserve"> </w:t>
      </w:r>
      <w:r>
        <w:rPr>
          <w:rFonts w:hAnsi="宋体"/>
          <w:color w:val="auto"/>
          <w:szCs w:val="21"/>
          <w:highlight w:val="none"/>
        </w:rPr>
        <w:t>施工设备：指为完成合同约定的各项工作所需的设备、器具和其他物品，不包括临时工程和材料。</w:t>
      </w:r>
    </w:p>
    <w:p w14:paraId="524E1708">
      <w:pPr>
        <w:spacing w:line="360" w:lineRule="auto"/>
        <w:ind w:firstLine="630" w:firstLineChars="300"/>
        <w:rPr>
          <w:color w:val="auto"/>
          <w:szCs w:val="21"/>
          <w:highlight w:val="none"/>
        </w:rPr>
      </w:pPr>
      <w:r>
        <w:rPr>
          <w:color w:val="auto"/>
          <w:highlight w:val="none"/>
        </w:rPr>
        <w:t xml:space="preserve">1.1.3.7 </w:t>
      </w:r>
      <w:r>
        <w:rPr>
          <w:rFonts w:hAnsi="宋体"/>
          <w:color w:val="auto"/>
          <w:szCs w:val="21"/>
          <w:highlight w:val="none"/>
        </w:rPr>
        <w:t>临时设施：指为完成合同约定的各项工作所服务的临时性生产和生活设施。</w:t>
      </w:r>
    </w:p>
    <w:p w14:paraId="262E52A1">
      <w:pPr>
        <w:spacing w:line="360" w:lineRule="auto"/>
        <w:ind w:firstLine="630" w:firstLineChars="300"/>
        <w:rPr>
          <w:color w:val="auto"/>
          <w:szCs w:val="21"/>
          <w:highlight w:val="none"/>
        </w:rPr>
      </w:pPr>
      <w:r>
        <w:rPr>
          <w:color w:val="auto"/>
          <w:highlight w:val="none"/>
        </w:rPr>
        <w:t>1.1.3.8</w:t>
      </w:r>
      <w:r>
        <w:rPr>
          <w:color w:val="auto"/>
          <w:szCs w:val="21"/>
          <w:highlight w:val="none"/>
        </w:rPr>
        <w:t xml:space="preserve"> </w:t>
      </w:r>
      <w:r>
        <w:rPr>
          <w:rFonts w:hAnsi="宋体"/>
          <w:color w:val="auto"/>
          <w:szCs w:val="21"/>
          <w:highlight w:val="none"/>
        </w:rPr>
        <w:t>承包人设备：指承包人为工程实施提供的施工设备。</w:t>
      </w:r>
    </w:p>
    <w:p w14:paraId="3884A92A">
      <w:pPr>
        <w:spacing w:line="360" w:lineRule="auto"/>
        <w:ind w:firstLine="630" w:firstLineChars="300"/>
        <w:rPr>
          <w:color w:val="auto"/>
          <w:szCs w:val="21"/>
          <w:highlight w:val="none"/>
        </w:rPr>
      </w:pPr>
      <w:r>
        <w:rPr>
          <w:color w:val="auto"/>
          <w:highlight w:val="none"/>
        </w:rPr>
        <w:t>1.1.3.9</w:t>
      </w:r>
      <w:r>
        <w:rPr>
          <w:color w:val="auto"/>
          <w:szCs w:val="21"/>
          <w:highlight w:val="none"/>
        </w:rPr>
        <w:t xml:space="preserve"> </w:t>
      </w:r>
      <w:r>
        <w:rPr>
          <w:rFonts w:hAnsi="宋体"/>
          <w:color w:val="auto"/>
          <w:szCs w:val="21"/>
          <w:highlight w:val="none"/>
        </w:rPr>
        <w:t>施工场地（或称工地、现场）：指用于合同工程施工的场所，以及在合同中指定作为施工场地组成部分的其他场所，包括永久占地和临时占地。</w:t>
      </w:r>
    </w:p>
    <w:p w14:paraId="7777E985">
      <w:pPr>
        <w:spacing w:line="360" w:lineRule="auto"/>
        <w:ind w:firstLine="630" w:firstLineChars="300"/>
        <w:rPr>
          <w:color w:val="auto"/>
          <w:szCs w:val="21"/>
          <w:highlight w:val="none"/>
        </w:rPr>
      </w:pPr>
      <w:r>
        <w:rPr>
          <w:color w:val="auto"/>
          <w:highlight w:val="none"/>
        </w:rPr>
        <w:t>1.1.3.10</w:t>
      </w:r>
      <w:r>
        <w:rPr>
          <w:color w:val="auto"/>
          <w:szCs w:val="21"/>
          <w:highlight w:val="none"/>
        </w:rPr>
        <w:t xml:space="preserve"> </w:t>
      </w:r>
      <w:r>
        <w:rPr>
          <w:rFonts w:hAnsi="宋体"/>
          <w:color w:val="auto"/>
          <w:szCs w:val="21"/>
          <w:highlight w:val="none"/>
        </w:rPr>
        <w:t>永久占地：指专用合同条款中指明为实施合同工程需永久占用的土地。</w:t>
      </w:r>
    </w:p>
    <w:p w14:paraId="706496B9">
      <w:pPr>
        <w:spacing w:line="360" w:lineRule="auto"/>
        <w:ind w:firstLine="630" w:firstLineChars="300"/>
        <w:rPr>
          <w:color w:val="auto"/>
          <w:szCs w:val="21"/>
          <w:highlight w:val="none"/>
        </w:rPr>
      </w:pPr>
      <w:r>
        <w:rPr>
          <w:color w:val="auto"/>
          <w:highlight w:val="none"/>
        </w:rPr>
        <w:t>1.1.3.11</w:t>
      </w:r>
      <w:r>
        <w:rPr>
          <w:color w:val="auto"/>
          <w:szCs w:val="21"/>
          <w:highlight w:val="none"/>
        </w:rPr>
        <w:t xml:space="preserve"> </w:t>
      </w:r>
      <w:r>
        <w:rPr>
          <w:rFonts w:hAnsi="宋体"/>
          <w:color w:val="auto"/>
          <w:szCs w:val="21"/>
          <w:highlight w:val="none"/>
        </w:rPr>
        <w:t>临时占地：指专用合同条款中指明为实施合同工程需临时占用的土地。</w:t>
      </w:r>
    </w:p>
    <w:p w14:paraId="06BFA91B">
      <w:pPr>
        <w:spacing w:line="360" w:lineRule="auto"/>
        <w:ind w:firstLine="424" w:firstLineChars="202"/>
        <w:rPr>
          <w:rFonts w:hAnsi="宋体"/>
          <w:color w:val="auto"/>
          <w:szCs w:val="21"/>
          <w:highlight w:val="none"/>
        </w:rPr>
      </w:pPr>
      <w:bookmarkStart w:id="1517" w:name="_Toc519085376"/>
      <w:r>
        <w:rPr>
          <w:rFonts w:hAnsi="宋体"/>
          <w:color w:val="auto"/>
          <w:szCs w:val="21"/>
          <w:highlight w:val="none"/>
        </w:rPr>
        <w:t>1.1.4 日期、检验和竣工</w:t>
      </w:r>
      <w:bookmarkEnd w:id="1517"/>
    </w:p>
    <w:p w14:paraId="22A7A5D7">
      <w:pPr>
        <w:spacing w:line="360" w:lineRule="auto"/>
        <w:ind w:firstLine="630" w:firstLineChars="300"/>
        <w:rPr>
          <w:color w:val="auto"/>
          <w:szCs w:val="21"/>
          <w:highlight w:val="none"/>
        </w:rPr>
      </w:pPr>
      <w:r>
        <w:rPr>
          <w:color w:val="auto"/>
          <w:highlight w:val="none"/>
        </w:rPr>
        <w:t>1.1.4.1</w:t>
      </w:r>
      <w:r>
        <w:rPr>
          <w:color w:val="auto"/>
          <w:szCs w:val="21"/>
          <w:highlight w:val="none"/>
        </w:rPr>
        <w:t xml:space="preserve"> </w:t>
      </w:r>
      <w:r>
        <w:rPr>
          <w:rFonts w:hAnsi="宋体"/>
          <w:color w:val="auto"/>
          <w:szCs w:val="21"/>
          <w:highlight w:val="none"/>
        </w:rPr>
        <w:t>开始工作通知：指监理人按第</w:t>
      </w:r>
      <w:r>
        <w:rPr>
          <w:color w:val="auto"/>
          <w:szCs w:val="21"/>
          <w:highlight w:val="none"/>
        </w:rPr>
        <w:t xml:space="preserve">11.1 </w:t>
      </w:r>
      <w:r>
        <w:rPr>
          <w:rFonts w:hAnsi="宋体"/>
          <w:color w:val="auto"/>
          <w:szCs w:val="21"/>
          <w:highlight w:val="none"/>
        </w:rPr>
        <w:t>款通知承包人开始工作的函件。</w:t>
      </w:r>
    </w:p>
    <w:p w14:paraId="64316A3C">
      <w:pPr>
        <w:spacing w:line="360" w:lineRule="auto"/>
        <w:ind w:firstLine="630" w:firstLineChars="300"/>
        <w:rPr>
          <w:color w:val="auto"/>
          <w:szCs w:val="21"/>
          <w:highlight w:val="none"/>
        </w:rPr>
      </w:pPr>
      <w:r>
        <w:rPr>
          <w:color w:val="auto"/>
          <w:highlight w:val="none"/>
        </w:rPr>
        <w:t xml:space="preserve">1.1.4.2 </w:t>
      </w:r>
      <w:r>
        <w:rPr>
          <w:rFonts w:hAnsi="宋体"/>
          <w:color w:val="auto"/>
          <w:szCs w:val="21"/>
          <w:highlight w:val="none"/>
        </w:rPr>
        <w:t>开始工作日期：指监理人按第</w:t>
      </w:r>
      <w:r>
        <w:rPr>
          <w:color w:val="auto"/>
          <w:szCs w:val="21"/>
          <w:highlight w:val="none"/>
        </w:rPr>
        <w:t>11.1</w:t>
      </w:r>
      <w:r>
        <w:rPr>
          <w:rFonts w:hAnsi="宋体"/>
          <w:color w:val="auto"/>
          <w:szCs w:val="21"/>
          <w:highlight w:val="none"/>
        </w:rPr>
        <w:t>款发出的开始工作通知中写明的开始工作日期。</w:t>
      </w:r>
    </w:p>
    <w:p w14:paraId="02563AFF">
      <w:pPr>
        <w:spacing w:line="360" w:lineRule="auto"/>
        <w:ind w:firstLine="630" w:firstLineChars="300"/>
        <w:rPr>
          <w:color w:val="auto"/>
          <w:szCs w:val="21"/>
          <w:highlight w:val="none"/>
        </w:rPr>
      </w:pPr>
      <w:r>
        <w:rPr>
          <w:color w:val="auto"/>
          <w:highlight w:val="none"/>
        </w:rPr>
        <w:t>1.1.4.3</w:t>
      </w:r>
      <w:r>
        <w:rPr>
          <w:color w:val="auto"/>
          <w:szCs w:val="21"/>
          <w:highlight w:val="none"/>
        </w:rPr>
        <w:t xml:space="preserve"> </w:t>
      </w:r>
      <w:r>
        <w:rPr>
          <w:rFonts w:hAnsi="宋体"/>
          <w:color w:val="auto"/>
          <w:szCs w:val="21"/>
          <w:highlight w:val="none"/>
        </w:rPr>
        <w:t>工期：指承包人在投标函中承诺的完成合同工作所需的期限，包括按第</w:t>
      </w:r>
      <w:r>
        <w:rPr>
          <w:color w:val="auto"/>
          <w:szCs w:val="21"/>
          <w:highlight w:val="none"/>
        </w:rPr>
        <w:t>11.3</w:t>
      </w:r>
      <w:r>
        <w:rPr>
          <w:rFonts w:hAnsi="宋体"/>
          <w:color w:val="auto"/>
          <w:szCs w:val="21"/>
          <w:highlight w:val="none"/>
        </w:rPr>
        <w:t>款、第</w:t>
      </w:r>
      <w:r>
        <w:rPr>
          <w:color w:val="auto"/>
          <w:szCs w:val="21"/>
          <w:highlight w:val="none"/>
        </w:rPr>
        <w:t>11.4</w:t>
      </w:r>
      <w:r>
        <w:rPr>
          <w:rFonts w:hAnsi="宋体"/>
          <w:color w:val="auto"/>
          <w:szCs w:val="21"/>
          <w:highlight w:val="none"/>
        </w:rPr>
        <w:t>款和第</w:t>
      </w:r>
      <w:r>
        <w:rPr>
          <w:color w:val="auto"/>
          <w:szCs w:val="21"/>
          <w:highlight w:val="none"/>
        </w:rPr>
        <w:t>11.6</w:t>
      </w:r>
      <w:r>
        <w:rPr>
          <w:rFonts w:hAnsi="宋体"/>
          <w:color w:val="auto"/>
          <w:szCs w:val="21"/>
          <w:highlight w:val="none"/>
        </w:rPr>
        <w:t>款约定所作的变更。</w:t>
      </w:r>
    </w:p>
    <w:p w14:paraId="099B3AB4">
      <w:pPr>
        <w:spacing w:line="360" w:lineRule="auto"/>
        <w:ind w:firstLine="630" w:firstLineChars="300"/>
        <w:rPr>
          <w:color w:val="auto"/>
          <w:szCs w:val="21"/>
          <w:highlight w:val="none"/>
        </w:rPr>
      </w:pPr>
      <w:r>
        <w:rPr>
          <w:color w:val="auto"/>
          <w:highlight w:val="none"/>
        </w:rPr>
        <w:t>1.1.4.4</w:t>
      </w:r>
      <w:r>
        <w:rPr>
          <w:color w:val="auto"/>
          <w:szCs w:val="21"/>
          <w:highlight w:val="none"/>
        </w:rPr>
        <w:t xml:space="preserve"> </w:t>
      </w:r>
      <w:r>
        <w:rPr>
          <w:rFonts w:hAnsi="宋体"/>
          <w:color w:val="auto"/>
          <w:szCs w:val="21"/>
          <w:highlight w:val="none"/>
        </w:rPr>
        <w:t>竣工日期：指第</w:t>
      </w:r>
      <w:r>
        <w:rPr>
          <w:color w:val="auto"/>
          <w:szCs w:val="21"/>
          <w:highlight w:val="none"/>
        </w:rPr>
        <w:t>1.1.4.3</w:t>
      </w:r>
      <w:r>
        <w:rPr>
          <w:rFonts w:hAnsi="宋体"/>
          <w:color w:val="auto"/>
          <w:szCs w:val="21"/>
          <w:highlight w:val="none"/>
        </w:rPr>
        <w:t>目约定工期届满时的日期。实际竣工日期以工程接收证书中写明的日期为准。</w:t>
      </w:r>
    </w:p>
    <w:p w14:paraId="79B11F01">
      <w:pPr>
        <w:spacing w:line="360" w:lineRule="auto"/>
        <w:ind w:firstLine="630" w:firstLineChars="300"/>
        <w:rPr>
          <w:color w:val="auto"/>
          <w:szCs w:val="21"/>
          <w:highlight w:val="none"/>
        </w:rPr>
      </w:pPr>
      <w:r>
        <w:rPr>
          <w:color w:val="auto"/>
          <w:highlight w:val="none"/>
        </w:rPr>
        <w:t>1.1.4.5</w:t>
      </w:r>
      <w:r>
        <w:rPr>
          <w:color w:val="auto"/>
          <w:szCs w:val="21"/>
          <w:highlight w:val="none"/>
        </w:rPr>
        <w:t xml:space="preserve"> </w:t>
      </w:r>
      <w:r>
        <w:rPr>
          <w:rFonts w:hAnsi="宋体"/>
          <w:color w:val="auto"/>
          <w:szCs w:val="21"/>
          <w:highlight w:val="none"/>
        </w:rPr>
        <w:t>缺陷责任期：指履行第</w:t>
      </w:r>
      <w:r>
        <w:rPr>
          <w:color w:val="auto"/>
          <w:szCs w:val="21"/>
          <w:highlight w:val="none"/>
        </w:rPr>
        <w:t>19.2</w:t>
      </w:r>
      <w:r>
        <w:rPr>
          <w:rFonts w:hAnsi="宋体"/>
          <w:color w:val="auto"/>
          <w:szCs w:val="21"/>
          <w:highlight w:val="none"/>
        </w:rPr>
        <w:t>款约定的缺陷责任的期限，具体期限在发包人要求中明确的包括根据第</w:t>
      </w:r>
      <w:r>
        <w:rPr>
          <w:color w:val="auto"/>
          <w:szCs w:val="21"/>
          <w:highlight w:val="none"/>
        </w:rPr>
        <w:t xml:space="preserve">19.3 </w:t>
      </w:r>
      <w:r>
        <w:rPr>
          <w:rFonts w:hAnsi="宋体"/>
          <w:color w:val="auto"/>
          <w:szCs w:val="21"/>
          <w:highlight w:val="none"/>
        </w:rPr>
        <w:t>款约定所作的延长。</w:t>
      </w:r>
    </w:p>
    <w:p w14:paraId="273146D7">
      <w:pPr>
        <w:spacing w:line="360" w:lineRule="auto"/>
        <w:ind w:firstLine="630" w:firstLineChars="300"/>
        <w:rPr>
          <w:color w:val="auto"/>
          <w:szCs w:val="21"/>
          <w:highlight w:val="none"/>
        </w:rPr>
      </w:pPr>
      <w:r>
        <w:rPr>
          <w:color w:val="auto"/>
          <w:highlight w:val="none"/>
        </w:rPr>
        <w:t>1.1.4.6</w:t>
      </w:r>
      <w:r>
        <w:rPr>
          <w:color w:val="auto"/>
          <w:szCs w:val="21"/>
          <w:highlight w:val="none"/>
        </w:rPr>
        <w:t xml:space="preserve"> </w:t>
      </w:r>
      <w:r>
        <w:rPr>
          <w:rFonts w:hAnsi="宋体"/>
          <w:color w:val="auto"/>
          <w:szCs w:val="21"/>
          <w:highlight w:val="none"/>
        </w:rPr>
        <w:t>基准日期：指投标截止之日前</w:t>
      </w:r>
      <w:r>
        <w:rPr>
          <w:color w:val="auto"/>
          <w:szCs w:val="21"/>
          <w:highlight w:val="none"/>
        </w:rPr>
        <w:t>28</w:t>
      </w:r>
      <w:r>
        <w:rPr>
          <w:rFonts w:hAnsi="宋体"/>
          <w:color w:val="auto"/>
          <w:szCs w:val="21"/>
          <w:highlight w:val="none"/>
        </w:rPr>
        <w:t>天的日期。</w:t>
      </w:r>
    </w:p>
    <w:p w14:paraId="7EED3B02">
      <w:pPr>
        <w:spacing w:line="360" w:lineRule="auto"/>
        <w:ind w:firstLine="630" w:firstLineChars="300"/>
        <w:rPr>
          <w:color w:val="auto"/>
          <w:szCs w:val="21"/>
          <w:highlight w:val="none"/>
        </w:rPr>
      </w:pPr>
      <w:r>
        <w:rPr>
          <w:color w:val="auto"/>
          <w:highlight w:val="none"/>
        </w:rPr>
        <w:t>1.1.4.7</w:t>
      </w:r>
      <w:r>
        <w:rPr>
          <w:color w:val="auto"/>
          <w:szCs w:val="21"/>
          <w:highlight w:val="none"/>
        </w:rPr>
        <w:t xml:space="preserve"> </w:t>
      </w:r>
      <w:r>
        <w:rPr>
          <w:rFonts w:hAnsi="宋体"/>
          <w:color w:val="auto"/>
          <w:szCs w:val="21"/>
          <w:highlight w:val="none"/>
        </w:rPr>
        <w:t>天：除特别指明外，指日历天。合同中按天计算时间的，开始当天不计入，从次日开始计算。期限最后一天的截止时间为当天</w:t>
      </w:r>
      <w:r>
        <w:rPr>
          <w:color w:val="auto"/>
          <w:szCs w:val="21"/>
          <w:highlight w:val="none"/>
        </w:rPr>
        <w:t>24:00</w:t>
      </w:r>
      <w:r>
        <w:rPr>
          <w:rFonts w:hAnsi="宋体"/>
          <w:color w:val="auto"/>
          <w:szCs w:val="21"/>
          <w:highlight w:val="none"/>
        </w:rPr>
        <w:t>。</w:t>
      </w:r>
    </w:p>
    <w:p w14:paraId="4204F9D4">
      <w:pPr>
        <w:spacing w:line="360" w:lineRule="auto"/>
        <w:ind w:firstLine="630" w:firstLineChars="300"/>
        <w:rPr>
          <w:color w:val="auto"/>
          <w:szCs w:val="21"/>
          <w:highlight w:val="none"/>
        </w:rPr>
      </w:pPr>
      <w:r>
        <w:rPr>
          <w:color w:val="auto"/>
          <w:highlight w:val="none"/>
        </w:rPr>
        <w:t>1.1.4.8</w:t>
      </w:r>
      <w:r>
        <w:rPr>
          <w:color w:val="auto"/>
          <w:szCs w:val="21"/>
          <w:highlight w:val="none"/>
        </w:rPr>
        <w:t xml:space="preserve"> </w:t>
      </w:r>
      <w:r>
        <w:rPr>
          <w:rFonts w:hAnsi="宋体"/>
          <w:color w:val="auto"/>
          <w:szCs w:val="21"/>
          <w:highlight w:val="none"/>
        </w:rPr>
        <w:t>竣工试验：是指在工程竣工验收前，根据第</w:t>
      </w:r>
      <w:r>
        <w:rPr>
          <w:color w:val="auto"/>
          <w:szCs w:val="21"/>
          <w:highlight w:val="none"/>
        </w:rPr>
        <w:t>18.1</w:t>
      </w:r>
      <w:r>
        <w:rPr>
          <w:rFonts w:hAnsi="宋体"/>
          <w:color w:val="auto"/>
          <w:szCs w:val="21"/>
          <w:highlight w:val="none"/>
        </w:rPr>
        <w:t>款要求进行的试验。</w:t>
      </w:r>
    </w:p>
    <w:p w14:paraId="3E8B6E41">
      <w:pPr>
        <w:spacing w:line="360" w:lineRule="auto"/>
        <w:ind w:firstLine="630" w:firstLineChars="300"/>
        <w:rPr>
          <w:color w:val="auto"/>
          <w:szCs w:val="21"/>
          <w:highlight w:val="none"/>
        </w:rPr>
      </w:pPr>
      <w:r>
        <w:rPr>
          <w:color w:val="auto"/>
          <w:highlight w:val="none"/>
        </w:rPr>
        <w:t>1.1.4.9</w:t>
      </w:r>
      <w:r>
        <w:rPr>
          <w:color w:val="auto"/>
          <w:szCs w:val="21"/>
          <w:highlight w:val="none"/>
        </w:rPr>
        <w:t xml:space="preserve"> </w:t>
      </w:r>
      <w:r>
        <w:rPr>
          <w:rFonts w:hAnsi="宋体"/>
          <w:color w:val="auto"/>
          <w:szCs w:val="21"/>
          <w:highlight w:val="none"/>
        </w:rPr>
        <w:t>竣工验收：是指承包人完成了全部合同工作后，发包人按合同要求进行的验收。</w:t>
      </w:r>
    </w:p>
    <w:p w14:paraId="00D89C7F">
      <w:pPr>
        <w:spacing w:line="360" w:lineRule="auto"/>
        <w:ind w:firstLine="630" w:firstLineChars="300"/>
        <w:rPr>
          <w:color w:val="auto"/>
          <w:szCs w:val="21"/>
          <w:highlight w:val="none"/>
        </w:rPr>
      </w:pPr>
      <w:r>
        <w:rPr>
          <w:color w:val="auto"/>
          <w:highlight w:val="none"/>
        </w:rPr>
        <w:t>1.1.4.10</w:t>
      </w:r>
      <w:r>
        <w:rPr>
          <w:color w:val="auto"/>
          <w:szCs w:val="21"/>
          <w:highlight w:val="none"/>
        </w:rPr>
        <w:t xml:space="preserve"> </w:t>
      </w:r>
      <w:r>
        <w:rPr>
          <w:rFonts w:hAnsi="宋体"/>
          <w:color w:val="auto"/>
          <w:szCs w:val="21"/>
          <w:highlight w:val="none"/>
        </w:rPr>
        <w:t>竣工后试验：是指在工程竣工验收后，根据第</w:t>
      </w:r>
      <w:r>
        <w:rPr>
          <w:color w:val="auto"/>
          <w:szCs w:val="21"/>
          <w:highlight w:val="none"/>
        </w:rPr>
        <w:t>18.9</w:t>
      </w:r>
      <w:r>
        <w:rPr>
          <w:rFonts w:hAnsi="宋体"/>
          <w:color w:val="auto"/>
          <w:szCs w:val="21"/>
          <w:highlight w:val="none"/>
        </w:rPr>
        <w:t>款约定进行的试验。</w:t>
      </w:r>
    </w:p>
    <w:p w14:paraId="2B0D0E2D">
      <w:pPr>
        <w:spacing w:line="360" w:lineRule="auto"/>
        <w:ind w:firstLine="630" w:firstLineChars="300"/>
        <w:rPr>
          <w:color w:val="auto"/>
          <w:szCs w:val="21"/>
          <w:highlight w:val="none"/>
        </w:rPr>
      </w:pPr>
      <w:r>
        <w:rPr>
          <w:color w:val="auto"/>
          <w:highlight w:val="none"/>
        </w:rPr>
        <w:t>1.1.4.11</w:t>
      </w:r>
      <w:r>
        <w:rPr>
          <w:rFonts w:hAnsi="宋体"/>
          <w:color w:val="auto"/>
          <w:szCs w:val="21"/>
          <w:highlight w:val="none"/>
        </w:rPr>
        <w:t>国家验收：是指政府有关部门根据法律、规范、规程和政策要求，针对发包人全面组织实施的整个工程正式交付投运前的验收。</w:t>
      </w:r>
    </w:p>
    <w:p w14:paraId="280CDC21">
      <w:pPr>
        <w:spacing w:line="360" w:lineRule="auto"/>
        <w:ind w:firstLine="424" w:firstLineChars="202"/>
        <w:rPr>
          <w:rFonts w:hAnsi="宋体"/>
          <w:color w:val="auto"/>
          <w:szCs w:val="21"/>
          <w:highlight w:val="none"/>
        </w:rPr>
      </w:pPr>
      <w:bookmarkStart w:id="1518" w:name="_Toc519085377"/>
      <w:r>
        <w:rPr>
          <w:rFonts w:hAnsi="宋体"/>
          <w:color w:val="auto"/>
          <w:szCs w:val="21"/>
          <w:highlight w:val="none"/>
        </w:rPr>
        <w:t>1.1.5 合同价格和费用</w:t>
      </w:r>
      <w:bookmarkEnd w:id="1518"/>
    </w:p>
    <w:p w14:paraId="04E74087">
      <w:pPr>
        <w:spacing w:line="360" w:lineRule="auto"/>
        <w:ind w:firstLine="630" w:firstLineChars="300"/>
        <w:rPr>
          <w:color w:val="auto"/>
          <w:szCs w:val="21"/>
          <w:highlight w:val="none"/>
        </w:rPr>
      </w:pPr>
      <w:r>
        <w:rPr>
          <w:color w:val="auto"/>
          <w:highlight w:val="none"/>
        </w:rPr>
        <w:t>1.1.5.1</w:t>
      </w:r>
      <w:r>
        <w:rPr>
          <w:color w:val="auto"/>
          <w:szCs w:val="21"/>
          <w:highlight w:val="none"/>
        </w:rPr>
        <w:t xml:space="preserve"> </w:t>
      </w:r>
      <w:r>
        <w:rPr>
          <w:rFonts w:hAnsi="宋体"/>
          <w:color w:val="auto"/>
          <w:szCs w:val="21"/>
          <w:highlight w:val="none"/>
        </w:rPr>
        <w:t>签约合同价：指中标通知书明确的并在签定合同时于合同协议书中写明的，包括了暂列金额、暂估价的合同总金额。</w:t>
      </w:r>
    </w:p>
    <w:p w14:paraId="7EB88E5C">
      <w:pPr>
        <w:spacing w:line="360" w:lineRule="auto"/>
        <w:ind w:firstLine="630" w:firstLineChars="300"/>
        <w:rPr>
          <w:color w:val="auto"/>
          <w:szCs w:val="21"/>
          <w:highlight w:val="none"/>
        </w:rPr>
      </w:pPr>
      <w:r>
        <w:rPr>
          <w:color w:val="auto"/>
          <w:highlight w:val="none"/>
        </w:rPr>
        <w:t>1.1.5.2</w:t>
      </w:r>
      <w:r>
        <w:rPr>
          <w:color w:val="auto"/>
          <w:szCs w:val="21"/>
          <w:highlight w:val="none"/>
        </w:rPr>
        <w:t xml:space="preserve"> </w:t>
      </w:r>
      <w:r>
        <w:rPr>
          <w:rFonts w:hAnsi="宋体"/>
          <w:color w:val="auto"/>
          <w:szCs w:val="21"/>
          <w:highlight w:val="none"/>
        </w:rPr>
        <w:t>合同价格：指承包人按合同约定完成了包括缺陷责任期内的全部承包工作后，发包人应付给承包人的金额，包括在履行合同过程中按合同约定进行的变更和调整。</w:t>
      </w:r>
    </w:p>
    <w:p w14:paraId="62C334A1">
      <w:pPr>
        <w:spacing w:line="360" w:lineRule="auto"/>
        <w:ind w:firstLine="630" w:firstLineChars="300"/>
        <w:rPr>
          <w:color w:val="auto"/>
          <w:szCs w:val="21"/>
          <w:highlight w:val="none"/>
        </w:rPr>
      </w:pPr>
      <w:r>
        <w:rPr>
          <w:color w:val="auto"/>
          <w:highlight w:val="none"/>
        </w:rPr>
        <w:t>1.1.5.3</w:t>
      </w:r>
      <w:r>
        <w:rPr>
          <w:color w:val="auto"/>
          <w:szCs w:val="21"/>
          <w:highlight w:val="none"/>
        </w:rPr>
        <w:t xml:space="preserve"> </w:t>
      </w:r>
      <w:r>
        <w:rPr>
          <w:rFonts w:hAnsi="宋体"/>
          <w:color w:val="auto"/>
          <w:szCs w:val="21"/>
          <w:highlight w:val="none"/>
        </w:rPr>
        <w:t>费用：指为履行合同所发生的或将要发生的所有合理开支，包括管理费和应分摊的其他费用，但不包括利润。</w:t>
      </w:r>
    </w:p>
    <w:p w14:paraId="629B3158">
      <w:pPr>
        <w:spacing w:line="360" w:lineRule="auto"/>
        <w:ind w:firstLine="630" w:firstLineChars="300"/>
        <w:rPr>
          <w:color w:val="auto"/>
          <w:szCs w:val="21"/>
          <w:highlight w:val="none"/>
        </w:rPr>
      </w:pPr>
      <w:r>
        <w:rPr>
          <w:color w:val="auto"/>
          <w:highlight w:val="none"/>
        </w:rPr>
        <w:t>1.1.5.4</w:t>
      </w:r>
      <w:r>
        <w:rPr>
          <w:color w:val="auto"/>
          <w:szCs w:val="21"/>
          <w:highlight w:val="none"/>
        </w:rPr>
        <w:t xml:space="preserve"> </w:t>
      </w:r>
      <w:r>
        <w:rPr>
          <w:rFonts w:hAnsi="宋体"/>
          <w:color w:val="auto"/>
          <w:szCs w:val="21"/>
          <w:highlight w:val="none"/>
        </w:rPr>
        <w:t>暂列金额：指招标文件中给定的，用于在签订协议书时尚未确定或不可预见变更的设计、施工及其所需材料、工程设备、服务等的金额，包括以计日工方式支付的金额。</w:t>
      </w:r>
    </w:p>
    <w:p w14:paraId="44E2BFB3">
      <w:pPr>
        <w:spacing w:line="360" w:lineRule="auto"/>
        <w:ind w:firstLine="630" w:firstLineChars="300"/>
        <w:rPr>
          <w:color w:val="auto"/>
          <w:szCs w:val="21"/>
          <w:highlight w:val="none"/>
        </w:rPr>
      </w:pPr>
      <w:r>
        <w:rPr>
          <w:color w:val="auto"/>
          <w:highlight w:val="none"/>
        </w:rPr>
        <w:t>1.1.5.5</w:t>
      </w:r>
      <w:r>
        <w:rPr>
          <w:color w:val="auto"/>
          <w:szCs w:val="21"/>
          <w:highlight w:val="none"/>
        </w:rPr>
        <w:t xml:space="preserve"> </w:t>
      </w:r>
      <w:r>
        <w:rPr>
          <w:rFonts w:hAnsi="宋体"/>
          <w:color w:val="auto"/>
          <w:szCs w:val="21"/>
          <w:highlight w:val="none"/>
        </w:rPr>
        <w:t>暂估价：指招标文件中给定的，用于支付必然发生但暂时不能确定价格的专业服务、材料、设备专业工程的金额。</w:t>
      </w:r>
    </w:p>
    <w:p w14:paraId="76014437">
      <w:pPr>
        <w:spacing w:line="360" w:lineRule="auto"/>
        <w:ind w:firstLine="630" w:firstLineChars="300"/>
        <w:rPr>
          <w:color w:val="auto"/>
          <w:szCs w:val="21"/>
          <w:highlight w:val="none"/>
        </w:rPr>
      </w:pPr>
      <w:r>
        <w:rPr>
          <w:color w:val="auto"/>
          <w:highlight w:val="none"/>
        </w:rPr>
        <w:t xml:space="preserve">1.1.5.6 </w:t>
      </w:r>
      <w:r>
        <w:rPr>
          <w:rFonts w:hAnsi="宋体"/>
          <w:color w:val="auto"/>
          <w:szCs w:val="21"/>
          <w:highlight w:val="none"/>
        </w:rPr>
        <w:t>计日工：指对零星工作采取的一种计价方式，按合同中的计日工子目及其单价计价付款。</w:t>
      </w:r>
    </w:p>
    <w:p w14:paraId="6D217EA6">
      <w:pPr>
        <w:spacing w:line="360" w:lineRule="auto"/>
        <w:ind w:firstLine="630" w:firstLineChars="300"/>
        <w:rPr>
          <w:color w:val="auto"/>
          <w:szCs w:val="21"/>
          <w:highlight w:val="none"/>
        </w:rPr>
      </w:pPr>
      <w:r>
        <w:rPr>
          <w:color w:val="auto"/>
          <w:highlight w:val="none"/>
        </w:rPr>
        <w:t>1.1.5.7</w:t>
      </w:r>
      <w:r>
        <w:rPr>
          <w:color w:val="auto"/>
          <w:szCs w:val="21"/>
          <w:highlight w:val="none"/>
        </w:rPr>
        <w:t xml:space="preserve"> </w:t>
      </w:r>
      <w:r>
        <w:rPr>
          <w:rFonts w:hAnsi="宋体"/>
          <w:color w:val="auto"/>
          <w:szCs w:val="21"/>
          <w:highlight w:val="none"/>
        </w:rPr>
        <w:t>质量保证金：指按第</w:t>
      </w:r>
      <w:r>
        <w:rPr>
          <w:color w:val="auto"/>
          <w:szCs w:val="21"/>
          <w:highlight w:val="none"/>
        </w:rPr>
        <w:t>17.4.1</w:t>
      </w:r>
      <w:r>
        <w:rPr>
          <w:rFonts w:hAnsi="宋体"/>
          <w:color w:val="auto"/>
          <w:szCs w:val="21"/>
          <w:highlight w:val="none"/>
        </w:rPr>
        <w:t>项约定用于保证在缺陷责任期内履行缺陷修复义务的金额。</w:t>
      </w:r>
    </w:p>
    <w:p w14:paraId="64A90B1F">
      <w:pPr>
        <w:spacing w:line="360" w:lineRule="auto"/>
        <w:ind w:firstLine="424" w:firstLineChars="202"/>
        <w:rPr>
          <w:rFonts w:hAnsi="宋体"/>
          <w:color w:val="auto"/>
          <w:szCs w:val="21"/>
          <w:highlight w:val="none"/>
        </w:rPr>
      </w:pPr>
      <w:bookmarkStart w:id="1519" w:name="_Toc519085378"/>
      <w:r>
        <w:rPr>
          <w:rFonts w:hAnsi="宋体"/>
          <w:color w:val="auto"/>
          <w:szCs w:val="21"/>
          <w:highlight w:val="none"/>
        </w:rPr>
        <w:t>1.1.6 其他</w:t>
      </w:r>
      <w:bookmarkEnd w:id="1519"/>
    </w:p>
    <w:p w14:paraId="5585AD4A">
      <w:pPr>
        <w:spacing w:line="360" w:lineRule="auto"/>
        <w:ind w:firstLine="630" w:firstLineChars="300"/>
        <w:rPr>
          <w:color w:val="auto"/>
          <w:highlight w:val="none"/>
        </w:rPr>
      </w:pPr>
      <w:r>
        <w:rPr>
          <w:color w:val="auto"/>
          <w:highlight w:val="none"/>
        </w:rPr>
        <w:t xml:space="preserve">1.1.6.1 </w:t>
      </w:r>
      <w:r>
        <w:rPr>
          <w:rFonts w:hAnsi="宋体"/>
          <w:color w:val="auto"/>
          <w:highlight w:val="none"/>
        </w:rPr>
        <w:t>书面形式：指合同文件、信函、电报、传真、数据电文、电子邮件、会议纪要等可以有形地表现所载内容的形式。</w:t>
      </w:r>
    </w:p>
    <w:p w14:paraId="7A37942C">
      <w:pPr>
        <w:spacing w:line="360" w:lineRule="auto"/>
        <w:ind w:firstLine="630" w:firstLineChars="300"/>
        <w:rPr>
          <w:color w:val="auto"/>
          <w:highlight w:val="none"/>
        </w:rPr>
      </w:pPr>
      <w:r>
        <w:rPr>
          <w:color w:val="auto"/>
          <w:highlight w:val="none"/>
        </w:rPr>
        <w:t xml:space="preserve">1.1.6.2 </w:t>
      </w:r>
      <w:r>
        <w:rPr>
          <w:rFonts w:hAnsi="宋体"/>
          <w:color w:val="auto"/>
          <w:highlight w:val="none"/>
        </w:rPr>
        <w:t>承包人文件：指由承包人根据合同应提交的所有图纸、手册、模型、计算书、软件和其他文件。</w:t>
      </w:r>
    </w:p>
    <w:p w14:paraId="2BEA2FB3">
      <w:pPr>
        <w:spacing w:line="360" w:lineRule="auto"/>
        <w:ind w:firstLine="630" w:firstLineChars="300"/>
        <w:rPr>
          <w:color w:val="auto"/>
          <w:szCs w:val="21"/>
          <w:highlight w:val="none"/>
        </w:rPr>
      </w:pPr>
      <w:r>
        <w:rPr>
          <w:color w:val="auto"/>
          <w:highlight w:val="none"/>
        </w:rPr>
        <w:t xml:space="preserve">1.1.6.3 </w:t>
      </w:r>
      <w:r>
        <w:rPr>
          <w:rFonts w:hAnsi="宋体"/>
          <w:color w:val="auto"/>
          <w:highlight w:val="none"/>
        </w:rPr>
        <w:t>变</w:t>
      </w:r>
      <w:r>
        <w:rPr>
          <w:rFonts w:hAnsi="宋体"/>
          <w:color w:val="auto"/>
          <w:szCs w:val="21"/>
          <w:highlight w:val="none"/>
        </w:rPr>
        <w:t>更是指根据第</w:t>
      </w:r>
      <w:r>
        <w:rPr>
          <w:color w:val="auto"/>
          <w:highlight w:val="none"/>
        </w:rPr>
        <w:t>15</w:t>
      </w:r>
      <w:r>
        <w:rPr>
          <w:rFonts w:hAnsi="宋体"/>
          <w:color w:val="auto"/>
          <w:szCs w:val="21"/>
          <w:highlight w:val="none"/>
        </w:rPr>
        <w:t>条的约定，经指示或批准对发包人要求或工程所做的改变。</w:t>
      </w:r>
    </w:p>
    <w:p w14:paraId="19F3FF95">
      <w:pPr>
        <w:pStyle w:val="6"/>
        <w:spacing w:before="159"/>
        <w:rPr>
          <w:color w:val="auto"/>
          <w:highlight w:val="none"/>
        </w:rPr>
      </w:pPr>
      <w:bookmarkStart w:id="1520" w:name="_Toc2367"/>
      <w:bookmarkStart w:id="1521" w:name="_Toc247514037"/>
      <w:bookmarkStart w:id="1522" w:name="_Toc247527638"/>
      <w:bookmarkStart w:id="1523" w:name="_Toc300835034"/>
      <w:bookmarkStart w:id="1524" w:name="_Toc519085379"/>
      <w:bookmarkStart w:id="1525" w:name="_Toc28122"/>
      <w:bookmarkStart w:id="1526" w:name="_Toc19106"/>
      <w:bookmarkStart w:id="1527" w:name="_Toc12316_WPSOffice_Level2"/>
      <w:r>
        <w:rPr>
          <w:color w:val="auto"/>
          <w:highlight w:val="none"/>
        </w:rPr>
        <w:t>1.2 语言文字</w:t>
      </w:r>
      <w:bookmarkEnd w:id="1520"/>
      <w:bookmarkEnd w:id="1521"/>
      <w:bookmarkEnd w:id="1522"/>
      <w:bookmarkEnd w:id="1523"/>
      <w:bookmarkEnd w:id="1524"/>
      <w:bookmarkEnd w:id="1525"/>
      <w:bookmarkEnd w:id="1526"/>
      <w:bookmarkEnd w:id="1527"/>
    </w:p>
    <w:p w14:paraId="3C8AE573">
      <w:pPr>
        <w:spacing w:line="360" w:lineRule="auto"/>
        <w:ind w:firstLine="420" w:firstLineChars="200"/>
        <w:rPr>
          <w:color w:val="auto"/>
          <w:szCs w:val="21"/>
          <w:highlight w:val="none"/>
        </w:rPr>
      </w:pPr>
      <w:r>
        <w:rPr>
          <w:rFonts w:hAnsi="宋体"/>
          <w:color w:val="auto"/>
          <w:szCs w:val="21"/>
          <w:highlight w:val="none"/>
        </w:rPr>
        <w:t>合同使用的语言文字为中文。专用术语使用外文的，应附有中文注释。</w:t>
      </w:r>
    </w:p>
    <w:p w14:paraId="2939BFFB">
      <w:pPr>
        <w:pStyle w:val="6"/>
        <w:spacing w:before="159"/>
        <w:rPr>
          <w:color w:val="auto"/>
          <w:highlight w:val="none"/>
        </w:rPr>
      </w:pPr>
      <w:bookmarkStart w:id="1528" w:name="_Toc26280"/>
      <w:bookmarkStart w:id="1529" w:name="_Toc5434_WPSOffice_Level2"/>
      <w:bookmarkStart w:id="1530" w:name="_Toc519085380"/>
      <w:bookmarkStart w:id="1531" w:name="_Toc300835035"/>
      <w:bookmarkStart w:id="1532" w:name="_Toc23323"/>
      <w:bookmarkStart w:id="1533" w:name="_Toc11182"/>
      <w:bookmarkStart w:id="1534" w:name="_Toc247514038"/>
      <w:bookmarkStart w:id="1535" w:name="_Toc247527639"/>
      <w:r>
        <w:rPr>
          <w:color w:val="auto"/>
          <w:highlight w:val="none"/>
        </w:rPr>
        <w:t>1.3 法律</w:t>
      </w:r>
      <w:bookmarkEnd w:id="1528"/>
      <w:bookmarkEnd w:id="1529"/>
      <w:bookmarkEnd w:id="1530"/>
      <w:bookmarkEnd w:id="1531"/>
      <w:bookmarkEnd w:id="1532"/>
      <w:bookmarkEnd w:id="1533"/>
      <w:bookmarkEnd w:id="1534"/>
      <w:bookmarkEnd w:id="1535"/>
    </w:p>
    <w:p w14:paraId="3003527A">
      <w:pPr>
        <w:spacing w:line="360" w:lineRule="auto"/>
        <w:ind w:firstLine="420" w:firstLineChars="200"/>
        <w:rPr>
          <w:color w:val="auto"/>
          <w:szCs w:val="21"/>
          <w:highlight w:val="none"/>
        </w:rPr>
      </w:pPr>
      <w:r>
        <w:rPr>
          <w:rFonts w:hAnsi="宋体"/>
          <w:color w:val="auto"/>
          <w:szCs w:val="21"/>
          <w:highlight w:val="none"/>
        </w:rPr>
        <w:t>适用于合同的法律包括中华人民共和国法律、行政法规、部门规章，以及工程所在地的地方法规、自治条例、单行条例和地方政府规章。</w:t>
      </w:r>
    </w:p>
    <w:p w14:paraId="468B0FC9">
      <w:pPr>
        <w:pStyle w:val="6"/>
        <w:spacing w:before="159"/>
        <w:rPr>
          <w:color w:val="auto"/>
          <w:highlight w:val="none"/>
        </w:rPr>
      </w:pPr>
      <w:bookmarkStart w:id="1536" w:name="_Toc519085381"/>
      <w:bookmarkStart w:id="1537" w:name="_Toc2434_WPSOffice_Level2"/>
      <w:bookmarkStart w:id="1538" w:name="_Toc247514039"/>
      <w:bookmarkStart w:id="1539" w:name="_Toc22910"/>
      <w:bookmarkStart w:id="1540" w:name="_Toc247527640"/>
      <w:bookmarkStart w:id="1541" w:name="_Toc28631"/>
      <w:bookmarkStart w:id="1542" w:name="_Toc6919"/>
      <w:bookmarkStart w:id="1543" w:name="_Toc300835036"/>
      <w:r>
        <w:rPr>
          <w:color w:val="auto"/>
          <w:highlight w:val="none"/>
        </w:rPr>
        <w:t>1.4 合同文件的优先顺序</w:t>
      </w:r>
      <w:bookmarkEnd w:id="1536"/>
      <w:bookmarkEnd w:id="1537"/>
      <w:bookmarkEnd w:id="1538"/>
      <w:bookmarkEnd w:id="1539"/>
      <w:bookmarkEnd w:id="1540"/>
      <w:bookmarkEnd w:id="1541"/>
      <w:bookmarkEnd w:id="1542"/>
      <w:bookmarkEnd w:id="1543"/>
    </w:p>
    <w:p w14:paraId="5590A65D">
      <w:pPr>
        <w:spacing w:line="360" w:lineRule="auto"/>
        <w:ind w:firstLine="420" w:firstLineChars="200"/>
        <w:rPr>
          <w:color w:val="auto"/>
          <w:szCs w:val="21"/>
          <w:highlight w:val="none"/>
        </w:rPr>
      </w:pPr>
      <w:r>
        <w:rPr>
          <w:rFonts w:hAnsi="宋体"/>
          <w:color w:val="auto"/>
          <w:szCs w:val="21"/>
          <w:highlight w:val="none"/>
        </w:rPr>
        <w:t>组成合同的各项文件应互相解释，互为说明。除专用合同条款另有约定外，解释合同文件的优先顺序如下：</w:t>
      </w:r>
    </w:p>
    <w:p w14:paraId="47817B33">
      <w:pPr>
        <w:spacing w:line="360" w:lineRule="auto"/>
        <w:ind w:firstLine="420"/>
        <w:rPr>
          <w:color w:val="auto"/>
          <w:highlight w:val="none"/>
        </w:rPr>
      </w:pPr>
      <w:r>
        <w:rPr>
          <w:rFonts w:hAnsi="宋体"/>
          <w:color w:val="auto"/>
          <w:highlight w:val="none"/>
        </w:rPr>
        <w:t>（</w:t>
      </w:r>
      <w:r>
        <w:rPr>
          <w:color w:val="auto"/>
          <w:highlight w:val="none"/>
        </w:rPr>
        <w:t>1</w:t>
      </w:r>
      <w:r>
        <w:rPr>
          <w:rFonts w:hAnsi="宋体"/>
          <w:color w:val="auto"/>
          <w:highlight w:val="none"/>
        </w:rPr>
        <w:t>）合同协议书；</w:t>
      </w:r>
    </w:p>
    <w:p w14:paraId="46F68D56">
      <w:pPr>
        <w:spacing w:line="360" w:lineRule="auto"/>
        <w:ind w:firstLine="420"/>
        <w:rPr>
          <w:color w:val="auto"/>
          <w:highlight w:val="none"/>
        </w:rPr>
      </w:pPr>
      <w:r>
        <w:rPr>
          <w:rFonts w:hAnsi="宋体"/>
          <w:color w:val="auto"/>
          <w:highlight w:val="none"/>
        </w:rPr>
        <w:t>（</w:t>
      </w:r>
      <w:r>
        <w:rPr>
          <w:color w:val="auto"/>
          <w:highlight w:val="none"/>
        </w:rPr>
        <w:t>2</w:t>
      </w:r>
      <w:r>
        <w:rPr>
          <w:rFonts w:hAnsi="宋体"/>
          <w:color w:val="auto"/>
          <w:highlight w:val="none"/>
        </w:rPr>
        <w:t>）中标通知书；</w:t>
      </w:r>
    </w:p>
    <w:p w14:paraId="1EFA7288">
      <w:pPr>
        <w:spacing w:line="360" w:lineRule="auto"/>
        <w:ind w:firstLine="420"/>
        <w:rPr>
          <w:color w:val="auto"/>
          <w:highlight w:val="none"/>
        </w:rPr>
      </w:pPr>
      <w:r>
        <w:rPr>
          <w:rFonts w:hAnsi="宋体"/>
          <w:color w:val="auto"/>
          <w:highlight w:val="none"/>
        </w:rPr>
        <w:t>（</w:t>
      </w:r>
      <w:r>
        <w:rPr>
          <w:color w:val="auto"/>
          <w:highlight w:val="none"/>
        </w:rPr>
        <w:t>3</w:t>
      </w:r>
      <w:r>
        <w:rPr>
          <w:rFonts w:hAnsi="宋体"/>
          <w:color w:val="auto"/>
          <w:highlight w:val="none"/>
        </w:rPr>
        <w:t>）投标函及投标函附录；</w:t>
      </w:r>
    </w:p>
    <w:p w14:paraId="1806079B">
      <w:pPr>
        <w:spacing w:line="360" w:lineRule="auto"/>
        <w:ind w:firstLine="420"/>
        <w:rPr>
          <w:color w:val="auto"/>
          <w:highlight w:val="none"/>
        </w:rPr>
      </w:pPr>
      <w:r>
        <w:rPr>
          <w:rFonts w:hAnsi="宋体"/>
          <w:color w:val="auto"/>
          <w:highlight w:val="none"/>
        </w:rPr>
        <w:t>（</w:t>
      </w:r>
      <w:r>
        <w:rPr>
          <w:color w:val="auto"/>
          <w:highlight w:val="none"/>
        </w:rPr>
        <w:t>4</w:t>
      </w:r>
      <w:r>
        <w:rPr>
          <w:rFonts w:hAnsi="宋体"/>
          <w:color w:val="auto"/>
          <w:highlight w:val="none"/>
        </w:rPr>
        <w:t>）专用合同条款；</w:t>
      </w:r>
    </w:p>
    <w:p w14:paraId="64334F60">
      <w:pPr>
        <w:spacing w:line="360" w:lineRule="auto"/>
        <w:ind w:firstLine="420"/>
        <w:rPr>
          <w:color w:val="auto"/>
          <w:highlight w:val="none"/>
        </w:rPr>
      </w:pPr>
      <w:r>
        <w:rPr>
          <w:rFonts w:hAnsi="宋体"/>
          <w:color w:val="auto"/>
          <w:highlight w:val="none"/>
        </w:rPr>
        <w:t>（</w:t>
      </w:r>
      <w:r>
        <w:rPr>
          <w:color w:val="auto"/>
          <w:highlight w:val="none"/>
        </w:rPr>
        <w:t>5</w:t>
      </w:r>
      <w:r>
        <w:rPr>
          <w:rFonts w:hAnsi="宋体"/>
          <w:color w:val="auto"/>
          <w:highlight w:val="none"/>
        </w:rPr>
        <w:t>）通用合同条款；</w:t>
      </w:r>
    </w:p>
    <w:p w14:paraId="541162F5">
      <w:pPr>
        <w:spacing w:line="360" w:lineRule="auto"/>
        <w:ind w:firstLine="420"/>
        <w:rPr>
          <w:color w:val="auto"/>
          <w:highlight w:val="none"/>
        </w:rPr>
      </w:pPr>
      <w:r>
        <w:rPr>
          <w:rFonts w:hAnsi="宋体"/>
          <w:color w:val="auto"/>
          <w:highlight w:val="none"/>
        </w:rPr>
        <w:t>（</w:t>
      </w:r>
      <w:r>
        <w:rPr>
          <w:color w:val="auto"/>
          <w:highlight w:val="none"/>
        </w:rPr>
        <w:t>6</w:t>
      </w:r>
      <w:r>
        <w:rPr>
          <w:rFonts w:hAnsi="宋体"/>
          <w:color w:val="auto"/>
          <w:highlight w:val="none"/>
        </w:rPr>
        <w:t>）发包人要求；</w:t>
      </w:r>
    </w:p>
    <w:p w14:paraId="5E80DFE6">
      <w:pPr>
        <w:spacing w:line="360" w:lineRule="auto"/>
        <w:ind w:firstLine="420"/>
        <w:rPr>
          <w:color w:val="auto"/>
          <w:highlight w:val="none"/>
        </w:rPr>
      </w:pPr>
      <w:r>
        <w:rPr>
          <w:rFonts w:hAnsi="宋体"/>
          <w:color w:val="auto"/>
          <w:highlight w:val="none"/>
        </w:rPr>
        <w:t>（</w:t>
      </w:r>
      <w:r>
        <w:rPr>
          <w:color w:val="auto"/>
          <w:highlight w:val="none"/>
        </w:rPr>
        <w:t>7</w:t>
      </w:r>
      <w:r>
        <w:rPr>
          <w:rFonts w:hAnsi="宋体"/>
          <w:color w:val="auto"/>
          <w:highlight w:val="none"/>
        </w:rPr>
        <w:t>）承包人建议书；</w:t>
      </w:r>
      <w:r>
        <w:rPr>
          <w:color w:val="auto"/>
          <w:highlight w:val="none"/>
        </w:rPr>
        <w:t xml:space="preserve"> </w:t>
      </w:r>
    </w:p>
    <w:p w14:paraId="42FE45F0">
      <w:pPr>
        <w:spacing w:line="360" w:lineRule="auto"/>
        <w:ind w:firstLine="420"/>
        <w:rPr>
          <w:color w:val="auto"/>
          <w:highlight w:val="none"/>
        </w:rPr>
      </w:pPr>
      <w:r>
        <w:rPr>
          <w:rFonts w:hAnsi="宋体"/>
          <w:color w:val="auto"/>
          <w:highlight w:val="none"/>
        </w:rPr>
        <w:t>（</w:t>
      </w:r>
      <w:r>
        <w:rPr>
          <w:color w:val="auto"/>
          <w:highlight w:val="none"/>
        </w:rPr>
        <w:t>8</w:t>
      </w:r>
      <w:r>
        <w:rPr>
          <w:rFonts w:hAnsi="宋体"/>
          <w:color w:val="auto"/>
          <w:highlight w:val="none"/>
        </w:rPr>
        <w:t>）价格清单；</w:t>
      </w:r>
    </w:p>
    <w:p w14:paraId="419EDA7D">
      <w:pPr>
        <w:spacing w:line="360" w:lineRule="auto"/>
        <w:ind w:firstLine="420"/>
        <w:rPr>
          <w:color w:val="auto"/>
          <w:szCs w:val="21"/>
          <w:highlight w:val="none"/>
        </w:rPr>
      </w:pPr>
      <w:r>
        <w:rPr>
          <w:rFonts w:hAnsi="宋体"/>
          <w:color w:val="auto"/>
          <w:highlight w:val="none"/>
        </w:rPr>
        <w:t>（</w:t>
      </w:r>
      <w:r>
        <w:rPr>
          <w:color w:val="auto"/>
          <w:highlight w:val="none"/>
        </w:rPr>
        <w:t>9</w:t>
      </w:r>
      <w:r>
        <w:rPr>
          <w:rFonts w:hAnsi="宋体"/>
          <w:color w:val="auto"/>
          <w:highlight w:val="none"/>
        </w:rPr>
        <w:t>）其他合同</w:t>
      </w:r>
      <w:r>
        <w:rPr>
          <w:rFonts w:hAnsi="宋体"/>
          <w:color w:val="auto"/>
          <w:szCs w:val="21"/>
          <w:highlight w:val="none"/>
        </w:rPr>
        <w:t>文件。</w:t>
      </w:r>
    </w:p>
    <w:p w14:paraId="56A3CDE2">
      <w:pPr>
        <w:pStyle w:val="6"/>
        <w:spacing w:before="159"/>
        <w:rPr>
          <w:color w:val="auto"/>
          <w:highlight w:val="none"/>
        </w:rPr>
      </w:pPr>
      <w:bookmarkStart w:id="1544" w:name="_Toc29563"/>
      <w:bookmarkStart w:id="1545" w:name="_Toc14380"/>
      <w:bookmarkStart w:id="1546" w:name="_Toc247514040"/>
      <w:bookmarkStart w:id="1547" w:name="_Toc1625"/>
      <w:bookmarkStart w:id="1548" w:name="_Toc176_WPSOffice_Level2"/>
      <w:bookmarkStart w:id="1549" w:name="_Toc247527641"/>
      <w:bookmarkStart w:id="1550" w:name="_Toc519085382"/>
      <w:bookmarkStart w:id="1551" w:name="_Toc300835037"/>
      <w:r>
        <w:rPr>
          <w:color w:val="auto"/>
          <w:highlight w:val="none"/>
        </w:rPr>
        <w:t>1.5 合同协议书</w:t>
      </w:r>
      <w:bookmarkEnd w:id="1544"/>
      <w:bookmarkEnd w:id="1545"/>
      <w:bookmarkEnd w:id="1546"/>
      <w:bookmarkEnd w:id="1547"/>
      <w:bookmarkEnd w:id="1548"/>
      <w:bookmarkEnd w:id="1549"/>
      <w:bookmarkEnd w:id="1550"/>
      <w:bookmarkEnd w:id="1551"/>
    </w:p>
    <w:p w14:paraId="7BC94A91">
      <w:pPr>
        <w:spacing w:line="360" w:lineRule="auto"/>
        <w:ind w:firstLine="420" w:firstLineChars="200"/>
        <w:rPr>
          <w:color w:val="auto"/>
          <w:szCs w:val="21"/>
          <w:highlight w:val="none"/>
        </w:rPr>
      </w:pPr>
      <w:r>
        <w:rPr>
          <w:rFonts w:hAnsi="宋体"/>
          <w:color w:val="auto"/>
          <w:szCs w:val="21"/>
          <w:highlight w:val="none"/>
        </w:rPr>
        <w:t>承包人按中标通知书规定的时间与发包人签订合同协议书。除法律另有规定或合同另有约定外，发包人和承包人的法定代表人或其委托代理人在合同协议书上签字并盖单位章后，合同生效。</w:t>
      </w:r>
    </w:p>
    <w:p w14:paraId="1B2F7ECC">
      <w:pPr>
        <w:pStyle w:val="6"/>
        <w:spacing w:before="159"/>
        <w:rPr>
          <w:color w:val="auto"/>
          <w:highlight w:val="none"/>
        </w:rPr>
      </w:pPr>
      <w:bookmarkStart w:id="1552" w:name="_Toc247514041"/>
      <w:bookmarkStart w:id="1553" w:name="_Toc247527642"/>
      <w:bookmarkStart w:id="1554" w:name="_Toc8769_WPSOffice_Level2"/>
      <w:bookmarkStart w:id="1555" w:name="_Toc519085383"/>
      <w:bookmarkStart w:id="1556" w:name="_Toc21246"/>
      <w:bookmarkStart w:id="1557" w:name="_Toc30513"/>
      <w:bookmarkStart w:id="1558" w:name="_Toc17932"/>
      <w:bookmarkStart w:id="1559" w:name="_Toc300835038"/>
      <w:r>
        <w:rPr>
          <w:color w:val="auto"/>
          <w:highlight w:val="none"/>
        </w:rPr>
        <w:t>1.6 文件的提供和</w:t>
      </w:r>
      <w:bookmarkEnd w:id="1552"/>
      <w:bookmarkEnd w:id="1553"/>
      <w:r>
        <w:rPr>
          <w:color w:val="auto"/>
          <w:highlight w:val="none"/>
        </w:rPr>
        <w:t>照管</w:t>
      </w:r>
      <w:bookmarkEnd w:id="1554"/>
      <w:bookmarkEnd w:id="1555"/>
      <w:bookmarkEnd w:id="1556"/>
      <w:bookmarkEnd w:id="1557"/>
      <w:bookmarkEnd w:id="1558"/>
      <w:bookmarkEnd w:id="1559"/>
    </w:p>
    <w:p w14:paraId="697280CA">
      <w:pPr>
        <w:spacing w:line="360" w:lineRule="auto"/>
        <w:rPr>
          <w:color w:val="auto"/>
          <w:szCs w:val="21"/>
          <w:highlight w:val="none"/>
        </w:rPr>
      </w:pPr>
      <w:r>
        <w:rPr>
          <w:color w:val="auto"/>
          <w:szCs w:val="21"/>
          <w:highlight w:val="none"/>
        </w:rPr>
        <w:t xml:space="preserve">    </w:t>
      </w:r>
      <w:r>
        <w:rPr>
          <w:color w:val="auto"/>
          <w:highlight w:val="none"/>
        </w:rPr>
        <w:t xml:space="preserve">1.6.1 </w:t>
      </w:r>
      <w:r>
        <w:rPr>
          <w:rFonts w:hAnsi="宋体"/>
          <w:color w:val="auto"/>
          <w:szCs w:val="21"/>
          <w:highlight w:val="none"/>
        </w:rPr>
        <w:t>承包人文件的提供</w:t>
      </w:r>
    </w:p>
    <w:p w14:paraId="29DD3E5A">
      <w:pPr>
        <w:spacing w:line="360" w:lineRule="auto"/>
        <w:ind w:firstLine="420" w:firstLineChars="200"/>
        <w:rPr>
          <w:color w:val="auto"/>
          <w:szCs w:val="21"/>
          <w:highlight w:val="none"/>
        </w:rPr>
      </w:pPr>
      <w:r>
        <w:rPr>
          <w:rFonts w:hAnsi="宋体"/>
          <w:color w:val="auto"/>
          <w:szCs w:val="21"/>
          <w:highlight w:val="none"/>
        </w:rPr>
        <w:t>除专用合同条款另有约定外，承包人应在合理的期限内按照合同约定的数量向监理人提供承包人文件。合同约定承包人文件应批准的，监理人应当在合同约定的期限内批复。承包人的设计文件的提供和审查按第</w:t>
      </w:r>
      <w:r>
        <w:rPr>
          <w:color w:val="auto"/>
          <w:highlight w:val="none"/>
        </w:rPr>
        <w:t>5.3</w:t>
      </w:r>
      <w:r>
        <w:rPr>
          <w:rFonts w:hAnsi="宋体"/>
          <w:color w:val="auto"/>
          <w:szCs w:val="21"/>
          <w:highlight w:val="none"/>
        </w:rPr>
        <w:t>款和第</w:t>
      </w:r>
      <w:r>
        <w:rPr>
          <w:color w:val="auto"/>
          <w:highlight w:val="none"/>
        </w:rPr>
        <w:t>5.5</w:t>
      </w:r>
      <w:r>
        <w:rPr>
          <w:rFonts w:hAnsi="宋体"/>
          <w:color w:val="auto"/>
          <w:szCs w:val="21"/>
          <w:highlight w:val="none"/>
        </w:rPr>
        <w:t>款的约定执行。</w:t>
      </w:r>
    </w:p>
    <w:p w14:paraId="2A368339">
      <w:pPr>
        <w:spacing w:line="360" w:lineRule="auto"/>
        <w:ind w:firstLine="420" w:firstLineChars="200"/>
        <w:rPr>
          <w:color w:val="auto"/>
          <w:szCs w:val="21"/>
          <w:highlight w:val="none"/>
        </w:rPr>
      </w:pPr>
      <w:r>
        <w:rPr>
          <w:color w:val="auto"/>
          <w:highlight w:val="none"/>
        </w:rPr>
        <w:t xml:space="preserve">1.6.2 </w:t>
      </w:r>
      <w:r>
        <w:rPr>
          <w:rFonts w:hAnsi="宋体"/>
          <w:color w:val="auto"/>
          <w:szCs w:val="21"/>
          <w:highlight w:val="none"/>
        </w:rPr>
        <w:t>发包人提供的文件</w:t>
      </w:r>
    </w:p>
    <w:p w14:paraId="52837BA1">
      <w:pPr>
        <w:spacing w:line="360" w:lineRule="auto"/>
        <w:ind w:firstLine="420" w:firstLineChars="200"/>
        <w:rPr>
          <w:color w:val="auto"/>
          <w:szCs w:val="21"/>
          <w:highlight w:val="none"/>
        </w:rPr>
      </w:pPr>
      <w:r>
        <w:rPr>
          <w:rFonts w:hAnsi="宋体"/>
          <w:color w:val="auto"/>
          <w:szCs w:val="21"/>
          <w:highlight w:val="none"/>
        </w:rPr>
        <w:t>按专用合同条款约定由发包人提供的文件，包括前期工作相关文件、环境保护、气象水文、地质条件等，发包人应按约定的数量和期限交给承包人。由于发包人未按时提供文件造成工期延误的，按第</w:t>
      </w:r>
      <w:r>
        <w:rPr>
          <w:color w:val="auto"/>
          <w:highlight w:val="none"/>
        </w:rPr>
        <w:t>11.3</w:t>
      </w:r>
      <w:r>
        <w:rPr>
          <w:rFonts w:hAnsi="宋体"/>
          <w:color w:val="auto"/>
          <w:szCs w:val="21"/>
          <w:highlight w:val="none"/>
        </w:rPr>
        <w:t>款约定执行。</w:t>
      </w:r>
    </w:p>
    <w:p w14:paraId="1C2B0B9B">
      <w:pPr>
        <w:spacing w:line="360" w:lineRule="auto"/>
        <w:ind w:firstLine="420" w:firstLineChars="200"/>
        <w:rPr>
          <w:color w:val="auto"/>
          <w:szCs w:val="21"/>
          <w:highlight w:val="none"/>
        </w:rPr>
      </w:pPr>
      <w:r>
        <w:rPr>
          <w:color w:val="auto"/>
          <w:highlight w:val="none"/>
        </w:rPr>
        <w:t xml:space="preserve">1.6.3 </w:t>
      </w:r>
      <w:r>
        <w:rPr>
          <w:rFonts w:hAnsi="宋体"/>
          <w:color w:val="auto"/>
          <w:szCs w:val="21"/>
          <w:highlight w:val="none"/>
        </w:rPr>
        <w:t>文件错误的通知</w:t>
      </w:r>
    </w:p>
    <w:p w14:paraId="7D43C50C">
      <w:pPr>
        <w:spacing w:line="360" w:lineRule="auto"/>
        <w:ind w:firstLine="420" w:firstLineChars="200"/>
        <w:rPr>
          <w:color w:val="auto"/>
          <w:szCs w:val="21"/>
          <w:highlight w:val="none"/>
        </w:rPr>
      </w:pPr>
      <w:r>
        <w:rPr>
          <w:rFonts w:hAnsi="宋体"/>
          <w:color w:val="auto"/>
          <w:szCs w:val="21"/>
          <w:highlight w:val="none"/>
        </w:rPr>
        <w:t>任何一方发现了文件中存在的明显错误或疏忽，应及时通知另一方。</w:t>
      </w:r>
    </w:p>
    <w:p w14:paraId="2EC6CCF1">
      <w:pPr>
        <w:spacing w:line="360" w:lineRule="auto"/>
        <w:ind w:firstLine="420" w:firstLineChars="200"/>
        <w:rPr>
          <w:color w:val="auto"/>
          <w:szCs w:val="21"/>
          <w:highlight w:val="none"/>
        </w:rPr>
      </w:pPr>
      <w:r>
        <w:rPr>
          <w:color w:val="auto"/>
          <w:highlight w:val="none"/>
        </w:rPr>
        <w:t xml:space="preserve">1.6.4 </w:t>
      </w:r>
      <w:r>
        <w:rPr>
          <w:rFonts w:hAnsi="宋体"/>
          <w:color w:val="auto"/>
          <w:szCs w:val="21"/>
          <w:highlight w:val="none"/>
        </w:rPr>
        <w:t>文件的照管</w:t>
      </w:r>
    </w:p>
    <w:p w14:paraId="251E7418">
      <w:pPr>
        <w:spacing w:line="360" w:lineRule="auto"/>
        <w:ind w:firstLine="420" w:firstLineChars="200"/>
        <w:rPr>
          <w:color w:val="auto"/>
          <w:highlight w:val="none"/>
        </w:rPr>
      </w:pPr>
      <w:r>
        <w:rPr>
          <w:rFonts w:hAnsi="宋体"/>
          <w:color w:val="auto"/>
          <w:szCs w:val="21"/>
          <w:highlight w:val="none"/>
        </w:rPr>
        <w:t>承包人应在现场保留一份合同、发包人要求中列出的所有文件、承包人文件、变更以及其它根据合同收发的往来信函。发包人有权在任何合理的时间查阅和使用上述所有文件。</w:t>
      </w:r>
      <w:bookmarkStart w:id="1560" w:name="_Toc247514042"/>
      <w:bookmarkStart w:id="1561" w:name="_Toc247527643"/>
    </w:p>
    <w:p w14:paraId="249274DF">
      <w:pPr>
        <w:pStyle w:val="6"/>
        <w:spacing w:before="159"/>
        <w:rPr>
          <w:color w:val="auto"/>
          <w:highlight w:val="none"/>
        </w:rPr>
      </w:pPr>
      <w:bookmarkStart w:id="1562" w:name="_Toc12089"/>
      <w:bookmarkStart w:id="1563" w:name="_Toc519085384"/>
      <w:bookmarkStart w:id="1564" w:name="_Toc23861"/>
      <w:bookmarkStart w:id="1565" w:name="_Toc24238_WPSOffice_Level2"/>
      <w:bookmarkStart w:id="1566" w:name="_Toc14524"/>
      <w:bookmarkStart w:id="1567" w:name="_Toc300835039"/>
      <w:r>
        <w:rPr>
          <w:color w:val="auto"/>
          <w:highlight w:val="none"/>
        </w:rPr>
        <w:t>1.7 联络</w:t>
      </w:r>
      <w:bookmarkEnd w:id="1560"/>
      <w:bookmarkEnd w:id="1561"/>
      <w:bookmarkEnd w:id="1562"/>
      <w:bookmarkEnd w:id="1563"/>
      <w:bookmarkEnd w:id="1564"/>
      <w:bookmarkEnd w:id="1565"/>
      <w:bookmarkEnd w:id="1566"/>
      <w:bookmarkEnd w:id="1567"/>
    </w:p>
    <w:p w14:paraId="4509A7AD">
      <w:pPr>
        <w:spacing w:line="360" w:lineRule="auto"/>
        <w:ind w:firstLine="420" w:firstLineChars="200"/>
        <w:rPr>
          <w:color w:val="auto"/>
          <w:szCs w:val="21"/>
          <w:highlight w:val="none"/>
        </w:rPr>
      </w:pPr>
      <w:r>
        <w:rPr>
          <w:color w:val="auto"/>
          <w:highlight w:val="none"/>
        </w:rPr>
        <w:t>1.7.1</w:t>
      </w:r>
      <w:r>
        <w:rPr>
          <w:color w:val="auto"/>
          <w:szCs w:val="21"/>
          <w:highlight w:val="none"/>
        </w:rPr>
        <w:t xml:space="preserve"> </w:t>
      </w:r>
      <w:r>
        <w:rPr>
          <w:rFonts w:hAnsi="宋体"/>
          <w:color w:val="auto"/>
          <w:szCs w:val="21"/>
          <w:highlight w:val="none"/>
        </w:rPr>
        <w:t>与合同有关的通知、批准、证明、证书、指示、要求、请求、同意、意见、确定和决定等，均应采用书面形式。</w:t>
      </w:r>
    </w:p>
    <w:p w14:paraId="19633AE9">
      <w:pPr>
        <w:spacing w:line="360" w:lineRule="auto"/>
        <w:ind w:firstLine="420" w:firstLineChars="200"/>
        <w:rPr>
          <w:color w:val="auto"/>
          <w:szCs w:val="21"/>
          <w:highlight w:val="none"/>
        </w:rPr>
      </w:pPr>
      <w:r>
        <w:rPr>
          <w:color w:val="auto"/>
          <w:highlight w:val="none"/>
        </w:rPr>
        <w:t>1.7.2</w:t>
      </w:r>
      <w:r>
        <w:rPr>
          <w:color w:val="auto"/>
          <w:szCs w:val="21"/>
          <w:highlight w:val="none"/>
        </w:rPr>
        <w:t xml:space="preserve"> </w:t>
      </w:r>
      <w:r>
        <w:rPr>
          <w:rFonts w:hAnsi="宋体"/>
          <w:color w:val="auto"/>
          <w:szCs w:val="21"/>
          <w:highlight w:val="none"/>
        </w:rPr>
        <w:t>第</w:t>
      </w:r>
      <w:r>
        <w:rPr>
          <w:color w:val="auto"/>
          <w:highlight w:val="none"/>
        </w:rPr>
        <w:t xml:space="preserve">1.7.1 </w:t>
      </w:r>
      <w:r>
        <w:rPr>
          <w:rFonts w:hAnsi="宋体"/>
          <w:color w:val="auto"/>
          <w:szCs w:val="21"/>
          <w:highlight w:val="none"/>
        </w:rPr>
        <w:t>项中的通知、批准、证明、证书、指示、要求、请求、同意、意见、确定和决定等来往函件，均应在合同约定的期限内送达指定的地点和指定的接收人，并办理签收手续。</w:t>
      </w:r>
    </w:p>
    <w:p w14:paraId="06BBB787">
      <w:pPr>
        <w:pStyle w:val="6"/>
        <w:spacing w:before="159"/>
        <w:rPr>
          <w:color w:val="auto"/>
          <w:highlight w:val="none"/>
        </w:rPr>
      </w:pPr>
      <w:bookmarkStart w:id="1568" w:name="_Toc16014"/>
      <w:bookmarkStart w:id="1569" w:name="_Toc247527644"/>
      <w:bookmarkStart w:id="1570" w:name="_Toc22789"/>
      <w:bookmarkStart w:id="1571" w:name="_Toc247514043"/>
      <w:bookmarkStart w:id="1572" w:name="_Toc25274_WPSOffice_Level2"/>
      <w:bookmarkStart w:id="1573" w:name="_Toc519085385"/>
      <w:bookmarkStart w:id="1574" w:name="_Toc300835040"/>
      <w:bookmarkStart w:id="1575" w:name="_Toc28863"/>
      <w:r>
        <w:rPr>
          <w:color w:val="auto"/>
          <w:highlight w:val="none"/>
        </w:rPr>
        <w:t>1.8 转让</w:t>
      </w:r>
      <w:bookmarkEnd w:id="1568"/>
      <w:bookmarkEnd w:id="1569"/>
      <w:bookmarkEnd w:id="1570"/>
      <w:bookmarkEnd w:id="1571"/>
      <w:bookmarkEnd w:id="1572"/>
      <w:bookmarkEnd w:id="1573"/>
      <w:bookmarkEnd w:id="1574"/>
      <w:bookmarkEnd w:id="1575"/>
    </w:p>
    <w:p w14:paraId="3C3BC033">
      <w:pPr>
        <w:spacing w:line="360" w:lineRule="auto"/>
        <w:ind w:firstLine="420" w:firstLineChars="200"/>
        <w:rPr>
          <w:color w:val="auto"/>
          <w:szCs w:val="21"/>
          <w:highlight w:val="none"/>
        </w:rPr>
      </w:pPr>
      <w:r>
        <w:rPr>
          <w:rFonts w:hAnsi="宋体"/>
          <w:color w:val="auto"/>
          <w:szCs w:val="21"/>
          <w:highlight w:val="none"/>
        </w:rPr>
        <w:t>除合同另有约定外，未经承包人同意，发包人不得将合同权利全部或部分转让给第三人，也不得全部或部分转让合同义务。承包人不得将合同权利和义务全部转让给第三人，也不得将合同的义务全部或部分转让给第三人，法律另有规定的除外。</w:t>
      </w:r>
    </w:p>
    <w:p w14:paraId="392FAAA6">
      <w:pPr>
        <w:pStyle w:val="6"/>
        <w:spacing w:before="159"/>
        <w:rPr>
          <w:color w:val="auto"/>
          <w:highlight w:val="none"/>
        </w:rPr>
      </w:pPr>
      <w:bookmarkStart w:id="1576" w:name="_Toc247514044"/>
      <w:bookmarkStart w:id="1577" w:name="_Toc9742"/>
      <w:bookmarkStart w:id="1578" w:name="_Toc247527645"/>
      <w:bookmarkStart w:id="1579" w:name="_Toc519085386"/>
      <w:bookmarkStart w:id="1580" w:name="_Toc23108"/>
      <w:bookmarkStart w:id="1581" w:name="_Toc26163"/>
      <w:bookmarkStart w:id="1582" w:name="_Toc300835041"/>
      <w:bookmarkStart w:id="1583" w:name="_Toc5263_WPSOffice_Level2"/>
      <w:r>
        <w:rPr>
          <w:color w:val="auto"/>
          <w:highlight w:val="none"/>
        </w:rPr>
        <w:t>1.9 严禁贿赂</w:t>
      </w:r>
      <w:bookmarkEnd w:id="1576"/>
      <w:bookmarkEnd w:id="1577"/>
      <w:bookmarkEnd w:id="1578"/>
      <w:bookmarkEnd w:id="1579"/>
      <w:bookmarkEnd w:id="1580"/>
      <w:bookmarkEnd w:id="1581"/>
      <w:bookmarkEnd w:id="1582"/>
      <w:bookmarkEnd w:id="1583"/>
    </w:p>
    <w:p w14:paraId="17C6B849">
      <w:pPr>
        <w:spacing w:line="360" w:lineRule="auto"/>
        <w:ind w:firstLine="420" w:firstLineChars="200"/>
        <w:rPr>
          <w:color w:val="auto"/>
          <w:szCs w:val="21"/>
          <w:highlight w:val="none"/>
        </w:rPr>
      </w:pPr>
      <w:r>
        <w:rPr>
          <w:rFonts w:hAnsi="宋体"/>
          <w:color w:val="auto"/>
          <w:szCs w:val="21"/>
          <w:highlight w:val="none"/>
        </w:rPr>
        <w:t>合同双方当事人不得以贿赂或变相贿赂的方式，谋取不当利益或损害对方权益。因贿赂造成对方损失的，行为人应赔偿损失，并承担相应的法律责任。</w:t>
      </w:r>
    </w:p>
    <w:p w14:paraId="6A89C01A">
      <w:pPr>
        <w:pStyle w:val="6"/>
        <w:spacing w:before="159"/>
        <w:rPr>
          <w:color w:val="auto"/>
          <w:highlight w:val="none"/>
        </w:rPr>
      </w:pPr>
      <w:bookmarkStart w:id="1584" w:name="_Toc247527646"/>
      <w:bookmarkStart w:id="1585" w:name="_Toc18257_WPSOffice_Level2"/>
      <w:bookmarkStart w:id="1586" w:name="_Toc14982"/>
      <w:bookmarkStart w:id="1587" w:name="_Toc12403"/>
      <w:bookmarkStart w:id="1588" w:name="_Toc300835042"/>
      <w:bookmarkStart w:id="1589" w:name="_Toc16698"/>
      <w:bookmarkStart w:id="1590" w:name="_Toc247514045"/>
      <w:bookmarkStart w:id="1591" w:name="_Toc519085387"/>
      <w:r>
        <w:rPr>
          <w:color w:val="auto"/>
          <w:highlight w:val="none"/>
        </w:rPr>
        <w:t>1.10 化石、文物</w:t>
      </w:r>
      <w:bookmarkEnd w:id="1584"/>
      <w:bookmarkEnd w:id="1585"/>
      <w:bookmarkEnd w:id="1586"/>
      <w:bookmarkEnd w:id="1587"/>
      <w:bookmarkEnd w:id="1588"/>
      <w:bookmarkEnd w:id="1589"/>
      <w:bookmarkEnd w:id="1590"/>
      <w:bookmarkEnd w:id="1591"/>
    </w:p>
    <w:p w14:paraId="50E9E734">
      <w:pPr>
        <w:spacing w:line="360" w:lineRule="auto"/>
        <w:ind w:firstLine="420" w:firstLineChars="200"/>
        <w:rPr>
          <w:color w:val="auto"/>
          <w:szCs w:val="21"/>
          <w:highlight w:val="none"/>
        </w:rPr>
      </w:pPr>
      <w:r>
        <w:rPr>
          <w:color w:val="auto"/>
          <w:highlight w:val="none"/>
        </w:rPr>
        <w:t xml:space="preserve">1.10.1 </w:t>
      </w:r>
      <w:r>
        <w:rPr>
          <w:rFonts w:hAnsi="宋体"/>
          <w:color w:val="auto"/>
          <w:szCs w:val="21"/>
          <w:highlight w:val="none"/>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和发包人。发包人、监理人和承包人应按文物行政部门要求采取妥善保护措施，由此导致费用增加和（或）工期延误由发包人承担。</w:t>
      </w:r>
    </w:p>
    <w:p w14:paraId="00C1778C">
      <w:pPr>
        <w:spacing w:line="360" w:lineRule="auto"/>
        <w:ind w:firstLine="420" w:firstLineChars="200"/>
        <w:rPr>
          <w:color w:val="auto"/>
          <w:szCs w:val="21"/>
          <w:highlight w:val="none"/>
        </w:rPr>
      </w:pPr>
      <w:r>
        <w:rPr>
          <w:color w:val="auto"/>
          <w:highlight w:val="none"/>
        </w:rPr>
        <w:t xml:space="preserve">1.10.2 </w:t>
      </w:r>
      <w:r>
        <w:rPr>
          <w:rFonts w:hAnsi="宋体"/>
          <w:color w:val="auto"/>
          <w:szCs w:val="21"/>
          <w:highlight w:val="none"/>
        </w:rPr>
        <w:t>承包人发现文物后不及时报告或隐瞒不报，致使文物丢失或损坏的，应赔偿损失，并承担相应的法律责任。</w:t>
      </w:r>
    </w:p>
    <w:p w14:paraId="048E1ECD">
      <w:pPr>
        <w:pStyle w:val="6"/>
        <w:spacing w:before="159"/>
        <w:rPr>
          <w:color w:val="auto"/>
          <w:highlight w:val="none"/>
        </w:rPr>
      </w:pPr>
      <w:bookmarkStart w:id="1592" w:name="_Toc247514046"/>
      <w:bookmarkStart w:id="1593" w:name="_Toc247527647"/>
      <w:bookmarkStart w:id="1594" w:name="_Toc519085388"/>
      <w:bookmarkStart w:id="1595" w:name="_Toc2866"/>
      <w:bookmarkStart w:id="1596" w:name="_Toc12791"/>
      <w:bookmarkStart w:id="1597" w:name="_Toc14139"/>
      <w:bookmarkStart w:id="1598" w:name="_Toc300835043"/>
      <w:bookmarkStart w:id="1599" w:name="_Toc4027_WPSOffice_Level2"/>
      <w:r>
        <w:rPr>
          <w:color w:val="auto"/>
          <w:highlight w:val="none"/>
        </w:rPr>
        <w:t xml:space="preserve">1.11 </w:t>
      </w:r>
      <w:bookmarkEnd w:id="1592"/>
      <w:bookmarkEnd w:id="1593"/>
      <w:r>
        <w:rPr>
          <w:color w:val="auto"/>
          <w:highlight w:val="none"/>
        </w:rPr>
        <w:t>知识产权</w:t>
      </w:r>
      <w:bookmarkEnd w:id="1594"/>
      <w:bookmarkEnd w:id="1595"/>
      <w:bookmarkEnd w:id="1596"/>
      <w:bookmarkEnd w:id="1597"/>
      <w:bookmarkEnd w:id="1598"/>
      <w:bookmarkEnd w:id="1599"/>
    </w:p>
    <w:p w14:paraId="6B4BD2B0">
      <w:pPr>
        <w:spacing w:line="360" w:lineRule="auto"/>
        <w:ind w:firstLine="420" w:firstLineChars="200"/>
        <w:rPr>
          <w:color w:val="auto"/>
          <w:szCs w:val="21"/>
          <w:highlight w:val="none"/>
        </w:rPr>
      </w:pPr>
      <w:r>
        <w:rPr>
          <w:color w:val="auto"/>
          <w:highlight w:val="none"/>
        </w:rPr>
        <w:t>1.11.1</w:t>
      </w:r>
      <w:r>
        <w:rPr>
          <w:rFonts w:hAnsi="宋体"/>
          <w:color w:val="auto"/>
          <w:highlight w:val="none"/>
        </w:rPr>
        <w:t>除专用合同条款另有约定外，</w:t>
      </w:r>
      <w:r>
        <w:rPr>
          <w:rFonts w:hAnsi="宋体"/>
          <w:color w:val="auto"/>
          <w:szCs w:val="21"/>
          <w:highlight w:val="none"/>
        </w:rPr>
        <w:t>承包人完成的设计工作成果和建造完成的建筑物，除署名权以外的著作权以及建筑物形象使用收益等其他知识产权均归发包人享有。</w:t>
      </w:r>
    </w:p>
    <w:p w14:paraId="739B5B2D">
      <w:pPr>
        <w:spacing w:line="360" w:lineRule="auto"/>
        <w:ind w:firstLine="420" w:firstLineChars="200"/>
        <w:rPr>
          <w:color w:val="auto"/>
          <w:szCs w:val="21"/>
          <w:highlight w:val="none"/>
        </w:rPr>
      </w:pPr>
      <w:r>
        <w:rPr>
          <w:color w:val="auto"/>
          <w:highlight w:val="none"/>
        </w:rPr>
        <w:t xml:space="preserve">1.11.2 </w:t>
      </w:r>
      <w:r>
        <w:rPr>
          <w:rFonts w:hAnsi="宋体"/>
          <w:color w:val="auto"/>
          <w:szCs w:val="21"/>
          <w:highlight w:val="none"/>
        </w:rPr>
        <w:t>承包人在进行设计，以及使用任何材料、承包人设备、工程设备或采用施工工艺时，因侵犯专利权或其他知识产权所引起的责任，由承包人承担。</w:t>
      </w:r>
    </w:p>
    <w:p w14:paraId="531C12AB">
      <w:pPr>
        <w:spacing w:line="360" w:lineRule="auto"/>
        <w:ind w:firstLine="420" w:firstLineChars="200"/>
        <w:rPr>
          <w:color w:val="auto"/>
          <w:highlight w:val="none"/>
        </w:rPr>
      </w:pPr>
      <w:r>
        <w:rPr>
          <w:color w:val="auto"/>
          <w:highlight w:val="none"/>
        </w:rPr>
        <w:t xml:space="preserve">1.11.3 </w:t>
      </w:r>
      <w:r>
        <w:rPr>
          <w:rFonts w:hAnsi="宋体"/>
          <w:color w:val="auto"/>
          <w:szCs w:val="21"/>
          <w:highlight w:val="none"/>
        </w:rPr>
        <w:t>承包人在投标文件中采用专利技术的，专利技术的使用费包含在投标报价内。</w:t>
      </w:r>
      <w:bookmarkStart w:id="1600" w:name="_Toc247527648"/>
      <w:bookmarkStart w:id="1601" w:name="_Toc247514047"/>
    </w:p>
    <w:p w14:paraId="2A35583A">
      <w:pPr>
        <w:pStyle w:val="6"/>
        <w:spacing w:before="159"/>
        <w:rPr>
          <w:color w:val="auto"/>
          <w:highlight w:val="none"/>
        </w:rPr>
      </w:pPr>
      <w:bookmarkStart w:id="1602" w:name="_Toc32343"/>
      <w:bookmarkStart w:id="1603" w:name="_Toc10265_WPSOffice_Level2"/>
      <w:bookmarkStart w:id="1604" w:name="_Toc300835044"/>
      <w:bookmarkStart w:id="1605" w:name="_Toc25054"/>
      <w:bookmarkStart w:id="1606" w:name="_Toc444"/>
      <w:bookmarkStart w:id="1607" w:name="_Toc519085389"/>
      <w:r>
        <w:rPr>
          <w:color w:val="auto"/>
          <w:highlight w:val="none"/>
        </w:rPr>
        <w:t>1.12 文件及信息的保密</w:t>
      </w:r>
      <w:bookmarkEnd w:id="1600"/>
      <w:bookmarkEnd w:id="1601"/>
      <w:bookmarkEnd w:id="1602"/>
      <w:bookmarkEnd w:id="1603"/>
      <w:bookmarkEnd w:id="1604"/>
      <w:bookmarkEnd w:id="1605"/>
      <w:bookmarkEnd w:id="1606"/>
      <w:bookmarkEnd w:id="1607"/>
    </w:p>
    <w:p w14:paraId="1EF346CB">
      <w:pPr>
        <w:spacing w:line="360" w:lineRule="auto"/>
        <w:ind w:firstLine="420" w:firstLineChars="200"/>
        <w:rPr>
          <w:color w:val="auto"/>
          <w:szCs w:val="21"/>
          <w:highlight w:val="none"/>
        </w:rPr>
      </w:pPr>
      <w:r>
        <w:rPr>
          <w:rFonts w:hAnsi="宋体"/>
          <w:color w:val="auto"/>
          <w:szCs w:val="21"/>
          <w:highlight w:val="none"/>
        </w:rPr>
        <w:t>未经对方同意，任何一方当事人不得将有关文件、技术秘密、需要保密的资料和信息泄露给他人或公开发表与引用。</w:t>
      </w:r>
    </w:p>
    <w:p w14:paraId="1E2CF451">
      <w:pPr>
        <w:pStyle w:val="6"/>
        <w:spacing w:before="159"/>
        <w:rPr>
          <w:color w:val="auto"/>
          <w:highlight w:val="none"/>
        </w:rPr>
      </w:pPr>
      <w:bookmarkStart w:id="1608" w:name="_Toc265955390"/>
      <w:bookmarkStart w:id="1609" w:name="_Toc247514048"/>
      <w:bookmarkStart w:id="1610" w:name="_Toc247527649"/>
      <w:bookmarkStart w:id="1611" w:name="_Toc27412"/>
      <w:bookmarkStart w:id="1612" w:name="_Toc5959"/>
      <w:bookmarkStart w:id="1613" w:name="_Toc3867_WPSOffice_Level2"/>
      <w:bookmarkStart w:id="1614" w:name="_Toc519085390"/>
      <w:bookmarkStart w:id="1615" w:name="_Toc17929"/>
      <w:bookmarkStart w:id="1616" w:name="_Toc300835045"/>
      <w:r>
        <w:rPr>
          <w:color w:val="auto"/>
          <w:highlight w:val="none"/>
        </w:rPr>
        <w:t>1.13 发包人要求中的错误</w:t>
      </w:r>
      <w:bookmarkEnd w:id="1608"/>
      <w:bookmarkEnd w:id="1609"/>
      <w:bookmarkEnd w:id="1610"/>
      <w:r>
        <w:rPr>
          <w:color w:val="auto"/>
          <w:highlight w:val="none"/>
        </w:rPr>
        <w:t>（A）</w:t>
      </w:r>
      <w:bookmarkEnd w:id="1611"/>
      <w:bookmarkEnd w:id="1612"/>
      <w:bookmarkEnd w:id="1613"/>
      <w:bookmarkEnd w:id="1614"/>
      <w:bookmarkEnd w:id="1615"/>
      <w:bookmarkEnd w:id="1616"/>
    </w:p>
    <w:p w14:paraId="00F078E6">
      <w:pPr>
        <w:spacing w:line="360" w:lineRule="auto"/>
        <w:ind w:firstLine="420"/>
        <w:rPr>
          <w:color w:val="auto"/>
          <w:highlight w:val="none"/>
        </w:rPr>
      </w:pPr>
      <w:r>
        <w:rPr>
          <w:color w:val="auto"/>
          <w:highlight w:val="none"/>
        </w:rPr>
        <w:t>1.13.1</w:t>
      </w:r>
      <w:r>
        <w:rPr>
          <w:rFonts w:hAnsi="宋体"/>
          <w:color w:val="auto"/>
          <w:szCs w:val="21"/>
          <w:highlight w:val="none"/>
        </w:rPr>
        <w:t>承包人应认真阅读、复核发包人要求，</w:t>
      </w:r>
      <w:r>
        <w:rPr>
          <w:rFonts w:hAnsi="宋体"/>
          <w:color w:val="auto"/>
          <w:highlight w:val="none"/>
        </w:rPr>
        <w:t>发现错误的，应及时书面通知发包人。</w:t>
      </w:r>
    </w:p>
    <w:p w14:paraId="03FD8AEC">
      <w:pPr>
        <w:spacing w:line="360" w:lineRule="auto"/>
        <w:ind w:firstLine="420"/>
        <w:rPr>
          <w:color w:val="auto"/>
          <w:szCs w:val="21"/>
          <w:highlight w:val="none"/>
        </w:rPr>
      </w:pPr>
      <w:r>
        <w:rPr>
          <w:color w:val="auto"/>
          <w:highlight w:val="none"/>
        </w:rPr>
        <w:t>1.13.2</w:t>
      </w:r>
      <w:r>
        <w:rPr>
          <w:rFonts w:hAnsi="宋体"/>
          <w:color w:val="auto"/>
          <w:szCs w:val="21"/>
          <w:highlight w:val="none"/>
        </w:rPr>
        <w:t>发包人要求中的错误导致承包人增加费用和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工期延误的，发包人应承担由此增加的费用和（或）工期延误，并向承包人支付合理利润。</w:t>
      </w:r>
    </w:p>
    <w:p w14:paraId="11573E16">
      <w:pPr>
        <w:pStyle w:val="6"/>
        <w:spacing w:before="159"/>
        <w:rPr>
          <w:color w:val="auto"/>
          <w:highlight w:val="none"/>
        </w:rPr>
      </w:pPr>
      <w:bookmarkStart w:id="1617" w:name="_Toc519085391"/>
      <w:bookmarkStart w:id="1618" w:name="_Toc300835046"/>
      <w:bookmarkStart w:id="1619" w:name="_Toc4785"/>
      <w:bookmarkStart w:id="1620" w:name="_Toc8695"/>
      <w:bookmarkStart w:id="1621" w:name="_Toc17597"/>
      <w:r>
        <w:rPr>
          <w:color w:val="auto"/>
          <w:highlight w:val="none"/>
        </w:rPr>
        <w:t>1.13 发包人要求中的错误（B</w:t>
      </w:r>
      <w:r>
        <w:rPr>
          <w:rStyle w:val="79"/>
          <w:color w:val="auto"/>
          <w:highlight w:val="none"/>
        </w:rPr>
        <w:t>）</w:t>
      </w:r>
      <w:bookmarkEnd w:id="1617"/>
      <w:bookmarkEnd w:id="1618"/>
      <w:bookmarkEnd w:id="1619"/>
      <w:bookmarkEnd w:id="1620"/>
      <w:bookmarkEnd w:id="1621"/>
    </w:p>
    <w:p w14:paraId="7EC0BB38">
      <w:pPr>
        <w:spacing w:line="360" w:lineRule="auto"/>
        <w:ind w:firstLine="420"/>
        <w:rPr>
          <w:color w:val="auto"/>
          <w:szCs w:val="21"/>
          <w:highlight w:val="none"/>
        </w:rPr>
      </w:pPr>
      <w:r>
        <w:rPr>
          <w:color w:val="auto"/>
          <w:highlight w:val="none"/>
        </w:rPr>
        <w:t xml:space="preserve">1.13.1 </w:t>
      </w:r>
      <w:r>
        <w:rPr>
          <w:rFonts w:hAnsi="宋体"/>
          <w:color w:val="auto"/>
          <w:szCs w:val="21"/>
          <w:highlight w:val="none"/>
        </w:rPr>
        <w:t>承包人应认真阅读、复核发包人要求，</w:t>
      </w:r>
      <w:r>
        <w:rPr>
          <w:rFonts w:hAnsi="宋体"/>
          <w:color w:val="auto"/>
          <w:highlight w:val="none"/>
        </w:rPr>
        <w:t>发现</w:t>
      </w:r>
      <w:r>
        <w:rPr>
          <w:rFonts w:hAnsi="宋体"/>
          <w:color w:val="auto"/>
          <w:szCs w:val="21"/>
          <w:highlight w:val="none"/>
        </w:rPr>
        <w:t>错误的，应及时书面通知发包人。发包人作相应修改的，按照第</w:t>
      </w:r>
      <w:r>
        <w:rPr>
          <w:color w:val="auto"/>
          <w:szCs w:val="21"/>
          <w:highlight w:val="none"/>
        </w:rPr>
        <w:t>15</w:t>
      </w:r>
      <w:r>
        <w:rPr>
          <w:rFonts w:hAnsi="宋体"/>
          <w:color w:val="auto"/>
          <w:szCs w:val="21"/>
          <w:highlight w:val="none"/>
        </w:rPr>
        <w:t>条约定处理。对确实存在的错误，发包人坚持不作修改的，应承担由此导致承包人增加的费用和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延误的工期。</w:t>
      </w:r>
    </w:p>
    <w:p w14:paraId="6548DFFC">
      <w:pPr>
        <w:spacing w:line="360" w:lineRule="auto"/>
        <w:ind w:firstLine="420"/>
        <w:rPr>
          <w:color w:val="auto"/>
          <w:szCs w:val="21"/>
          <w:highlight w:val="none"/>
        </w:rPr>
      </w:pPr>
      <w:r>
        <w:rPr>
          <w:color w:val="auto"/>
          <w:highlight w:val="none"/>
        </w:rPr>
        <w:t xml:space="preserve">1.13.2 </w:t>
      </w:r>
      <w:r>
        <w:rPr>
          <w:rFonts w:hAnsi="宋体"/>
          <w:color w:val="auto"/>
          <w:highlight w:val="none"/>
        </w:rPr>
        <w:t>承包人未发现发包人要求中存在错误的，</w:t>
      </w:r>
      <w:r>
        <w:rPr>
          <w:rFonts w:hAnsi="宋体"/>
          <w:color w:val="auto"/>
          <w:szCs w:val="21"/>
          <w:highlight w:val="none"/>
        </w:rPr>
        <w:t>承包人自行承担由此导致的费用增加和</w:t>
      </w:r>
      <w:r>
        <w:rPr>
          <w:color w:val="auto"/>
          <w:szCs w:val="21"/>
          <w:highlight w:val="none"/>
        </w:rPr>
        <w:t>(</w:t>
      </w:r>
      <w:r>
        <w:rPr>
          <w:rFonts w:hAnsi="宋体"/>
          <w:color w:val="auto"/>
          <w:szCs w:val="21"/>
          <w:highlight w:val="none"/>
        </w:rPr>
        <w:t>或</w:t>
      </w:r>
      <w:r>
        <w:rPr>
          <w:color w:val="auto"/>
          <w:szCs w:val="21"/>
          <w:highlight w:val="none"/>
        </w:rPr>
        <w:t xml:space="preserve">) </w:t>
      </w:r>
      <w:r>
        <w:rPr>
          <w:rFonts w:hAnsi="宋体"/>
          <w:color w:val="auto"/>
          <w:szCs w:val="21"/>
          <w:highlight w:val="none"/>
        </w:rPr>
        <w:t>工期延误，</w:t>
      </w:r>
      <w:r>
        <w:rPr>
          <w:rFonts w:hAnsi="宋体"/>
          <w:color w:val="auto"/>
          <w:highlight w:val="none"/>
        </w:rPr>
        <w:t>但专用合同条款另有约定的除外。</w:t>
      </w:r>
    </w:p>
    <w:p w14:paraId="59D4245A">
      <w:pPr>
        <w:spacing w:line="360" w:lineRule="auto"/>
        <w:ind w:firstLine="420"/>
        <w:rPr>
          <w:color w:val="auto"/>
          <w:szCs w:val="21"/>
          <w:highlight w:val="none"/>
        </w:rPr>
      </w:pPr>
      <w:r>
        <w:rPr>
          <w:color w:val="auto"/>
          <w:highlight w:val="none"/>
        </w:rPr>
        <w:t xml:space="preserve">1.13.3 </w:t>
      </w:r>
      <w:r>
        <w:rPr>
          <w:rFonts w:hAnsi="宋体"/>
          <w:color w:val="auto"/>
          <w:szCs w:val="21"/>
          <w:highlight w:val="none"/>
        </w:rPr>
        <w:t>无论承包人发现与否，在任何情况下，发包人要求中的下列错误导致承包人增加的费用和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延误的工期，由发包人承担，并向承包人支付合理利润。</w:t>
      </w:r>
    </w:p>
    <w:p w14:paraId="014513C4">
      <w:pPr>
        <w:spacing w:line="360" w:lineRule="auto"/>
        <w:ind w:firstLine="420"/>
        <w:rPr>
          <w:color w:val="auto"/>
          <w:highlight w:val="none"/>
        </w:rPr>
      </w:pPr>
      <w:r>
        <w:rPr>
          <w:rFonts w:hAnsi="宋体"/>
          <w:color w:val="auto"/>
          <w:highlight w:val="none"/>
        </w:rPr>
        <w:t>（</w:t>
      </w:r>
      <w:r>
        <w:rPr>
          <w:color w:val="auto"/>
          <w:highlight w:val="none"/>
        </w:rPr>
        <w:t>1</w:t>
      </w:r>
      <w:r>
        <w:rPr>
          <w:rFonts w:hAnsi="宋体"/>
          <w:color w:val="auto"/>
          <w:highlight w:val="none"/>
        </w:rPr>
        <w:t>）发包人要求中引用的原始数据和资料；</w:t>
      </w:r>
    </w:p>
    <w:p w14:paraId="5BF221BC">
      <w:pPr>
        <w:spacing w:line="360" w:lineRule="auto"/>
        <w:ind w:firstLine="420"/>
        <w:rPr>
          <w:color w:val="auto"/>
          <w:highlight w:val="none"/>
        </w:rPr>
      </w:pPr>
      <w:r>
        <w:rPr>
          <w:rFonts w:hAnsi="宋体"/>
          <w:color w:val="auto"/>
          <w:highlight w:val="none"/>
        </w:rPr>
        <w:t>（</w:t>
      </w:r>
      <w:r>
        <w:rPr>
          <w:color w:val="auto"/>
          <w:highlight w:val="none"/>
        </w:rPr>
        <w:t>2</w:t>
      </w:r>
      <w:r>
        <w:rPr>
          <w:rFonts w:hAnsi="宋体"/>
          <w:color w:val="auto"/>
          <w:highlight w:val="none"/>
        </w:rPr>
        <w:t>）对工程或其任何部分的功能要求；</w:t>
      </w:r>
    </w:p>
    <w:p w14:paraId="6271C3E5">
      <w:pPr>
        <w:spacing w:line="360" w:lineRule="auto"/>
        <w:ind w:firstLine="420"/>
        <w:rPr>
          <w:color w:val="auto"/>
          <w:highlight w:val="none"/>
        </w:rPr>
      </w:pPr>
      <w:r>
        <w:rPr>
          <w:rFonts w:hAnsi="宋体"/>
          <w:color w:val="auto"/>
          <w:highlight w:val="none"/>
        </w:rPr>
        <w:t>（</w:t>
      </w:r>
      <w:r>
        <w:rPr>
          <w:color w:val="auto"/>
          <w:highlight w:val="none"/>
        </w:rPr>
        <w:t>3</w:t>
      </w:r>
      <w:r>
        <w:rPr>
          <w:rFonts w:hAnsi="宋体"/>
          <w:color w:val="auto"/>
          <w:highlight w:val="none"/>
        </w:rPr>
        <w:t>）对工程的工艺安排或要求；</w:t>
      </w:r>
    </w:p>
    <w:p w14:paraId="2C983A52">
      <w:pPr>
        <w:spacing w:line="360" w:lineRule="auto"/>
        <w:ind w:firstLine="420"/>
        <w:rPr>
          <w:color w:val="auto"/>
          <w:highlight w:val="none"/>
        </w:rPr>
      </w:pPr>
      <w:r>
        <w:rPr>
          <w:rFonts w:hAnsi="宋体"/>
          <w:color w:val="auto"/>
          <w:highlight w:val="none"/>
        </w:rPr>
        <w:t>（</w:t>
      </w:r>
      <w:r>
        <w:rPr>
          <w:color w:val="auto"/>
          <w:highlight w:val="none"/>
        </w:rPr>
        <w:t>4</w:t>
      </w:r>
      <w:r>
        <w:rPr>
          <w:rFonts w:hAnsi="宋体"/>
          <w:color w:val="auto"/>
          <w:highlight w:val="none"/>
        </w:rPr>
        <w:t>）试验和检验标准；</w:t>
      </w:r>
    </w:p>
    <w:p w14:paraId="69B394BC">
      <w:pPr>
        <w:spacing w:line="360" w:lineRule="auto"/>
        <w:ind w:firstLine="420"/>
        <w:rPr>
          <w:color w:val="auto"/>
          <w:highlight w:val="none"/>
        </w:rPr>
      </w:pPr>
      <w:r>
        <w:rPr>
          <w:rFonts w:hAnsi="宋体"/>
          <w:color w:val="auto"/>
          <w:highlight w:val="none"/>
        </w:rPr>
        <w:t>（</w:t>
      </w:r>
      <w:r>
        <w:rPr>
          <w:color w:val="auto"/>
          <w:highlight w:val="none"/>
        </w:rPr>
        <w:t>5</w:t>
      </w:r>
      <w:r>
        <w:rPr>
          <w:rFonts w:hAnsi="宋体"/>
          <w:color w:val="auto"/>
          <w:highlight w:val="none"/>
        </w:rPr>
        <w:t>）除合同另有约定外，承包人无法核实的数据和资料。</w:t>
      </w:r>
    </w:p>
    <w:p w14:paraId="236D93B6">
      <w:pPr>
        <w:pStyle w:val="107"/>
        <w:outlineLvl w:val="3"/>
        <w:rPr>
          <w:rFonts w:ascii="黑体" w:hAnsi="黑体"/>
          <w:color w:val="auto"/>
          <w:highlight w:val="none"/>
        </w:rPr>
      </w:pPr>
      <w:bookmarkStart w:id="1622" w:name="_Toc300835047"/>
      <w:bookmarkStart w:id="1623" w:name="_Toc175"/>
      <w:bookmarkStart w:id="1624" w:name="_Toc24834"/>
      <w:bookmarkStart w:id="1625" w:name="_Toc25166"/>
      <w:bookmarkStart w:id="1626" w:name="_Toc23240"/>
      <w:bookmarkStart w:id="1627" w:name="_Toc22318"/>
      <w:bookmarkStart w:id="1628" w:name="_Toc519085392"/>
      <w:r>
        <w:rPr>
          <w:rFonts w:ascii="黑体" w:hAnsi="黑体"/>
          <w:color w:val="auto"/>
          <w:highlight w:val="none"/>
        </w:rPr>
        <w:t>1.14 发包人要求违法</w:t>
      </w:r>
      <w:bookmarkEnd w:id="1622"/>
      <w:bookmarkEnd w:id="1623"/>
      <w:bookmarkEnd w:id="1624"/>
      <w:bookmarkEnd w:id="1625"/>
      <w:bookmarkEnd w:id="1626"/>
      <w:bookmarkEnd w:id="1627"/>
      <w:bookmarkEnd w:id="1628"/>
    </w:p>
    <w:p w14:paraId="474390B5">
      <w:pPr>
        <w:spacing w:line="360" w:lineRule="auto"/>
        <w:ind w:firstLine="420"/>
        <w:rPr>
          <w:color w:val="auto"/>
          <w:szCs w:val="21"/>
          <w:highlight w:val="none"/>
        </w:rPr>
      </w:pPr>
      <w:r>
        <w:rPr>
          <w:rFonts w:hAnsi="宋体"/>
          <w:color w:val="auto"/>
          <w:szCs w:val="21"/>
          <w:highlight w:val="none"/>
        </w:rPr>
        <w:t>发包人要求违反法律规定的，</w:t>
      </w:r>
      <w:r>
        <w:rPr>
          <w:rFonts w:hAnsi="宋体"/>
          <w:color w:val="auto"/>
          <w:highlight w:val="none"/>
        </w:rPr>
        <w:t>承包人发现后应书面通知发包人，并要求其改正。发包人收到通知书后不予改正或不予答复的，承包人有权拒绝履行合同义务，直至解除合同。发包人应</w:t>
      </w:r>
      <w:r>
        <w:rPr>
          <w:rFonts w:hAnsi="宋体"/>
          <w:color w:val="auto"/>
          <w:szCs w:val="21"/>
          <w:highlight w:val="none"/>
        </w:rPr>
        <w:t>承担由此引起的承包人全部损失。</w:t>
      </w:r>
    </w:p>
    <w:p w14:paraId="23E0EFC7">
      <w:pPr>
        <w:pStyle w:val="5"/>
        <w:spacing w:before="159"/>
        <w:rPr>
          <w:color w:val="auto"/>
          <w:highlight w:val="none"/>
        </w:rPr>
      </w:pPr>
      <w:bookmarkStart w:id="1629" w:name="_Toc5335"/>
      <w:bookmarkStart w:id="1630" w:name="_Toc30107"/>
      <w:bookmarkStart w:id="1631" w:name="_Toc300835048"/>
      <w:bookmarkStart w:id="1632" w:name="_Toc247514049"/>
      <w:bookmarkStart w:id="1633" w:name="_Toc15708"/>
      <w:bookmarkStart w:id="1634" w:name="_Toc184635099"/>
      <w:bookmarkStart w:id="1635" w:name="_Toc18481"/>
      <w:bookmarkStart w:id="1636" w:name="_Toc32640"/>
      <w:bookmarkStart w:id="1637" w:name="_Toc519085393"/>
      <w:bookmarkStart w:id="1638" w:name="_Toc31476_WPSOffice_Level1"/>
      <w:bookmarkStart w:id="1639" w:name="_Toc247527650"/>
      <w:r>
        <w:rPr>
          <w:color w:val="auto"/>
          <w:highlight w:val="none"/>
        </w:rPr>
        <w:t>2</w:t>
      </w:r>
      <w:r>
        <w:rPr>
          <w:rStyle w:val="65"/>
          <w:color w:val="auto"/>
          <w:highlight w:val="none"/>
        </w:rPr>
        <w:t>．发包人义务</w:t>
      </w:r>
      <w:bookmarkEnd w:id="1629"/>
      <w:bookmarkEnd w:id="1630"/>
      <w:bookmarkEnd w:id="1631"/>
      <w:bookmarkEnd w:id="1632"/>
      <w:bookmarkEnd w:id="1633"/>
      <w:bookmarkEnd w:id="1634"/>
      <w:bookmarkEnd w:id="1635"/>
      <w:bookmarkEnd w:id="1636"/>
      <w:bookmarkEnd w:id="1637"/>
      <w:bookmarkEnd w:id="1638"/>
      <w:bookmarkEnd w:id="1639"/>
    </w:p>
    <w:p w14:paraId="533D57F0">
      <w:pPr>
        <w:pStyle w:val="107"/>
        <w:outlineLvl w:val="3"/>
        <w:rPr>
          <w:rFonts w:ascii="黑体" w:hAnsi="黑体"/>
          <w:color w:val="auto"/>
          <w:highlight w:val="none"/>
        </w:rPr>
      </w:pPr>
      <w:bookmarkStart w:id="1640" w:name="_Toc300835049"/>
      <w:bookmarkStart w:id="1641" w:name="_Toc4313"/>
      <w:bookmarkStart w:id="1642" w:name="_Toc15627"/>
      <w:bookmarkStart w:id="1643" w:name="_Toc313_WPSOffice_Level2"/>
      <w:bookmarkStart w:id="1644" w:name="_Toc247514050"/>
      <w:bookmarkStart w:id="1645" w:name="_Toc247527651"/>
      <w:bookmarkStart w:id="1646" w:name="_Toc21522"/>
      <w:bookmarkStart w:id="1647" w:name="_Toc10583"/>
      <w:bookmarkStart w:id="1648" w:name="_Toc519085394"/>
      <w:bookmarkStart w:id="1649" w:name="_Toc11190"/>
      <w:r>
        <w:rPr>
          <w:rFonts w:ascii="黑体" w:hAnsi="黑体"/>
          <w:color w:val="auto"/>
          <w:highlight w:val="none"/>
        </w:rPr>
        <w:t>2.1 遵守法律</w:t>
      </w:r>
      <w:bookmarkEnd w:id="1640"/>
      <w:bookmarkEnd w:id="1641"/>
      <w:bookmarkEnd w:id="1642"/>
      <w:bookmarkEnd w:id="1643"/>
      <w:bookmarkEnd w:id="1644"/>
      <w:bookmarkEnd w:id="1645"/>
      <w:bookmarkEnd w:id="1646"/>
      <w:bookmarkEnd w:id="1647"/>
      <w:bookmarkEnd w:id="1648"/>
      <w:bookmarkEnd w:id="1649"/>
    </w:p>
    <w:p w14:paraId="706AF611">
      <w:pPr>
        <w:spacing w:line="360" w:lineRule="auto"/>
        <w:ind w:firstLine="420" w:firstLineChars="200"/>
        <w:rPr>
          <w:color w:val="auto"/>
          <w:highlight w:val="none"/>
        </w:rPr>
      </w:pPr>
      <w:r>
        <w:rPr>
          <w:rFonts w:hAnsi="宋体"/>
          <w:color w:val="auto"/>
          <w:szCs w:val="21"/>
          <w:highlight w:val="none"/>
        </w:rPr>
        <w:t>发包人在履行合同过程中应遵守法律，并保证承包人免于承担因发包人违反法律而引起的任何责任。</w:t>
      </w:r>
    </w:p>
    <w:p w14:paraId="49C0E6B6">
      <w:pPr>
        <w:pStyle w:val="107"/>
        <w:outlineLvl w:val="3"/>
        <w:rPr>
          <w:rFonts w:ascii="黑体" w:hAnsi="黑体"/>
          <w:color w:val="auto"/>
          <w:highlight w:val="none"/>
        </w:rPr>
      </w:pPr>
      <w:bookmarkStart w:id="1650" w:name="_Toc10176"/>
      <w:bookmarkStart w:id="1651" w:name="_Toc7790"/>
      <w:bookmarkStart w:id="1652" w:name="_Toc8397"/>
      <w:bookmarkStart w:id="1653" w:name="_Toc17547"/>
      <w:bookmarkStart w:id="1654" w:name="_Toc27066"/>
      <w:bookmarkStart w:id="1655" w:name="_Toc519085395"/>
      <w:bookmarkStart w:id="1656" w:name="_Toc300835050"/>
      <w:bookmarkStart w:id="1657" w:name="_Toc19372_WPSOffice_Level2"/>
      <w:bookmarkStart w:id="1658" w:name="_Toc247527652"/>
      <w:bookmarkStart w:id="1659" w:name="_Toc247514051"/>
      <w:r>
        <w:rPr>
          <w:rFonts w:ascii="黑体" w:hAnsi="黑体"/>
          <w:color w:val="auto"/>
          <w:highlight w:val="none"/>
        </w:rPr>
        <w:t>2.2 发出承包人开始工作通知</w:t>
      </w:r>
      <w:bookmarkEnd w:id="1650"/>
      <w:bookmarkEnd w:id="1651"/>
      <w:bookmarkEnd w:id="1652"/>
      <w:bookmarkEnd w:id="1653"/>
      <w:bookmarkEnd w:id="1654"/>
      <w:bookmarkEnd w:id="1655"/>
      <w:bookmarkEnd w:id="1656"/>
      <w:bookmarkEnd w:id="1657"/>
      <w:bookmarkEnd w:id="1658"/>
      <w:bookmarkEnd w:id="1659"/>
    </w:p>
    <w:p w14:paraId="4587E06C">
      <w:pPr>
        <w:pStyle w:val="107"/>
        <w:ind w:firstLine="420" w:firstLineChars="200"/>
        <w:outlineLvl w:val="3"/>
        <w:rPr>
          <w:rFonts w:hAnsi="宋体" w:eastAsia="宋体" w:cs="Times New Roman"/>
          <w:bCs w:val="0"/>
          <w:color w:val="auto"/>
          <w:sz w:val="21"/>
          <w:szCs w:val="21"/>
          <w:highlight w:val="none"/>
        </w:rPr>
      </w:pPr>
      <w:bookmarkStart w:id="1660" w:name="_Toc28341"/>
      <w:bookmarkStart w:id="1661" w:name="_Toc12277"/>
      <w:r>
        <w:rPr>
          <w:rFonts w:hAnsi="宋体" w:eastAsia="宋体" w:cs="Times New Roman"/>
          <w:bCs w:val="0"/>
          <w:color w:val="auto"/>
          <w:sz w:val="21"/>
          <w:szCs w:val="21"/>
          <w:highlight w:val="none"/>
        </w:rPr>
        <w:t>发包人应委托监理人按第11.1 款的约定向承包人发出开始工作通知。</w:t>
      </w:r>
      <w:bookmarkEnd w:id="1660"/>
      <w:bookmarkEnd w:id="1661"/>
    </w:p>
    <w:p w14:paraId="6AE4A782">
      <w:pPr>
        <w:pStyle w:val="107"/>
        <w:outlineLvl w:val="3"/>
        <w:rPr>
          <w:rFonts w:ascii="黑体" w:hAnsi="黑体"/>
          <w:color w:val="auto"/>
          <w:highlight w:val="none"/>
        </w:rPr>
      </w:pPr>
      <w:bookmarkStart w:id="1662" w:name="_Toc12404"/>
      <w:bookmarkStart w:id="1663" w:name="_Toc2408"/>
      <w:bookmarkStart w:id="1664" w:name="_Toc519085396"/>
      <w:bookmarkStart w:id="1665" w:name="_Toc25723_WPSOffice_Level2"/>
      <w:bookmarkStart w:id="1666" w:name="_Toc22651"/>
      <w:bookmarkStart w:id="1667" w:name="_Toc31436"/>
      <w:bookmarkStart w:id="1668" w:name="_Toc247514052"/>
      <w:bookmarkStart w:id="1669" w:name="_Toc26878"/>
      <w:bookmarkStart w:id="1670" w:name="_Toc300835051"/>
      <w:bookmarkStart w:id="1671" w:name="_Toc247527653"/>
      <w:r>
        <w:rPr>
          <w:rFonts w:ascii="黑体" w:hAnsi="黑体"/>
          <w:color w:val="auto"/>
          <w:highlight w:val="none"/>
        </w:rPr>
        <w:t>2.3 提供施工场地</w:t>
      </w:r>
      <w:bookmarkEnd w:id="1662"/>
      <w:bookmarkEnd w:id="1663"/>
      <w:bookmarkEnd w:id="1664"/>
      <w:bookmarkEnd w:id="1665"/>
      <w:bookmarkEnd w:id="1666"/>
      <w:bookmarkEnd w:id="1667"/>
      <w:bookmarkEnd w:id="1668"/>
      <w:bookmarkEnd w:id="1669"/>
      <w:bookmarkEnd w:id="1670"/>
      <w:bookmarkEnd w:id="1671"/>
    </w:p>
    <w:p w14:paraId="5ECE4155">
      <w:pPr>
        <w:spacing w:line="360" w:lineRule="auto"/>
        <w:ind w:firstLine="420" w:firstLineChars="200"/>
        <w:rPr>
          <w:color w:val="auto"/>
          <w:szCs w:val="21"/>
          <w:highlight w:val="none"/>
        </w:rPr>
      </w:pPr>
      <w:r>
        <w:rPr>
          <w:rFonts w:hAnsi="宋体"/>
          <w:color w:val="auto"/>
          <w:szCs w:val="21"/>
          <w:highlight w:val="none"/>
        </w:rPr>
        <w:t>发包人应按专用合同条款约定向承包人提供施工场地及进场施工条件，并明确与承包人的交接界面。</w:t>
      </w:r>
    </w:p>
    <w:p w14:paraId="355EEEA8">
      <w:pPr>
        <w:pStyle w:val="107"/>
        <w:outlineLvl w:val="3"/>
        <w:rPr>
          <w:rFonts w:ascii="黑体" w:hAnsi="黑体"/>
          <w:color w:val="auto"/>
          <w:highlight w:val="none"/>
        </w:rPr>
      </w:pPr>
      <w:bookmarkStart w:id="1672" w:name="_Toc300835052"/>
      <w:bookmarkStart w:id="1673" w:name="_Toc16843_WPSOffice_Level2"/>
      <w:bookmarkStart w:id="1674" w:name="_Toc519085397"/>
      <w:bookmarkStart w:id="1675" w:name="_Toc5086"/>
      <w:bookmarkStart w:id="1676" w:name="_Toc4744"/>
      <w:bookmarkStart w:id="1677" w:name="_Toc247527654"/>
      <w:bookmarkStart w:id="1678" w:name="_Toc247514053"/>
      <w:bookmarkStart w:id="1679" w:name="_Toc9083"/>
      <w:bookmarkStart w:id="1680" w:name="_Toc7385"/>
      <w:bookmarkStart w:id="1681" w:name="_Toc13757"/>
      <w:r>
        <w:rPr>
          <w:rFonts w:ascii="黑体" w:hAnsi="黑体"/>
          <w:color w:val="auto"/>
          <w:highlight w:val="none"/>
        </w:rPr>
        <w:t>2.4 办理证件和批件</w:t>
      </w:r>
      <w:bookmarkEnd w:id="1672"/>
      <w:bookmarkEnd w:id="1673"/>
      <w:bookmarkEnd w:id="1674"/>
      <w:bookmarkEnd w:id="1675"/>
      <w:bookmarkEnd w:id="1676"/>
      <w:bookmarkEnd w:id="1677"/>
      <w:bookmarkEnd w:id="1678"/>
      <w:bookmarkEnd w:id="1679"/>
      <w:bookmarkEnd w:id="1680"/>
      <w:bookmarkEnd w:id="1681"/>
    </w:p>
    <w:p w14:paraId="0390ED45">
      <w:pPr>
        <w:spacing w:line="360" w:lineRule="auto"/>
        <w:ind w:firstLine="420" w:firstLineChars="200"/>
        <w:rPr>
          <w:color w:val="auto"/>
          <w:szCs w:val="21"/>
          <w:highlight w:val="none"/>
        </w:rPr>
      </w:pPr>
      <w:r>
        <w:rPr>
          <w:rFonts w:hAnsi="宋体"/>
          <w:color w:val="auto"/>
          <w:szCs w:val="21"/>
          <w:highlight w:val="none"/>
        </w:rPr>
        <w:t>法律规定和（或）合同约定由发包人负责办理的工程建设项目必须履行的各类审批、核准或备案手续，发包人应按时办理。</w:t>
      </w:r>
    </w:p>
    <w:p w14:paraId="133C9D24">
      <w:pPr>
        <w:spacing w:line="360" w:lineRule="auto"/>
        <w:ind w:firstLine="420" w:firstLineChars="200"/>
        <w:rPr>
          <w:color w:val="auto"/>
          <w:szCs w:val="21"/>
          <w:highlight w:val="none"/>
        </w:rPr>
      </w:pPr>
      <w:r>
        <w:rPr>
          <w:rFonts w:hAnsi="宋体"/>
          <w:color w:val="auto"/>
          <w:szCs w:val="21"/>
          <w:highlight w:val="none"/>
        </w:rPr>
        <w:t>法律规定和（或）合同约定由承包人负责的有关设计、施工证件和批件，发包人应给予必要的协助。</w:t>
      </w:r>
    </w:p>
    <w:p w14:paraId="42541FC3">
      <w:pPr>
        <w:pStyle w:val="6"/>
        <w:spacing w:before="159"/>
        <w:rPr>
          <w:rFonts w:ascii="黑体" w:hAnsi="黑体" w:eastAsia="黑体" w:cs="宋体"/>
          <w:color w:val="auto"/>
          <w:szCs w:val="20"/>
          <w:highlight w:val="none"/>
        </w:rPr>
      </w:pPr>
      <w:bookmarkStart w:id="1682" w:name="_Toc247514054"/>
      <w:bookmarkStart w:id="1683" w:name="_Toc247527655"/>
      <w:bookmarkStart w:id="1684" w:name="_Toc12132"/>
      <w:bookmarkStart w:id="1685" w:name="_Toc16917_WPSOffice_Level2"/>
      <w:bookmarkStart w:id="1686" w:name="_Toc519085398"/>
      <w:bookmarkStart w:id="1687" w:name="_Toc28866"/>
      <w:bookmarkStart w:id="1688" w:name="_Toc300835053"/>
      <w:bookmarkStart w:id="1689" w:name="_Toc16992"/>
      <w:r>
        <w:rPr>
          <w:rFonts w:ascii="黑体" w:hAnsi="黑体" w:eastAsia="黑体" w:cs="宋体"/>
          <w:color w:val="auto"/>
          <w:szCs w:val="20"/>
          <w:highlight w:val="none"/>
        </w:rPr>
        <w:t>2.5</w:t>
      </w:r>
      <w:bookmarkEnd w:id="1682"/>
      <w:bookmarkEnd w:id="1683"/>
      <w:bookmarkStart w:id="1690" w:name="_Toc247527656"/>
      <w:bookmarkStart w:id="1691" w:name="_Toc247514055"/>
      <w:r>
        <w:rPr>
          <w:rFonts w:ascii="黑体" w:hAnsi="黑体" w:eastAsia="黑体" w:cs="宋体"/>
          <w:color w:val="auto"/>
          <w:szCs w:val="20"/>
          <w:highlight w:val="none"/>
        </w:rPr>
        <w:t xml:space="preserve"> 支付合同价款</w:t>
      </w:r>
      <w:bookmarkEnd w:id="1684"/>
      <w:bookmarkEnd w:id="1685"/>
      <w:bookmarkEnd w:id="1686"/>
      <w:bookmarkEnd w:id="1687"/>
      <w:bookmarkEnd w:id="1688"/>
      <w:bookmarkEnd w:id="1689"/>
      <w:bookmarkEnd w:id="1690"/>
      <w:bookmarkEnd w:id="1691"/>
    </w:p>
    <w:p w14:paraId="6A861DF7">
      <w:pPr>
        <w:spacing w:line="360" w:lineRule="auto"/>
        <w:ind w:firstLine="420" w:firstLineChars="200"/>
        <w:rPr>
          <w:color w:val="auto"/>
          <w:szCs w:val="21"/>
          <w:highlight w:val="none"/>
        </w:rPr>
      </w:pPr>
      <w:r>
        <w:rPr>
          <w:rFonts w:hAnsi="宋体"/>
          <w:color w:val="auto"/>
          <w:szCs w:val="21"/>
          <w:highlight w:val="none"/>
        </w:rPr>
        <w:t>发包人应按合同约定向承包人及时支付合同价款。专用合同条款对发包人工程款支付担保有约定的，从其约定。</w:t>
      </w:r>
    </w:p>
    <w:p w14:paraId="63A1A668">
      <w:pPr>
        <w:pStyle w:val="6"/>
        <w:spacing w:before="159"/>
        <w:rPr>
          <w:rFonts w:ascii="黑体" w:hAnsi="黑体" w:eastAsia="黑体" w:cs="宋体"/>
          <w:color w:val="auto"/>
          <w:szCs w:val="20"/>
          <w:highlight w:val="none"/>
        </w:rPr>
      </w:pPr>
      <w:bookmarkStart w:id="1692" w:name="_Toc519085399"/>
      <w:bookmarkStart w:id="1693" w:name="_Toc21767"/>
      <w:bookmarkStart w:id="1694" w:name="_Toc247514056"/>
      <w:bookmarkStart w:id="1695" w:name="_Toc10306"/>
      <w:bookmarkStart w:id="1696" w:name="_Toc300835054"/>
      <w:bookmarkStart w:id="1697" w:name="_Toc247527657"/>
      <w:bookmarkStart w:id="1698" w:name="_Toc2620_WPSOffice_Level2"/>
      <w:bookmarkStart w:id="1699" w:name="_Toc4244"/>
      <w:r>
        <w:rPr>
          <w:rFonts w:ascii="黑体" w:hAnsi="黑体" w:eastAsia="黑体" w:cs="宋体"/>
          <w:color w:val="auto"/>
          <w:szCs w:val="20"/>
          <w:highlight w:val="none"/>
        </w:rPr>
        <w:t>2.6 组织竣工验收</w:t>
      </w:r>
      <w:bookmarkEnd w:id="1692"/>
      <w:bookmarkEnd w:id="1693"/>
      <w:bookmarkEnd w:id="1694"/>
      <w:bookmarkEnd w:id="1695"/>
      <w:bookmarkEnd w:id="1696"/>
      <w:bookmarkEnd w:id="1697"/>
      <w:bookmarkEnd w:id="1698"/>
      <w:bookmarkEnd w:id="1699"/>
    </w:p>
    <w:p w14:paraId="4C8BEA79">
      <w:pPr>
        <w:spacing w:line="360" w:lineRule="auto"/>
        <w:ind w:firstLine="420" w:firstLineChars="200"/>
        <w:rPr>
          <w:color w:val="auto"/>
          <w:szCs w:val="21"/>
          <w:highlight w:val="none"/>
        </w:rPr>
      </w:pPr>
      <w:r>
        <w:rPr>
          <w:rFonts w:hAnsi="宋体"/>
          <w:color w:val="auto"/>
          <w:szCs w:val="21"/>
          <w:highlight w:val="none"/>
        </w:rPr>
        <w:t>发包人应按合同约定及时组织竣工验收。</w:t>
      </w:r>
    </w:p>
    <w:p w14:paraId="41D3B0E3">
      <w:pPr>
        <w:pStyle w:val="6"/>
        <w:spacing w:before="159"/>
        <w:rPr>
          <w:rFonts w:ascii="黑体" w:hAnsi="黑体" w:eastAsia="黑体" w:cs="宋体"/>
          <w:color w:val="auto"/>
          <w:szCs w:val="20"/>
          <w:highlight w:val="none"/>
        </w:rPr>
      </w:pPr>
      <w:bookmarkStart w:id="1700" w:name="_Toc247514057"/>
      <w:bookmarkStart w:id="1701" w:name="_Toc24996_WPSOffice_Level2"/>
      <w:bookmarkStart w:id="1702" w:name="_Toc519085400"/>
      <w:bookmarkStart w:id="1703" w:name="_Toc300835055"/>
      <w:bookmarkStart w:id="1704" w:name="_Toc247527658"/>
      <w:bookmarkStart w:id="1705" w:name="_Toc27391"/>
      <w:bookmarkStart w:id="1706" w:name="_Toc11399"/>
      <w:bookmarkStart w:id="1707" w:name="_Toc31020"/>
      <w:r>
        <w:rPr>
          <w:rFonts w:ascii="黑体" w:hAnsi="黑体" w:eastAsia="黑体" w:cs="宋体"/>
          <w:color w:val="auto"/>
          <w:szCs w:val="20"/>
          <w:highlight w:val="none"/>
        </w:rPr>
        <w:t>2.7 其他义务</w:t>
      </w:r>
      <w:bookmarkEnd w:id="1700"/>
      <w:bookmarkEnd w:id="1701"/>
      <w:bookmarkEnd w:id="1702"/>
      <w:bookmarkEnd w:id="1703"/>
      <w:bookmarkEnd w:id="1704"/>
      <w:bookmarkEnd w:id="1705"/>
      <w:bookmarkEnd w:id="1706"/>
      <w:bookmarkEnd w:id="1707"/>
    </w:p>
    <w:p w14:paraId="197921F6">
      <w:pPr>
        <w:spacing w:line="360" w:lineRule="auto"/>
        <w:ind w:firstLine="420" w:firstLineChars="200"/>
        <w:rPr>
          <w:color w:val="auto"/>
          <w:szCs w:val="21"/>
          <w:highlight w:val="none"/>
        </w:rPr>
      </w:pPr>
      <w:r>
        <w:rPr>
          <w:rFonts w:hAnsi="宋体"/>
          <w:color w:val="auto"/>
          <w:szCs w:val="21"/>
          <w:highlight w:val="none"/>
        </w:rPr>
        <w:t>发包人应履行合同约定的其他义务。</w:t>
      </w:r>
    </w:p>
    <w:p w14:paraId="03BF7A89">
      <w:pPr>
        <w:pStyle w:val="5"/>
        <w:spacing w:before="159"/>
        <w:rPr>
          <w:color w:val="auto"/>
          <w:highlight w:val="none"/>
        </w:rPr>
      </w:pPr>
      <w:bookmarkStart w:id="1708" w:name="_Toc25760"/>
      <w:bookmarkStart w:id="1709" w:name="_Toc23476"/>
      <w:bookmarkStart w:id="1710" w:name="_Toc184635100"/>
      <w:bookmarkStart w:id="1711" w:name="_Toc247527659"/>
      <w:bookmarkStart w:id="1712" w:name="_Toc12827"/>
      <w:bookmarkStart w:id="1713" w:name="_Toc25607"/>
      <w:bookmarkStart w:id="1714" w:name="_Toc519085401"/>
      <w:bookmarkStart w:id="1715" w:name="_Toc11135"/>
      <w:bookmarkStart w:id="1716" w:name="_Toc247514058"/>
      <w:bookmarkStart w:id="1717" w:name="_Toc300835056"/>
      <w:bookmarkStart w:id="1718" w:name="_Toc27394_WPSOffice_Level1"/>
      <w:r>
        <w:rPr>
          <w:color w:val="auto"/>
          <w:highlight w:val="none"/>
        </w:rPr>
        <w:t xml:space="preserve">3. </w:t>
      </w:r>
      <w:r>
        <w:rPr>
          <w:rStyle w:val="65"/>
          <w:color w:val="auto"/>
          <w:highlight w:val="none"/>
        </w:rPr>
        <w:t>监理人</w:t>
      </w:r>
      <w:bookmarkEnd w:id="1708"/>
      <w:bookmarkEnd w:id="1709"/>
      <w:bookmarkEnd w:id="1710"/>
      <w:bookmarkEnd w:id="1711"/>
      <w:bookmarkEnd w:id="1712"/>
      <w:bookmarkEnd w:id="1713"/>
      <w:bookmarkEnd w:id="1714"/>
      <w:bookmarkEnd w:id="1715"/>
      <w:bookmarkEnd w:id="1716"/>
      <w:bookmarkEnd w:id="1717"/>
      <w:bookmarkEnd w:id="1718"/>
    </w:p>
    <w:p w14:paraId="345B7BDB">
      <w:pPr>
        <w:pStyle w:val="6"/>
        <w:spacing w:before="159"/>
        <w:rPr>
          <w:rFonts w:ascii="黑体" w:hAnsi="黑体" w:eastAsia="黑体" w:cs="宋体"/>
          <w:color w:val="auto"/>
          <w:szCs w:val="20"/>
          <w:highlight w:val="none"/>
        </w:rPr>
      </w:pPr>
      <w:bookmarkStart w:id="1719" w:name="_Toc29226"/>
      <w:bookmarkStart w:id="1720" w:name="_Toc24118"/>
      <w:bookmarkStart w:id="1721" w:name="_Toc5502"/>
      <w:bookmarkStart w:id="1722" w:name="_Toc300835057"/>
      <w:bookmarkStart w:id="1723" w:name="_Toc247514059"/>
      <w:bookmarkStart w:id="1724" w:name="_Toc662_WPSOffice_Level2"/>
      <w:bookmarkStart w:id="1725" w:name="_Toc247527660"/>
      <w:bookmarkStart w:id="1726" w:name="_Toc519085402"/>
      <w:r>
        <w:rPr>
          <w:rFonts w:ascii="黑体" w:hAnsi="黑体" w:eastAsia="黑体" w:cs="宋体"/>
          <w:color w:val="auto"/>
          <w:szCs w:val="20"/>
          <w:highlight w:val="none"/>
        </w:rPr>
        <w:t>3.1 监理人的职责和权力</w:t>
      </w:r>
      <w:bookmarkEnd w:id="1719"/>
      <w:bookmarkEnd w:id="1720"/>
      <w:bookmarkEnd w:id="1721"/>
      <w:bookmarkEnd w:id="1722"/>
      <w:bookmarkEnd w:id="1723"/>
      <w:bookmarkEnd w:id="1724"/>
      <w:bookmarkEnd w:id="1725"/>
      <w:bookmarkEnd w:id="1726"/>
    </w:p>
    <w:p w14:paraId="33290C53">
      <w:pPr>
        <w:spacing w:line="360" w:lineRule="auto"/>
        <w:ind w:firstLine="420" w:firstLineChars="200"/>
        <w:rPr>
          <w:color w:val="auto"/>
          <w:szCs w:val="21"/>
          <w:highlight w:val="none"/>
        </w:rPr>
      </w:pPr>
      <w:r>
        <w:rPr>
          <w:color w:val="auto"/>
          <w:highlight w:val="none"/>
        </w:rPr>
        <w:t xml:space="preserve">3.1.1 </w:t>
      </w:r>
      <w:r>
        <w:rPr>
          <w:rFonts w:hAnsi="宋体"/>
          <w:color w:val="auto"/>
          <w:szCs w:val="21"/>
          <w:highlight w:val="none"/>
        </w:rPr>
        <w:t>监理人受发包人委托，享有合同约定的权力，其所发出的任何指示应视为已得到发包人的批准。监理人在行使某项权力前需要经发包人事先批准而通用合同条款没有指明的，应在专用合同条款中指明。未经发包人批准，监理人无权修改合同。</w:t>
      </w:r>
    </w:p>
    <w:p w14:paraId="46595EEB">
      <w:pPr>
        <w:spacing w:line="360" w:lineRule="auto"/>
        <w:ind w:firstLine="420" w:firstLineChars="200"/>
        <w:rPr>
          <w:color w:val="auto"/>
          <w:szCs w:val="21"/>
          <w:highlight w:val="none"/>
        </w:rPr>
      </w:pPr>
      <w:r>
        <w:rPr>
          <w:color w:val="auto"/>
          <w:highlight w:val="none"/>
        </w:rPr>
        <w:t xml:space="preserve">3.1.2 </w:t>
      </w:r>
      <w:r>
        <w:rPr>
          <w:rFonts w:hAnsi="宋体"/>
          <w:color w:val="auto"/>
          <w:szCs w:val="21"/>
          <w:highlight w:val="none"/>
        </w:rPr>
        <w:t>合同约定应由承包人承担的义务和责任，不因监理人对承包人文件的审查或批准，对工程、材料和工程设备的检查和检验，以及为实施监理作出的指示等职务行为而减轻或解除。</w:t>
      </w:r>
    </w:p>
    <w:p w14:paraId="6D2596ED">
      <w:pPr>
        <w:pStyle w:val="6"/>
        <w:spacing w:before="159"/>
        <w:rPr>
          <w:rFonts w:ascii="黑体" w:hAnsi="黑体" w:eastAsia="黑体" w:cs="宋体"/>
          <w:color w:val="auto"/>
          <w:szCs w:val="20"/>
          <w:highlight w:val="none"/>
        </w:rPr>
      </w:pPr>
      <w:bookmarkStart w:id="1727" w:name="_Toc16480"/>
      <w:bookmarkStart w:id="1728" w:name="_Toc247514060"/>
      <w:bookmarkStart w:id="1729" w:name="_Toc14720_WPSOffice_Level2"/>
      <w:bookmarkStart w:id="1730" w:name="_Toc26567"/>
      <w:bookmarkStart w:id="1731" w:name="_Toc519085403"/>
      <w:bookmarkStart w:id="1732" w:name="_Toc247527661"/>
      <w:bookmarkStart w:id="1733" w:name="_Toc300835058"/>
      <w:bookmarkStart w:id="1734" w:name="_Toc14108"/>
      <w:r>
        <w:rPr>
          <w:rFonts w:ascii="黑体" w:hAnsi="黑体" w:eastAsia="黑体" w:cs="宋体"/>
          <w:color w:val="auto"/>
          <w:szCs w:val="20"/>
          <w:highlight w:val="none"/>
        </w:rPr>
        <w:t>3.2 总监理工程师</w:t>
      </w:r>
      <w:bookmarkEnd w:id="1727"/>
      <w:bookmarkEnd w:id="1728"/>
      <w:bookmarkEnd w:id="1729"/>
      <w:bookmarkEnd w:id="1730"/>
      <w:bookmarkEnd w:id="1731"/>
      <w:bookmarkEnd w:id="1732"/>
      <w:bookmarkEnd w:id="1733"/>
      <w:bookmarkEnd w:id="1734"/>
    </w:p>
    <w:p w14:paraId="0F8419BF">
      <w:pPr>
        <w:spacing w:line="360" w:lineRule="auto"/>
        <w:ind w:firstLine="420" w:firstLineChars="200"/>
        <w:rPr>
          <w:color w:val="auto"/>
          <w:szCs w:val="21"/>
          <w:highlight w:val="none"/>
        </w:rPr>
      </w:pPr>
      <w:r>
        <w:rPr>
          <w:rFonts w:hAnsi="宋体"/>
          <w:color w:val="auto"/>
          <w:szCs w:val="21"/>
          <w:highlight w:val="none"/>
        </w:rPr>
        <w:t>发包人应在发出开始工作通知前将总监理工程师的任命通知承包人。总监理工程师更换时，应提前</w:t>
      </w:r>
      <w:r>
        <w:rPr>
          <w:color w:val="auto"/>
          <w:szCs w:val="21"/>
          <w:highlight w:val="none"/>
        </w:rPr>
        <w:t xml:space="preserve">14 </w:t>
      </w:r>
      <w:r>
        <w:rPr>
          <w:rFonts w:hAnsi="宋体"/>
          <w:color w:val="auto"/>
          <w:szCs w:val="21"/>
          <w:highlight w:val="none"/>
        </w:rPr>
        <w:t>天通知承包人。总监理工程师超过</w:t>
      </w:r>
      <w:r>
        <w:rPr>
          <w:color w:val="auto"/>
          <w:highlight w:val="none"/>
        </w:rPr>
        <w:t>２</w:t>
      </w:r>
      <w:r>
        <w:rPr>
          <w:rFonts w:hAnsi="宋体"/>
          <w:color w:val="auto"/>
          <w:szCs w:val="21"/>
          <w:highlight w:val="none"/>
        </w:rPr>
        <w:t>天不能履行职责的，应委派代表代行其职责，并通知承包人。</w:t>
      </w:r>
    </w:p>
    <w:p w14:paraId="64D02A27">
      <w:pPr>
        <w:pStyle w:val="6"/>
        <w:spacing w:before="159"/>
        <w:rPr>
          <w:rFonts w:ascii="黑体" w:hAnsi="黑体" w:eastAsia="黑体" w:cs="宋体"/>
          <w:color w:val="auto"/>
          <w:szCs w:val="20"/>
          <w:highlight w:val="none"/>
        </w:rPr>
      </w:pPr>
      <w:bookmarkStart w:id="1735" w:name="_Toc11519"/>
      <w:bookmarkStart w:id="1736" w:name="_Toc12351"/>
      <w:bookmarkStart w:id="1737" w:name="_Toc4546_WPSOffice_Level2"/>
      <w:bookmarkStart w:id="1738" w:name="_Toc519085404"/>
      <w:bookmarkStart w:id="1739" w:name="_Toc247514061"/>
      <w:bookmarkStart w:id="1740" w:name="_Toc247527662"/>
      <w:bookmarkStart w:id="1741" w:name="_Toc439"/>
      <w:bookmarkStart w:id="1742" w:name="_Toc300835059"/>
      <w:r>
        <w:rPr>
          <w:rFonts w:ascii="黑体" w:hAnsi="黑体" w:eastAsia="黑体" w:cs="宋体"/>
          <w:color w:val="auto"/>
          <w:szCs w:val="20"/>
          <w:highlight w:val="none"/>
        </w:rPr>
        <w:t>3.3 监理人员</w:t>
      </w:r>
      <w:bookmarkEnd w:id="1735"/>
      <w:bookmarkEnd w:id="1736"/>
      <w:bookmarkEnd w:id="1737"/>
      <w:bookmarkEnd w:id="1738"/>
      <w:bookmarkEnd w:id="1739"/>
      <w:bookmarkEnd w:id="1740"/>
      <w:bookmarkEnd w:id="1741"/>
      <w:bookmarkEnd w:id="1742"/>
    </w:p>
    <w:p w14:paraId="642E2991">
      <w:pPr>
        <w:spacing w:line="360" w:lineRule="auto"/>
        <w:ind w:firstLine="420" w:firstLineChars="200"/>
        <w:rPr>
          <w:color w:val="auto"/>
          <w:szCs w:val="21"/>
          <w:highlight w:val="none"/>
        </w:rPr>
      </w:pPr>
      <w:r>
        <w:rPr>
          <w:color w:val="auto"/>
          <w:highlight w:val="none"/>
        </w:rPr>
        <w:t>3.3.1</w:t>
      </w:r>
      <w:r>
        <w:rPr>
          <w:color w:val="auto"/>
          <w:szCs w:val="21"/>
          <w:highlight w:val="none"/>
        </w:rPr>
        <w:t xml:space="preserve"> </w:t>
      </w:r>
      <w:r>
        <w:rPr>
          <w:rFonts w:hAnsi="宋体"/>
          <w:color w:val="auto"/>
          <w:szCs w:val="21"/>
          <w:highlight w:val="none"/>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发包人和承包人。</w:t>
      </w:r>
    </w:p>
    <w:p w14:paraId="1D0F90BA">
      <w:pPr>
        <w:spacing w:line="360" w:lineRule="auto"/>
        <w:ind w:firstLine="420" w:firstLineChars="200"/>
        <w:rPr>
          <w:color w:val="auto"/>
          <w:szCs w:val="21"/>
          <w:highlight w:val="none"/>
        </w:rPr>
      </w:pPr>
      <w:r>
        <w:rPr>
          <w:color w:val="auto"/>
          <w:highlight w:val="none"/>
        </w:rPr>
        <w:t xml:space="preserve">3.3.2 </w:t>
      </w:r>
      <w:r>
        <w:rPr>
          <w:rFonts w:hAnsi="宋体"/>
          <w:color w:val="auto"/>
          <w:szCs w:val="21"/>
          <w:highlight w:val="none"/>
        </w:rPr>
        <w:t>总监理工程师授权的监理人员对承包人文件、工程或其采用的材料和工程设备未在约定的或合理的期限内提出否定意见的，视为已获批准，但不影响监理人在以后拒绝该项工作、工程、材料或工程设备的权利，监理人的拒绝应当符合法律规定和合同约定。</w:t>
      </w:r>
    </w:p>
    <w:p w14:paraId="760E77E9">
      <w:pPr>
        <w:spacing w:line="360" w:lineRule="auto"/>
        <w:ind w:firstLine="420" w:firstLineChars="200"/>
        <w:rPr>
          <w:color w:val="auto"/>
          <w:szCs w:val="21"/>
          <w:highlight w:val="none"/>
        </w:rPr>
      </w:pPr>
      <w:r>
        <w:rPr>
          <w:color w:val="auto"/>
          <w:highlight w:val="none"/>
        </w:rPr>
        <w:t>3.3.3</w:t>
      </w:r>
      <w:r>
        <w:rPr>
          <w:color w:val="auto"/>
          <w:szCs w:val="21"/>
          <w:highlight w:val="none"/>
        </w:rPr>
        <w:t xml:space="preserve"> </w:t>
      </w:r>
      <w:r>
        <w:rPr>
          <w:rFonts w:hAnsi="宋体"/>
          <w:color w:val="auto"/>
          <w:szCs w:val="21"/>
          <w:highlight w:val="none"/>
        </w:rPr>
        <w:t>承包人对总监理工程师授权的监理人员发出的指示有疑问的，可在该指示发出的</w:t>
      </w:r>
      <w:r>
        <w:rPr>
          <w:color w:val="auto"/>
          <w:szCs w:val="21"/>
          <w:highlight w:val="none"/>
        </w:rPr>
        <w:t>48</w:t>
      </w:r>
      <w:r>
        <w:rPr>
          <w:rFonts w:hAnsi="宋体"/>
          <w:color w:val="auto"/>
          <w:szCs w:val="21"/>
          <w:highlight w:val="none"/>
        </w:rPr>
        <w:t>小时内向总监理工程师提出书面异议，总监理工程师应在</w:t>
      </w:r>
      <w:r>
        <w:rPr>
          <w:color w:val="auto"/>
          <w:highlight w:val="none"/>
        </w:rPr>
        <w:t>48</w:t>
      </w:r>
      <w:r>
        <w:rPr>
          <w:rFonts w:hAnsi="宋体"/>
          <w:color w:val="auto"/>
          <w:szCs w:val="21"/>
          <w:highlight w:val="none"/>
        </w:rPr>
        <w:t>小时内对该指示予以确认、更改或撤销。</w:t>
      </w:r>
    </w:p>
    <w:p w14:paraId="4B48AE14">
      <w:pPr>
        <w:spacing w:line="360" w:lineRule="auto"/>
        <w:ind w:firstLine="420" w:firstLineChars="200"/>
        <w:rPr>
          <w:color w:val="auto"/>
          <w:szCs w:val="21"/>
          <w:highlight w:val="none"/>
        </w:rPr>
      </w:pPr>
      <w:r>
        <w:rPr>
          <w:color w:val="auto"/>
          <w:highlight w:val="none"/>
        </w:rPr>
        <w:t>3.3.4</w:t>
      </w:r>
      <w:r>
        <w:rPr>
          <w:color w:val="auto"/>
          <w:szCs w:val="21"/>
          <w:highlight w:val="none"/>
        </w:rPr>
        <w:t xml:space="preserve"> </w:t>
      </w:r>
      <w:r>
        <w:rPr>
          <w:rFonts w:hAnsi="宋体"/>
          <w:color w:val="auto"/>
          <w:szCs w:val="21"/>
          <w:highlight w:val="none"/>
        </w:rPr>
        <w:t>除专用合同条款另有约定外，总监理工程师不应将第</w:t>
      </w:r>
      <w:r>
        <w:rPr>
          <w:color w:val="auto"/>
          <w:highlight w:val="none"/>
        </w:rPr>
        <w:t xml:space="preserve">3.5 </w:t>
      </w:r>
      <w:r>
        <w:rPr>
          <w:rFonts w:hAnsi="宋体"/>
          <w:color w:val="auto"/>
          <w:szCs w:val="21"/>
          <w:highlight w:val="none"/>
        </w:rPr>
        <w:t>款约定应由总监理工程师作出确定的权力授权或委托给其他监理人员。</w:t>
      </w:r>
    </w:p>
    <w:p w14:paraId="43B6FE6D">
      <w:pPr>
        <w:pStyle w:val="6"/>
        <w:spacing w:before="159"/>
        <w:rPr>
          <w:rFonts w:ascii="黑体" w:hAnsi="黑体" w:eastAsia="黑体" w:cs="宋体"/>
          <w:color w:val="auto"/>
          <w:szCs w:val="20"/>
          <w:highlight w:val="none"/>
        </w:rPr>
      </w:pPr>
      <w:bookmarkStart w:id="1743" w:name="_Toc300835060"/>
      <w:bookmarkStart w:id="1744" w:name="_Toc29830"/>
      <w:bookmarkStart w:id="1745" w:name="_Toc247514062"/>
      <w:bookmarkStart w:id="1746" w:name="_Toc247527663"/>
      <w:bookmarkStart w:id="1747" w:name="_Toc21724"/>
      <w:bookmarkStart w:id="1748" w:name="_Toc28713_WPSOffice_Level2"/>
      <w:bookmarkStart w:id="1749" w:name="_Toc519085405"/>
      <w:bookmarkStart w:id="1750" w:name="_Toc18539"/>
      <w:r>
        <w:rPr>
          <w:rFonts w:ascii="黑体" w:hAnsi="黑体" w:eastAsia="黑体" w:cs="宋体"/>
          <w:color w:val="auto"/>
          <w:szCs w:val="20"/>
          <w:highlight w:val="none"/>
        </w:rPr>
        <w:t>3.4 监理人的指示</w:t>
      </w:r>
      <w:bookmarkEnd w:id="1743"/>
      <w:bookmarkEnd w:id="1744"/>
      <w:bookmarkEnd w:id="1745"/>
      <w:bookmarkEnd w:id="1746"/>
      <w:bookmarkEnd w:id="1747"/>
      <w:bookmarkEnd w:id="1748"/>
      <w:bookmarkEnd w:id="1749"/>
      <w:bookmarkEnd w:id="1750"/>
    </w:p>
    <w:p w14:paraId="693C24CC">
      <w:pPr>
        <w:spacing w:line="360" w:lineRule="auto"/>
        <w:ind w:firstLine="420" w:firstLineChars="200"/>
        <w:rPr>
          <w:color w:val="auto"/>
          <w:szCs w:val="21"/>
          <w:highlight w:val="none"/>
        </w:rPr>
      </w:pPr>
      <w:r>
        <w:rPr>
          <w:color w:val="auto"/>
          <w:highlight w:val="none"/>
        </w:rPr>
        <w:t xml:space="preserve">3.4.1 </w:t>
      </w:r>
      <w:r>
        <w:rPr>
          <w:rFonts w:hAnsi="宋体"/>
          <w:color w:val="auto"/>
          <w:szCs w:val="21"/>
          <w:highlight w:val="none"/>
        </w:rPr>
        <w:t>监理人应按第</w:t>
      </w:r>
      <w:r>
        <w:rPr>
          <w:color w:val="auto"/>
          <w:highlight w:val="none"/>
        </w:rPr>
        <w:t xml:space="preserve">3.1 </w:t>
      </w:r>
      <w:r>
        <w:rPr>
          <w:rFonts w:hAnsi="宋体"/>
          <w:color w:val="auto"/>
          <w:szCs w:val="21"/>
          <w:highlight w:val="none"/>
        </w:rPr>
        <w:t>款的约定向承包人发出指示，监理人的指示应盖有监理人授权的项目管理机构章，并由总监理工程师或总监理工程师约定授权的监理人员签字。</w:t>
      </w:r>
    </w:p>
    <w:p w14:paraId="5D482DDD">
      <w:pPr>
        <w:spacing w:line="360" w:lineRule="auto"/>
        <w:ind w:firstLine="420" w:firstLineChars="200"/>
        <w:rPr>
          <w:color w:val="auto"/>
          <w:szCs w:val="21"/>
          <w:highlight w:val="none"/>
        </w:rPr>
      </w:pPr>
      <w:r>
        <w:rPr>
          <w:color w:val="auto"/>
          <w:highlight w:val="none"/>
        </w:rPr>
        <w:t xml:space="preserve">3.4.2 </w:t>
      </w:r>
      <w:r>
        <w:rPr>
          <w:rFonts w:hAnsi="宋体"/>
          <w:color w:val="auto"/>
          <w:szCs w:val="21"/>
          <w:highlight w:val="none"/>
        </w:rPr>
        <w:t>承包人收到监理人作出的指示后应遵照执行。指示构成变更的，应按第</w:t>
      </w:r>
      <w:r>
        <w:rPr>
          <w:color w:val="auto"/>
          <w:highlight w:val="none"/>
        </w:rPr>
        <w:t>15</w:t>
      </w:r>
      <w:r>
        <w:rPr>
          <w:rFonts w:hAnsi="宋体"/>
          <w:color w:val="auto"/>
          <w:szCs w:val="21"/>
          <w:highlight w:val="none"/>
        </w:rPr>
        <w:t>条执行。</w:t>
      </w:r>
    </w:p>
    <w:p w14:paraId="4783BD28">
      <w:pPr>
        <w:spacing w:line="360" w:lineRule="auto"/>
        <w:ind w:firstLine="420" w:firstLineChars="200"/>
        <w:rPr>
          <w:color w:val="auto"/>
          <w:szCs w:val="21"/>
          <w:highlight w:val="none"/>
        </w:rPr>
      </w:pPr>
      <w:r>
        <w:rPr>
          <w:color w:val="auto"/>
          <w:highlight w:val="none"/>
        </w:rPr>
        <w:t xml:space="preserve">3.4.3 </w:t>
      </w:r>
      <w:r>
        <w:rPr>
          <w:rFonts w:hAnsi="宋体"/>
          <w:color w:val="auto"/>
          <w:szCs w:val="21"/>
          <w:highlight w:val="none"/>
        </w:rPr>
        <w:t>在紧急情况下，总监理工程师或其授权的监理人员可以当场签发临时书面指示，承包人应遵照执行。监理应在临时书面指示发出后</w:t>
      </w:r>
      <w:r>
        <w:rPr>
          <w:color w:val="auto"/>
          <w:szCs w:val="21"/>
          <w:highlight w:val="none"/>
        </w:rPr>
        <w:t>24</w:t>
      </w:r>
      <w:r>
        <w:rPr>
          <w:rFonts w:hAnsi="宋体"/>
          <w:color w:val="auto"/>
          <w:szCs w:val="21"/>
          <w:highlight w:val="none"/>
        </w:rPr>
        <w:t>小时内发出书面确认函，监理人在</w:t>
      </w:r>
      <w:r>
        <w:rPr>
          <w:color w:val="auto"/>
          <w:highlight w:val="none"/>
        </w:rPr>
        <w:t>24</w:t>
      </w:r>
      <w:r>
        <w:rPr>
          <w:rFonts w:hAnsi="宋体"/>
          <w:color w:val="auto"/>
          <w:szCs w:val="21"/>
          <w:highlight w:val="none"/>
        </w:rPr>
        <w:t>小时内未发出书面确认函的，该临时书面指示应被视为监理人的正式指示。</w:t>
      </w:r>
    </w:p>
    <w:p w14:paraId="448DDB90">
      <w:pPr>
        <w:spacing w:line="360" w:lineRule="auto"/>
        <w:ind w:firstLine="420" w:firstLineChars="200"/>
        <w:rPr>
          <w:color w:val="auto"/>
          <w:szCs w:val="21"/>
          <w:highlight w:val="none"/>
        </w:rPr>
      </w:pPr>
      <w:r>
        <w:rPr>
          <w:color w:val="auto"/>
          <w:highlight w:val="none"/>
        </w:rPr>
        <w:t xml:space="preserve">3.4.4 </w:t>
      </w:r>
      <w:r>
        <w:rPr>
          <w:rFonts w:hAnsi="宋体"/>
          <w:color w:val="auto"/>
          <w:szCs w:val="21"/>
          <w:highlight w:val="none"/>
        </w:rPr>
        <w:t>除合同另有约定外，承包人只从总监理工程师或</w:t>
      </w:r>
      <w:r>
        <w:rPr>
          <w:rFonts w:hAnsi="宋体"/>
          <w:color w:val="auto"/>
          <w:highlight w:val="none"/>
        </w:rPr>
        <w:t>按第</w:t>
      </w:r>
      <w:r>
        <w:rPr>
          <w:color w:val="auto"/>
          <w:highlight w:val="none"/>
        </w:rPr>
        <w:t>3.3.1</w:t>
      </w:r>
      <w:r>
        <w:rPr>
          <w:rFonts w:hAnsi="宋体"/>
          <w:color w:val="auto"/>
          <w:highlight w:val="none"/>
        </w:rPr>
        <w:t>项被</w:t>
      </w:r>
      <w:r>
        <w:rPr>
          <w:rFonts w:hAnsi="宋体"/>
          <w:color w:val="auto"/>
          <w:szCs w:val="21"/>
          <w:highlight w:val="none"/>
        </w:rPr>
        <w:t>授权的监理人员处取得指示。</w:t>
      </w:r>
    </w:p>
    <w:p w14:paraId="31CC433A">
      <w:pPr>
        <w:spacing w:line="360" w:lineRule="auto"/>
        <w:ind w:firstLine="420"/>
        <w:rPr>
          <w:color w:val="auto"/>
          <w:szCs w:val="21"/>
          <w:highlight w:val="none"/>
        </w:rPr>
      </w:pPr>
      <w:r>
        <w:rPr>
          <w:color w:val="auto"/>
          <w:highlight w:val="none"/>
        </w:rPr>
        <w:t xml:space="preserve">3.4.5 </w:t>
      </w:r>
      <w:r>
        <w:rPr>
          <w:rFonts w:hAnsi="宋体"/>
          <w:color w:val="auto"/>
          <w:szCs w:val="21"/>
          <w:highlight w:val="none"/>
        </w:rPr>
        <w:t>由于监理人未能按合同约定发出指示、指示延误或指示错误而导致承包人费用增加和（或）工期延误的，发包人应承担由此增加的费用和（或）工期延误，并向承包人支付合理利润。</w:t>
      </w:r>
    </w:p>
    <w:p w14:paraId="5764E831">
      <w:pPr>
        <w:pStyle w:val="6"/>
        <w:spacing w:before="159"/>
        <w:rPr>
          <w:rFonts w:ascii="黑体" w:hAnsi="黑体" w:eastAsia="黑体" w:cs="宋体"/>
          <w:color w:val="auto"/>
          <w:szCs w:val="20"/>
          <w:highlight w:val="none"/>
        </w:rPr>
      </w:pPr>
      <w:bookmarkStart w:id="1751" w:name="_Toc9997"/>
      <w:bookmarkStart w:id="1752" w:name="_Toc300835061"/>
      <w:bookmarkStart w:id="1753" w:name="_Toc519085406"/>
      <w:bookmarkStart w:id="1754" w:name="_Toc247527664"/>
      <w:bookmarkStart w:id="1755" w:name="_Toc8719"/>
      <w:bookmarkStart w:id="1756" w:name="_Toc247514063"/>
      <w:bookmarkStart w:id="1757" w:name="_Toc31145"/>
      <w:bookmarkStart w:id="1758" w:name="_Toc17636_WPSOffice_Level2"/>
      <w:r>
        <w:rPr>
          <w:rFonts w:ascii="黑体" w:hAnsi="黑体" w:eastAsia="黑体" w:cs="宋体"/>
          <w:color w:val="auto"/>
          <w:szCs w:val="20"/>
          <w:highlight w:val="none"/>
        </w:rPr>
        <w:t>3.5 商定或确定</w:t>
      </w:r>
      <w:bookmarkEnd w:id="1751"/>
      <w:bookmarkEnd w:id="1752"/>
      <w:bookmarkEnd w:id="1753"/>
      <w:bookmarkEnd w:id="1754"/>
      <w:bookmarkEnd w:id="1755"/>
      <w:bookmarkEnd w:id="1756"/>
      <w:bookmarkEnd w:id="1757"/>
      <w:bookmarkEnd w:id="1758"/>
    </w:p>
    <w:p w14:paraId="2B35CA98">
      <w:pPr>
        <w:spacing w:line="360" w:lineRule="auto"/>
        <w:ind w:firstLine="420" w:firstLineChars="200"/>
        <w:rPr>
          <w:color w:val="auto"/>
          <w:szCs w:val="21"/>
          <w:highlight w:val="none"/>
        </w:rPr>
      </w:pPr>
      <w:r>
        <w:rPr>
          <w:color w:val="auto"/>
          <w:highlight w:val="none"/>
        </w:rPr>
        <w:t xml:space="preserve">3.5.1 </w:t>
      </w:r>
      <w:r>
        <w:rPr>
          <w:rFonts w:hAnsi="宋体"/>
          <w:color w:val="auto"/>
          <w:szCs w:val="21"/>
          <w:highlight w:val="none"/>
        </w:rPr>
        <w:t>合同约定总监理工程师应按照本款对任何事项进行商定或确定时，总监理工程师应与合同当事人协商，尽量达成一致。不能达成一致的，总监理工程师应认真研究后审慎确定。</w:t>
      </w:r>
    </w:p>
    <w:p w14:paraId="7AFAAE0C">
      <w:pPr>
        <w:spacing w:line="360" w:lineRule="auto"/>
        <w:ind w:firstLine="420" w:firstLineChars="200"/>
        <w:rPr>
          <w:color w:val="auto"/>
          <w:szCs w:val="21"/>
          <w:highlight w:val="none"/>
        </w:rPr>
      </w:pPr>
      <w:r>
        <w:rPr>
          <w:color w:val="auto"/>
          <w:highlight w:val="none"/>
        </w:rPr>
        <w:t xml:space="preserve">3.5.2 </w:t>
      </w:r>
      <w:r>
        <w:rPr>
          <w:rFonts w:hAnsi="宋体"/>
          <w:color w:val="auto"/>
          <w:szCs w:val="21"/>
          <w:highlight w:val="none"/>
        </w:rPr>
        <w:t>总监理工程师应将商定或确定的事项通知合同当事人，并附详细依据。对总监理工程师的确定有异议的，构成争议，按照第</w:t>
      </w:r>
      <w:r>
        <w:rPr>
          <w:color w:val="auto"/>
          <w:szCs w:val="21"/>
          <w:highlight w:val="none"/>
        </w:rPr>
        <w:t xml:space="preserve">24 </w:t>
      </w:r>
      <w:r>
        <w:rPr>
          <w:rFonts w:hAnsi="宋体"/>
          <w:color w:val="auto"/>
          <w:szCs w:val="21"/>
          <w:highlight w:val="none"/>
        </w:rPr>
        <w:t>条的约定处理。在争议解决前，双方应暂按总监理工程师的确定执行，按照第</w:t>
      </w:r>
      <w:r>
        <w:rPr>
          <w:color w:val="auto"/>
          <w:szCs w:val="21"/>
          <w:highlight w:val="none"/>
        </w:rPr>
        <w:t xml:space="preserve">24 </w:t>
      </w:r>
      <w:r>
        <w:rPr>
          <w:rFonts w:hAnsi="宋体"/>
          <w:color w:val="auto"/>
          <w:szCs w:val="21"/>
          <w:highlight w:val="none"/>
        </w:rPr>
        <w:t>条的约定对总监理工程师的确定作出修改的，按修改后的结果执行，由此导致承包人增加的费用和（或）延误的工期由发包人承担。</w:t>
      </w:r>
    </w:p>
    <w:p w14:paraId="51F6FC5D">
      <w:pPr>
        <w:pStyle w:val="5"/>
        <w:spacing w:before="159"/>
        <w:rPr>
          <w:color w:val="auto"/>
          <w:highlight w:val="none"/>
        </w:rPr>
      </w:pPr>
      <w:bookmarkStart w:id="1759" w:name="_Toc9125"/>
      <w:bookmarkStart w:id="1760" w:name="_Toc9744"/>
      <w:bookmarkStart w:id="1761" w:name="_Toc247527665"/>
      <w:bookmarkStart w:id="1762" w:name="_Toc18066_WPSOffice_Level1"/>
      <w:bookmarkStart w:id="1763" w:name="_Toc184635101"/>
      <w:bookmarkStart w:id="1764" w:name="_Toc25108"/>
      <w:bookmarkStart w:id="1765" w:name="_Toc247514064"/>
      <w:bookmarkStart w:id="1766" w:name="_Toc25518"/>
      <w:bookmarkStart w:id="1767" w:name="_Toc300835062"/>
      <w:bookmarkStart w:id="1768" w:name="_Toc27972"/>
      <w:bookmarkStart w:id="1769" w:name="_Toc519085407"/>
      <w:r>
        <w:rPr>
          <w:color w:val="auto"/>
          <w:highlight w:val="none"/>
        </w:rPr>
        <w:t xml:space="preserve">4. </w:t>
      </w:r>
      <w:r>
        <w:rPr>
          <w:rStyle w:val="65"/>
          <w:color w:val="auto"/>
          <w:highlight w:val="none"/>
        </w:rPr>
        <w:t>承包人</w:t>
      </w:r>
      <w:bookmarkEnd w:id="1759"/>
      <w:bookmarkEnd w:id="1760"/>
      <w:bookmarkEnd w:id="1761"/>
      <w:bookmarkEnd w:id="1762"/>
      <w:bookmarkEnd w:id="1763"/>
      <w:bookmarkEnd w:id="1764"/>
      <w:bookmarkEnd w:id="1765"/>
      <w:bookmarkEnd w:id="1766"/>
      <w:bookmarkEnd w:id="1767"/>
      <w:bookmarkEnd w:id="1768"/>
      <w:bookmarkEnd w:id="1769"/>
    </w:p>
    <w:p w14:paraId="69DD9CE2">
      <w:pPr>
        <w:pStyle w:val="6"/>
        <w:spacing w:before="159"/>
        <w:rPr>
          <w:color w:val="auto"/>
          <w:highlight w:val="none"/>
        </w:rPr>
      </w:pPr>
      <w:bookmarkStart w:id="1770" w:name="_Toc300835063"/>
      <w:bookmarkStart w:id="1771" w:name="_Toc519085408"/>
      <w:bookmarkStart w:id="1772" w:name="_Toc247514065"/>
      <w:bookmarkStart w:id="1773" w:name="_Toc4825_WPSOffice_Level2"/>
      <w:bookmarkStart w:id="1774" w:name="_Toc1752"/>
      <w:bookmarkStart w:id="1775" w:name="_Toc30884"/>
      <w:bookmarkStart w:id="1776" w:name="_Toc247527666"/>
      <w:bookmarkStart w:id="1777" w:name="_Toc26416"/>
      <w:r>
        <w:rPr>
          <w:rFonts w:ascii="黑体" w:hAnsi="黑体" w:eastAsia="黑体" w:cs="宋体"/>
          <w:color w:val="auto"/>
          <w:szCs w:val="20"/>
          <w:highlight w:val="none"/>
        </w:rPr>
        <w:t>4.1 承包人的一般义务</w:t>
      </w:r>
      <w:bookmarkEnd w:id="1770"/>
      <w:bookmarkEnd w:id="1771"/>
      <w:bookmarkEnd w:id="1772"/>
      <w:bookmarkEnd w:id="1773"/>
      <w:bookmarkEnd w:id="1774"/>
      <w:bookmarkEnd w:id="1775"/>
      <w:bookmarkEnd w:id="1776"/>
      <w:bookmarkEnd w:id="1777"/>
    </w:p>
    <w:p w14:paraId="7265D479">
      <w:pPr>
        <w:spacing w:line="360" w:lineRule="auto"/>
        <w:ind w:firstLine="420" w:firstLineChars="200"/>
        <w:rPr>
          <w:color w:val="auto"/>
          <w:szCs w:val="21"/>
          <w:highlight w:val="none"/>
        </w:rPr>
      </w:pPr>
      <w:r>
        <w:rPr>
          <w:color w:val="auto"/>
          <w:highlight w:val="none"/>
        </w:rPr>
        <w:t xml:space="preserve">4.1.1 </w:t>
      </w:r>
      <w:r>
        <w:rPr>
          <w:rFonts w:hAnsi="宋体"/>
          <w:color w:val="auto"/>
          <w:szCs w:val="21"/>
          <w:highlight w:val="none"/>
        </w:rPr>
        <w:t>遵守法律</w:t>
      </w:r>
    </w:p>
    <w:p w14:paraId="081EC35E">
      <w:pPr>
        <w:spacing w:line="360" w:lineRule="auto"/>
        <w:ind w:firstLine="420" w:firstLineChars="200"/>
        <w:rPr>
          <w:color w:val="auto"/>
          <w:szCs w:val="21"/>
          <w:highlight w:val="none"/>
        </w:rPr>
      </w:pPr>
      <w:r>
        <w:rPr>
          <w:rFonts w:hAnsi="宋体"/>
          <w:color w:val="auto"/>
          <w:szCs w:val="21"/>
          <w:highlight w:val="none"/>
        </w:rPr>
        <w:t>承包人在履行合同过程中应遵守法律，并保证发包人免于承担因承包人违反法律而引起的任何责任。</w:t>
      </w:r>
    </w:p>
    <w:p w14:paraId="0FB34444">
      <w:pPr>
        <w:spacing w:line="360" w:lineRule="auto"/>
        <w:ind w:firstLine="420" w:firstLineChars="200"/>
        <w:rPr>
          <w:color w:val="auto"/>
          <w:szCs w:val="21"/>
          <w:highlight w:val="none"/>
        </w:rPr>
      </w:pPr>
      <w:r>
        <w:rPr>
          <w:color w:val="auto"/>
          <w:highlight w:val="none"/>
        </w:rPr>
        <w:t xml:space="preserve">4.1.2 </w:t>
      </w:r>
      <w:r>
        <w:rPr>
          <w:rFonts w:hAnsi="宋体"/>
          <w:color w:val="auto"/>
          <w:szCs w:val="21"/>
          <w:highlight w:val="none"/>
        </w:rPr>
        <w:t>依法纳税</w:t>
      </w:r>
    </w:p>
    <w:p w14:paraId="5DD00339">
      <w:pPr>
        <w:spacing w:line="360" w:lineRule="auto"/>
        <w:ind w:firstLine="420" w:firstLineChars="200"/>
        <w:rPr>
          <w:color w:val="auto"/>
          <w:szCs w:val="21"/>
          <w:highlight w:val="none"/>
        </w:rPr>
      </w:pPr>
      <w:r>
        <w:rPr>
          <w:rFonts w:hAnsi="宋体"/>
          <w:color w:val="auto"/>
          <w:szCs w:val="21"/>
          <w:highlight w:val="none"/>
        </w:rPr>
        <w:t>承包人应按有关法律规定纳税，应缴纳的税金包括在合同价格内。</w:t>
      </w:r>
    </w:p>
    <w:p w14:paraId="16DD29B5">
      <w:pPr>
        <w:spacing w:line="360" w:lineRule="auto"/>
        <w:ind w:firstLine="420" w:firstLineChars="200"/>
        <w:rPr>
          <w:color w:val="auto"/>
          <w:szCs w:val="21"/>
          <w:highlight w:val="none"/>
        </w:rPr>
      </w:pPr>
      <w:r>
        <w:rPr>
          <w:color w:val="auto"/>
          <w:highlight w:val="none"/>
        </w:rPr>
        <w:t xml:space="preserve">4.1.3 </w:t>
      </w:r>
      <w:r>
        <w:rPr>
          <w:rFonts w:hAnsi="宋体"/>
          <w:color w:val="auto"/>
          <w:szCs w:val="21"/>
          <w:highlight w:val="none"/>
        </w:rPr>
        <w:t>完成各项承包工作</w:t>
      </w:r>
    </w:p>
    <w:p w14:paraId="57120FE2">
      <w:pPr>
        <w:spacing w:line="360" w:lineRule="auto"/>
        <w:ind w:firstLine="420" w:firstLineChars="200"/>
        <w:rPr>
          <w:color w:val="auto"/>
          <w:szCs w:val="21"/>
          <w:highlight w:val="none"/>
        </w:rPr>
      </w:pPr>
      <w:r>
        <w:rPr>
          <w:rFonts w:hAnsi="宋体"/>
          <w:color w:val="auto"/>
          <w:szCs w:val="21"/>
          <w:highlight w:val="none"/>
        </w:rPr>
        <w:t>承包人应按合同约定以及监理人根据第</w:t>
      </w:r>
      <w:r>
        <w:rPr>
          <w:color w:val="auto"/>
          <w:szCs w:val="21"/>
          <w:highlight w:val="none"/>
        </w:rPr>
        <w:t>3.4</w:t>
      </w:r>
      <w:r>
        <w:rPr>
          <w:rFonts w:hAnsi="宋体"/>
          <w:color w:val="auto"/>
          <w:szCs w:val="21"/>
          <w:highlight w:val="none"/>
        </w:rPr>
        <w:t>款作出的指示，完成合同约定的全部工作，并对工作中的任何缺陷进行整改、完善和修补，使其满足合同约定的目的。除专用合同条款另有约定外，承包人应提供合同约定的工程设备和承包人文件，以及为完成合同工作所需的劳务、材料、施工设备和其他物品，并按合同约定负责临时设施的设计、施工、运行、维护、管理和拆除。</w:t>
      </w:r>
    </w:p>
    <w:p w14:paraId="5CCBFADB">
      <w:pPr>
        <w:spacing w:line="360" w:lineRule="auto"/>
        <w:ind w:firstLine="420" w:firstLineChars="200"/>
        <w:rPr>
          <w:color w:val="auto"/>
          <w:szCs w:val="21"/>
          <w:highlight w:val="none"/>
        </w:rPr>
      </w:pPr>
      <w:r>
        <w:rPr>
          <w:color w:val="auto"/>
          <w:highlight w:val="none"/>
        </w:rPr>
        <w:t>4.1.4</w:t>
      </w:r>
      <w:r>
        <w:rPr>
          <w:color w:val="auto"/>
          <w:szCs w:val="21"/>
          <w:highlight w:val="none"/>
        </w:rPr>
        <w:t xml:space="preserve"> </w:t>
      </w:r>
      <w:r>
        <w:rPr>
          <w:rFonts w:hAnsi="宋体"/>
          <w:color w:val="auto"/>
          <w:szCs w:val="21"/>
          <w:highlight w:val="none"/>
        </w:rPr>
        <w:t>对设计、施工作业和施工方法，以及工程的完备性负责</w:t>
      </w:r>
    </w:p>
    <w:p w14:paraId="374AB064">
      <w:pPr>
        <w:spacing w:line="360" w:lineRule="auto"/>
        <w:ind w:firstLine="420" w:firstLineChars="200"/>
        <w:rPr>
          <w:color w:val="auto"/>
          <w:szCs w:val="21"/>
          <w:highlight w:val="none"/>
        </w:rPr>
      </w:pPr>
      <w:r>
        <w:rPr>
          <w:rFonts w:hAnsi="宋体"/>
          <w:color w:val="auto"/>
          <w:szCs w:val="21"/>
          <w:highlight w:val="none"/>
        </w:rPr>
        <w:t>承包人应按合同约定的工作内容和进度要求，编制设计、施工的组织和实施计划，并对所有设计、施工作业和施工方法，以及全部工程的完备性和安全可靠性负责。</w:t>
      </w:r>
    </w:p>
    <w:p w14:paraId="6120570E">
      <w:pPr>
        <w:spacing w:line="360" w:lineRule="auto"/>
        <w:ind w:firstLine="420" w:firstLineChars="200"/>
        <w:rPr>
          <w:color w:val="auto"/>
          <w:szCs w:val="21"/>
          <w:highlight w:val="none"/>
        </w:rPr>
      </w:pPr>
      <w:r>
        <w:rPr>
          <w:color w:val="auto"/>
          <w:highlight w:val="none"/>
        </w:rPr>
        <w:t>4.1.5</w:t>
      </w:r>
      <w:r>
        <w:rPr>
          <w:color w:val="auto"/>
          <w:szCs w:val="21"/>
          <w:highlight w:val="none"/>
        </w:rPr>
        <w:t xml:space="preserve"> </w:t>
      </w:r>
      <w:r>
        <w:rPr>
          <w:rFonts w:hAnsi="宋体"/>
          <w:color w:val="auto"/>
          <w:szCs w:val="21"/>
          <w:highlight w:val="none"/>
        </w:rPr>
        <w:t>保证工程施工和人员的安全</w:t>
      </w:r>
    </w:p>
    <w:p w14:paraId="6C56E2FA">
      <w:pPr>
        <w:spacing w:line="360" w:lineRule="auto"/>
        <w:ind w:firstLine="420" w:firstLineChars="200"/>
        <w:rPr>
          <w:color w:val="auto"/>
          <w:szCs w:val="21"/>
          <w:highlight w:val="none"/>
        </w:rPr>
      </w:pPr>
      <w:r>
        <w:rPr>
          <w:rFonts w:hAnsi="宋体"/>
          <w:color w:val="auto"/>
          <w:szCs w:val="21"/>
          <w:highlight w:val="none"/>
        </w:rPr>
        <w:t>承包人应按第</w:t>
      </w:r>
      <w:r>
        <w:rPr>
          <w:color w:val="auto"/>
          <w:highlight w:val="none"/>
        </w:rPr>
        <w:t xml:space="preserve">10.2 </w:t>
      </w:r>
      <w:r>
        <w:rPr>
          <w:rFonts w:hAnsi="宋体"/>
          <w:color w:val="auto"/>
          <w:szCs w:val="21"/>
          <w:highlight w:val="none"/>
        </w:rPr>
        <w:t>款约定采取施工安全措施，确保工程及其人员、材料、设备和设施的安全，防止因工程施工造成的人身伤害和财产损失。</w:t>
      </w:r>
    </w:p>
    <w:p w14:paraId="71C0E3BF">
      <w:pPr>
        <w:spacing w:line="360" w:lineRule="auto"/>
        <w:ind w:firstLine="420" w:firstLineChars="200"/>
        <w:rPr>
          <w:color w:val="auto"/>
          <w:szCs w:val="21"/>
          <w:highlight w:val="none"/>
        </w:rPr>
      </w:pPr>
      <w:r>
        <w:rPr>
          <w:color w:val="auto"/>
          <w:highlight w:val="none"/>
        </w:rPr>
        <w:t xml:space="preserve">4.1.6 </w:t>
      </w:r>
      <w:r>
        <w:rPr>
          <w:rFonts w:hAnsi="宋体"/>
          <w:color w:val="auto"/>
          <w:szCs w:val="21"/>
          <w:highlight w:val="none"/>
        </w:rPr>
        <w:t>负责施工场地及其周边环境与生态的保护工作</w:t>
      </w:r>
    </w:p>
    <w:p w14:paraId="773CB09D">
      <w:pPr>
        <w:spacing w:line="360" w:lineRule="auto"/>
        <w:ind w:firstLine="420" w:firstLineChars="200"/>
        <w:rPr>
          <w:color w:val="auto"/>
          <w:szCs w:val="21"/>
          <w:highlight w:val="none"/>
        </w:rPr>
      </w:pPr>
      <w:r>
        <w:rPr>
          <w:rFonts w:hAnsi="宋体"/>
          <w:color w:val="auto"/>
          <w:szCs w:val="21"/>
          <w:highlight w:val="none"/>
        </w:rPr>
        <w:t>承包人应按照第</w:t>
      </w:r>
      <w:r>
        <w:rPr>
          <w:color w:val="auto"/>
          <w:highlight w:val="none"/>
        </w:rPr>
        <w:t xml:space="preserve">10.4 </w:t>
      </w:r>
      <w:r>
        <w:rPr>
          <w:rFonts w:hAnsi="宋体"/>
          <w:color w:val="auto"/>
          <w:szCs w:val="21"/>
          <w:highlight w:val="none"/>
        </w:rPr>
        <w:t>款约定负责施工场地及其周边环境与生态的保护工作。</w:t>
      </w:r>
    </w:p>
    <w:p w14:paraId="722F9A0A">
      <w:pPr>
        <w:spacing w:line="360" w:lineRule="auto"/>
        <w:ind w:firstLine="420" w:firstLineChars="200"/>
        <w:rPr>
          <w:color w:val="auto"/>
          <w:szCs w:val="21"/>
          <w:highlight w:val="none"/>
        </w:rPr>
      </w:pPr>
      <w:r>
        <w:rPr>
          <w:color w:val="auto"/>
          <w:highlight w:val="none"/>
        </w:rPr>
        <w:t xml:space="preserve">4.1.7 </w:t>
      </w:r>
      <w:r>
        <w:rPr>
          <w:rFonts w:hAnsi="宋体"/>
          <w:color w:val="auto"/>
          <w:szCs w:val="21"/>
          <w:highlight w:val="none"/>
        </w:rPr>
        <w:t>避免施工对公众与他人的利益造成损害</w:t>
      </w:r>
    </w:p>
    <w:p w14:paraId="660C7B24">
      <w:pPr>
        <w:spacing w:line="360" w:lineRule="auto"/>
        <w:ind w:firstLine="420" w:firstLineChars="200"/>
        <w:rPr>
          <w:color w:val="auto"/>
          <w:szCs w:val="21"/>
          <w:highlight w:val="none"/>
        </w:rPr>
      </w:pPr>
      <w:r>
        <w:rPr>
          <w:rFonts w:hAnsi="宋体"/>
          <w:color w:val="auto"/>
          <w:szCs w:val="21"/>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2842A1B">
      <w:pPr>
        <w:spacing w:line="360" w:lineRule="auto"/>
        <w:ind w:firstLine="420" w:firstLineChars="200"/>
        <w:rPr>
          <w:color w:val="auto"/>
          <w:szCs w:val="21"/>
          <w:highlight w:val="none"/>
        </w:rPr>
      </w:pPr>
      <w:r>
        <w:rPr>
          <w:color w:val="auto"/>
          <w:highlight w:val="none"/>
        </w:rPr>
        <w:t xml:space="preserve">4.1.8 </w:t>
      </w:r>
      <w:r>
        <w:rPr>
          <w:rFonts w:hAnsi="宋体"/>
          <w:color w:val="auto"/>
          <w:szCs w:val="21"/>
          <w:highlight w:val="none"/>
        </w:rPr>
        <w:t>为他人提供方便</w:t>
      </w:r>
    </w:p>
    <w:p w14:paraId="329A74FB">
      <w:pPr>
        <w:spacing w:line="360" w:lineRule="auto"/>
        <w:ind w:firstLine="420" w:firstLineChars="200"/>
        <w:rPr>
          <w:color w:val="auto"/>
          <w:szCs w:val="21"/>
          <w:highlight w:val="none"/>
        </w:rPr>
      </w:pPr>
      <w:r>
        <w:rPr>
          <w:rFonts w:hAnsi="宋体"/>
          <w:color w:val="auto"/>
          <w:szCs w:val="21"/>
          <w:highlight w:val="none"/>
        </w:rPr>
        <w:t>承包人应按监理人的指示为他人在施工场地或附近实施与工程有关的其他各项工作提供可能的条件。除合同另有约定外，提供有关条件的内容和可能发生的费用，由监理人按第</w:t>
      </w:r>
      <w:r>
        <w:rPr>
          <w:color w:val="auto"/>
          <w:szCs w:val="21"/>
          <w:highlight w:val="none"/>
        </w:rPr>
        <w:t xml:space="preserve">3.5 </w:t>
      </w:r>
      <w:r>
        <w:rPr>
          <w:rFonts w:hAnsi="宋体"/>
          <w:color w:val="auto"/>
          <w:szCs w:val="21"/>
          <w:highlight w:val="none"/>
        </w:rPr>
        <w:t>款商定或确定。</w:t>
      </w:r>
    </w:p>
    <w:p w14:paraId="5FCCF6CB">
      <w:pPr>
        <w:spacing w:line="360" w:lineRule="auto"/>
        <w:ind w:firstLine="420" w:firstLineChars="200"/>
        <w:rPr>
          <w:color w:val="auto"/>
          <w:szCs w:val="21"/>
          <w:highlight w:val="none"/>
        </w:rPr>
      </w:pPr>
      <w:r>
        <w:rPr>
          <w:color w:val="auto"/>
          <w:highlight w:val="none"/>
        </w:rPr>
        <w:t xml:space="preserve">4.1.9 </w:t>
      </w:r>
      <w:r>
        <w:rPr>
          <w:rFonts w:hAnsi="宋体"/>
          <w:color w:val="auto"/>
          <w:szCs w:val="21"/>
          <w:highlight w:val="none"/>
        </w:rPr>
        <w:t>工程的维护和照管</w:t>
      </w:r>
    </w:p>
    <w:p w14:paraId="6670FAB0">
      <w:pPr>
        <w:spacing w:line="360" w:lineRule="auto"/>
        <w:ind w:firstLine="420" w:firstLineChars="200"/>
        <w:rPr>
          <w:color w:val="auto"/>
          <w:szCs w:val="21"/>
          <w:highlight w:val="none"/>
        </w:rPr>
      </w:pPr>
      <w:r>
        <w:rPr>
          <w:rFonts w:hAnsi="宋体"/>
          <w:color w:val="auto"/>
          <w:szCs w:val="21"/>
          <w:highlight w:val="none"/>
        </w:rPr>
        <w:t>工程接收证书颁发前，承包人应负责照管和维护工程。工程接收证书颁发时尚有部分未竣工工程的，承包人还应负责该未竣工工程的照管和维护工作，直至竣工后移交给发包人。</w:t>
      </w:r>
    </w:p>
    <w:p w14:paraId="7748F204">
      <w:pPr>
        <w:spacing w:line="360" w:lineRule="auto"/>
        <w:ind w:firstLine="420" w:firstLineChars="200"/>
        <w:rPr>
          <w:color w:val="auto"/>
          <w:szCs w:val="21"/>
          <w:highlight w:val="none"/>
        </w:rPr>
      </w:pPr>
      <w:r>
        <w:rPr>
          <w:color w:val="auto"/>
          <w:highlight w:val="none"/>
        </w:rPr>
        <w:t xml:space="preserve">4.1.10 </w:t>
      </w:r>
      <w:r>
        <w:rPr>
          <w:rFonts w:hAnsi="宋体"/>
          <w:color w:val="auto"/>
          <w:szCs w:val="21"/>
          <w:highlight w:val="none"/>
        </w:rPr>
        <w:t>其他义务</w:t>
      </w:r>
    </w:p>
    <w:p w14:paraId="4E01319D">
      <w:pPr>
        <w:spacing w:line="360" w:lineRule="auto"/>
        <w:ind w:firstLine="420" w:firstLineChars="200"/>
        <w:rPr>
          <w:color w:val="auto"/>
          <w:szCs w:val="21"/>
          <w:highlight w:val="none"/>
        </w:rPr>
      </w:pPr>
      <w:r>
        <w:rPr>
          <w:rFonts w:hAnsi="宋体"/>
          <w:color w:val="auto"/>
          <w:szCs w:val="21"/>
          <w:highlight w:val="none"/>
        </w:rPr>
        <w:t>承包人应履行合同约定的其他义务。</w:t>
      </w:r>
    </w:p>
    <w:p w14:paraId="394922E8">
      <w:pPr>
        <w:pStyle w:val="6"/>
        <w:spacing w:before="159"/>
        <w:rPr>
          <w:rFonts w:ascii="黑体" w:hAnsi="黑体" w:eastAsia="黑体" w:cs="宋体"/>
          <w:color w:val="auto"/>
          <w:szCs w:val="20"/>
          <w:highlight w:val="none"/>
        </w:rPr>
      </w:pPr>
      <w:bookmarkStart w:id="1778" w:name="_Toc14538"/>
      <w:bookmarkStart w:id="1779" w:name="_Toc247527667"/>
      <w:bookmarkStart w:id="1780" w:name="_Toc19873"/>
      <w:bookmarkStart w:id="1781" w:name="_Toc519085409"/>
      <w:bookmarkStart w:id="1782" w:name="_Toc1855_WPSOffice_Level2"/>
      <w:bookmarkStart w:id="1783" w:name="_Toc247514066"/>
      <w:bookmarkStart w:id="1784" w:name="_Toc300835064"/>
      <w:bookmarkStart w:id="1785" w:name="_Toc9094"/>
      <w:r>
        <w:rPr>
          <w:rFonts w:ascii="黑体" w:hAnsi="黑体" w:eastAsia="黑体" w:cs="宋体"/>
          <w:color w:val="auto"/>
          <w:szCs w:val="20"/>
          <w:highlight w:val="none"/>
        </w:rPr>
        <w:t>4.2 履约担保</w:t>
      </w:r>
      <w:bookmarkEnd w:id="1778"/>
      <w:bookmarkEnd w:id="1779"/>
      <w:bookmarkEnd w:id="1780"/>
      <w:bookmarkEnd w:id="1781"/>
      <w:bookmarkEnd w:id="1782"/>
      <w:bookmarkEnd w:id="1783"/>
      <w:bookmarkEnd w:id="1784"/>
      <w:bookmarkEnd w:id="1785"/>
    </w:p>
    <w:p w14:paraId="74BFD743">
      <w:pPr>
        <w:spacing w:line="360" w:lineRule="auto"/>
        <w:ind w:firstLine="420" w:firstLineChars="200"/>
        <w:rPr>
          <w:color w:val="auto"/>
          <w:szCs w:val="21"/>
          <w:highlight w:val="none"/>
        </w:rPr>
      </w:pPr>
      <w:r>
        <w:rPr>
          <w:color w:val="auto"/>
          <w:highlight w:val="none"/>
        </w:rPr>
        <w:t xml:space="preserve">4.2.1 </w:t>
      </w:r>
      <w:r>
        <w:rPr>
          <w:rFonts w:hAnsi="宋体"/>
          <w:color w:val="auto"/>
          <w:szCs w:val="21"/>
          <w:highlight w:val="none"/>
        </w:rPr>
        <w:t>承包人应保证其履约担保在发包人颁发工程接收证书前一直有效。发包人应在工程接收证书颁发后</w:t>
      </w:r>
      <w:r>
        <w:rPr>
          <w:color w:val="auto"/>
          <w:szCs w:val="21"/>
          <w:highlight w:val="none"/>
        </w:rPr>
        <w:t xml:space="preserve">28 </w:t>
      </w:r>
      <w:r>
        <w:rPr>
          <w:rFonts w:hAnsi="宋体"/>
          <w:color w:val="auto"/>
          <w:szCs w:val="21"/>
          <w:highlight w:val="none"/>
        </w:rPr>
        <w:t>天内将履约担保退还给承包人。需进行竣工后试验的，承包人应保证其履约担保在竣工后试验通过前一直有效，发包人应在通过竣工验收后</w:t>
      </w:r>
      <w:r>
        <w:rPr>
          <w:color w:val="auto"/>
          <w:szCs w:val="21"/>
          <w:highlight w:val="none"/>
        </w:rPr>
        <w:t>7</w:t>
      </w:r>
      <w:r>
        <w:rPr>
          <w:rFonts w:hAnsi="宋体"/>
          <w:color w:val="auto"/>
          <w:szCs w:val="21"/>
          <w:highlight w:val="none"/>
        </w:rPr>
        <w:t>天内将履约担保退还给承包人。</w:t>
      </w:r>
    </w:p>
    <w:p w14:paraId="159211A7">
      <w:pPr>
        <w:spacing w:line="360" w:lineRule="auto"/>
        <w:ind w:firstLine="420" w:firstLineChars="200"/>
        <w:rPr>
          <w:color w:val="auto"/>
          <w:szCs w:val="21"/>
          <w:highlight w:val="none"/>
        </w:rPr>
      </w:pPr>
      <w:r>
        <w:rPr>
          <w:color w:val="auto"/>
          <w:highlight w:val="none"/>
        </w:rPr>
        <w:t xml:space="preserve">4.2.2 </w:t>
      </w:r>
      <w:r>
        <w:rPr>
          <w:rFonts w:hAnsi="宋体"/>
          <w:color w:val="auto"/>
          <w:szCs w:val="21"/>
          <w:highlight w:val="none"/>
        </w:rPr>
        <w:t>如工程延期，承包人有义务继续提供履约担保。由于发包人原因导致延期的，继续提供履约担保所需的费用由发包人承担；由于承包人原因导致延期的，继续提供履约担保所需费用由承包人承担。</w:t>
      </w:r>
    </w:p>
    <w:p w14:paraId="6EDCA1F7">
      <w:pPr>
        <w:pStyle w:val="6"/>
        <w:spacing w:before="159"/>
        <w:rPr>
          <w:rFonts w:ascii="黑体" w:hAnsi="黑体" w:eastAsia="黑体" w:cs="宋体"/>
          <w:color w:val="auto"/>
          <w:szCs w:val="20"/>
          <w:highlight w:val="none"/>
        </w:rPr>
      </w:pPr>
      <w:bookmarkStart w:id="1786" w:name="_Toc247527668"/>
      <w:bookmarkStart w:id="1787" w:name="_Toc247514067"/>
      <w:bookmarkStart w:id="1788" w:name="_Toc30410_WPSOffice_Level2"/>
      <w:bookmarkStart w:id="1789" w:name="_Toc5574"/>
      <w:bookmarkStart w:id="1790" w:name="_Toc300835065"/>
      <w:bookmarkStart w:id="1791" w:name="_Toc11437"/>
      <w:bookmarkStart w:id="1792" w:name="_Toc211"/>
      <w:bookmarkStart w:id="1793" w:name="_Toc519085410"/>
      <w:r>
        <w:rPr>
          <w:rFonts w:ascii="黑体" w:hAnsi="黑体" w:eastAsia="黑体" w:cs="宋体"/>
          <w:color w:val="auto"/>
          <w:szCs w:val="20"/>
          <w:highlight w:val="none"/>
        </w:rPr>
        <w:t>4.3 分包</w:t>
      </w:r>
      <w:bookmarkEnd w:id="1786"/>
      <w:bookmarkEnd w:id="1787"/>
      <w:r>
        <w:rPr>
          <w:rFonts w:ascii="黑体" w:hAnsi="黑体" w:eastAsia="黑体" w:cs="宋体"/>
          <w:color w:val="auto"/>
          <w:szCs w:val="20"/>
          <w:highlight w:val="none"/>
        </w:rPr>
        <w:t>和不得转包</w:t>
      </w:r>
      <w:bookmarkEnd w:id="1788"/>
      <w:bookmarkEnd w:id="1789"/>
      <w:bookmarkEnd w:id="1790"/>
      <w:bookmarkEnd w:id="1791"/>
      <w:bookmarkEnd w:id="1792"/>
      <w:bookmarkEnd w:id="1793"/>
    </w:p>
    <w:p w14:paraId="16EAF708">
      <w:pPr>
        <w:spacing w:line="360" w:lineRule="auto"/>
        <w:ind w:firstLine="420" w:firstLineChars="200"/>
        <w:rPr>
          <w:color w:val="auto"/>
          <w:szCs w:val="21"/>
          <w:highlight w:val="none"/>
        </w:rPr>
      </w:pPr>
      <w:r>
        <w:rPr>
          <w:color w:val="auto"/>
          <w:highlight w:val="none"/>
        </w:rPr>
        <w:t>4.3.1</w:t>
      </w:r>
      <w:r>
        <w:rPr>
          <w:color w:val="auto"/>
          <w:szCs w:val="21"/>
          <w:highlight w:val="none"/>
        </w:rPr>
        <w:t xml:space="preserve"> </w:t>
      </w:r>
      <w:r>
        <w:rPr>
          <w:rFonts w:hAnsi="宋体"/>
          <w:color w:val="auto"/>
          <w:szCs w:val="21"/>
          <w:highlight w:val="none"/>
        </w:rPr>
        <w:t>承包人不得将其承包的全部工程转包给第三人，也不得将其承包的全部工程肢解后以分包的名义分别转包给第三人。</w:t>
      </w:r>
    </w:p>
    <w:p w14:paraId="220FE12E">
      <w:pPr>
        <w:spacing w:line="360" w:lineRule="auto"/>
        <w:ind w:firstLine="420" w:firstLineChars="200"/>
        <w:rPr>
          <w:color w:val="auto"/>
          <w:szCs w:val="21"/>
          <w:highlight w:val="none"/>
        </w:rPr>
      </w:pPr>
      <w:r>
        <w:rPr>
          <w:color w:val="auto"/>
          <w:highlight w:val="none"/>
        </w:rPr>
        <w:t xml:space="preserve">4.3.2 </w:t>
      </w:r>
      <w:r>
        <w:rPr>
          <w:rFonts w:hAnsi="宋体"/>
          <w:color w:val="auto"/>
          <w:szCs w:val="21"/>
          <w:highlight w:val="none"/>
        </w:rPr>
        <w:t>承包人不得将设计和施工的主体、关键性工作分包给第三人。除专用合同条款另有约定外，未经发包人同意，承包人也不得将非主体、非关键性工作分包给第三人。</w:t>
      </w:r>
    </w:p>
    <w:p w14:paraId="20500867">
      <w:pPr>
        <w:spacing w:line="360" w:lineRule="auto"/>
        <w:ind w:firstLine="420" w:firstLineChars="200"/>
        <w:rPr>
          <w:color w:val="auto"/>
          <w:szCs w:val="21"/>
          <w:highlight w:val="none"/>
        </w:rPr>
      </w:pPr>
      <w:r>
        <w:rPr>
          <w:color w:val="auto"/>
          <w:highlight w:val="none"/>
        </w:rPr>
        <w:t xml:space="preserve">4.3.3 </w:t>
      </w:r>
      <w:r>
        <w:rPr>
          <w:rFonts w:hAnsi="宋体"/>
          <w:color w:val="auto"/>
          <w:szCs w:val="21"/>
          <w:highlight w:val="none"/>
        </w:rPr>
        <w:t>分包人的资格能力应与其分包工作的标准和规模相适应。</w:t>
      </w:r>
    </w:p>
    <w:p w14:paraId="17FFAE1F">
      <w:pPr>
        <w:spacing w:line="360" w:lineRule="auto"/>
        <w:ind w:firstLine="420" w:firstLineChars="200"/>
        <w:rPr>
          <w:color w:val="auto"/>
          <w:szCs w:val="21"/>
          <w:highlight w:val="none"/>
        </w:rPr>
      </w:pPr>
      <w:r>
        <w:rPr>
          <w:color w:val="auto"/>
          <w:highlight w:val="none"/>
        </w:rPr>
        <w:t>4.3.4</w:t>
      </w:r>
      <w:r>
        <w:rPr>
          <w:color w:val="auto"/>
          <w:szCs w:val="21"/>
          <w:highlight w:val="none"/>
        </w:rPr>
        <w:t xml:space="preserve"> </w:t>
      </w:r>
      <w:r>
        <w:rPr>
          <w:rFonts w:hAnsi="宋体"/>
          <w:color w:val="auto"/>
          <w:szCs w:val="21"/>
          <w:highlight w:val="none"/>
        </w:rPr>
        <w:t>发包人同意承包人分包工作的，承包人应向发包人和监理人提交分包合同副本。</w:t>
      </w:r>
    </w:p>
    <w:p w14:paraId="4656C29B">
      <w:pPr>
        <w:pStyle w:val="6"/>
        <w:spacing w:before="159"/>
        <w:rPr>
          <w:rFonts w:ascii="黑体" w:hAnsi="黑体" w:eastAsia="黑体" w:cs="宋体"/>
          <w:color w:val="auto"/>
          <w:szCs w:val="20"/>
          <w:highlight w:val="none"/>
        </w:rPr>
      </w:pPr>
      <w:bookmarkStart w:id="1794" w:name="_Toc247514068"/>
      <w:bookmarkStart w:id="1795" w:name="_Toc519085411"/>
      <w:bookmarkStart w:id="1796" w:name="_Toc15791"/>
      <w:bookmarkStart w:id="1797" w:name="_Toc27521"/>
      <w:bookmarkStart w:id="1798" w:name="_Toc300835066"/>
      <w:bookmarkStart w:id="1799" w:name="_Toc247527669"/>
      <w:bookmarkStart w:id="1800" w:name="_Toc30880_WPSOffice_Level2"/>
      <w:bookmarkStart w:id="1801" w:name="_Toc27572"/>
      <w:r>
        <w:rPr>
          <w:rFonts w:ascii="黑体" w:hAnsi="黑体" w:eastAsia="黑体" w:cs="宋体"/>
          <w:color w:val="auto"/>
          <w:szCs w:val="20"/>
          <w:highlight w:val="none"/>
        </w:rPr>
        <w:t>4.4 联合体</w:t>
      </w:r>
      <w:bookmarkEnd w:id="1794"/>
      <w:bookmarkEnd w:id="1795"/>
      <w:bookmarkEnd w:id="1796"/>
      <w:bookmarkEnd w:id="1797"/>
      <w:bookmarkEnd w:id="1798"/>
      <w:bookmarkEnd w:id="1799"/>
      <w:bookmarkEnd w:id="1800"/>
      <w:bookmarkEnd w:id="1801"/>
    </w:p>
    <w:p w14:paraId="219F5648">
      <w:pPr>
        <w:spacing w:line="360" w:lineRule="auto"/>
        <w:ind w:firstLine="420" w:firstLineChars="200"/>
        <w:rPr>
          <w:color w:val="auto"/>
          <w:szCs w:val="21"/>
          <w:highlight w:val="none"/>
        </w:rPr>
      </w:pPr>
      <w:r>
        <w:rPr>
          <w:color w:val="auto"/>
          <w:highlight w:val="none"/>
        </w:rPr>
        <w:t xml:space="preserve">4.4.1 </w:t>
      </w:r>
      <w:r>
        <w:rPr>
          <w:rFonts w:hAnsi="宋体"/>
          <w:color w:val="auto"/>
          <w:szCs w:val="21"/>
          <w:highlight w:val="none"/>
        </w:rPr>
        <w:t>联合体各方应共同与发包人签订合同。联合体各方应为履行合同承担连带责任。</w:t>
      </w:r>
    </w:p>
    <w:p w14:paraId="6E8A3DB9">
      <w:pPr>
        <w:spacing w:line="360" w:lineRule="auto"/>
        <w:ind w:firstLine="420" w:firstLineChars="200"/>
        <w:rPr>
          <w:color w:val="auto"/>
          <w:szCs w:val="21"/>
          <w:highlight w:val="none"/>
        </w:rPr>
      </w:pPr>
      <w:r>
        <w:rPr>
          <w:color w:val="auto"/>
          <w:highlight w:val="none"/>
        </w:rPr>
        <w:t>4.4.2</w:t>
      </w:r>
      <w:r>
        <w:rPr>
          <w:color w:val="auto"/>
          <w:szCs w:val="21"/>
          <w:highlight w:val="none"/>
        </w:rPr>
        <w:t xml:space="preserve"> </w:t>
      </w:r>
      <w:r>
        <w:rPr>
          <w:rFonts w:hAnsi="宋体"/>
          <w:color w:val="auto"/>
          <w:szCs w:val="21"/>
          <w:highlight w:val="none"/>
        </w:rPr>
        <w:t>联合体协议经发包人确认后作为合同附件。在履行合同过程中，未经发包人同意，不得修改联合体协议。</w:t>
      </w:r>
    </w:p>
    <w:p w14:paraId="04C816FB">
      <w:pPr>
        <w:spacing w:line="360" w:lineRule="auto"/>
        <w:ind w:firstLine="420" w:firstLineChars="200"/>
        <w:rPr>
          <w:color w:val="auto"/>
          <w:szCs w:val="21"/>
          <w:highlight w:val="none"/>
        </w:rPr>
      </w:pPr>
      <w:r>
        <w:rPr>
          <w:color w:val="auto"/>
          <w:highlight w:val="none"/>
        </w:rPr>
        <w:t xml:space="preserve">4.4.3 </w:t>
      </w:r>
      <w:r>
        <w:rPr>
          <w:rFonts w:hAnsi="宋体"/>
          <w:color w:val="auto"/>
          <w:szCs w:val="21"/>
          <w:highlight w:val="none"/>
        </w:rPr>
        <w:t>联合体牵头人或联合体授权的代表负责与发包人和监理人联系，并接受指示，负责组织联合体各成员全面履行合同。</w:t>
      </w:r>
    </w:p>
    <w:p w14:paraId="7C40CB4D">
      <w:pPr>
        <w:pStyle w:val="6"/>
        <w:spacing w:before="159"/>
        <w:rPr>
          <w:rFonts w:ascii="黑体" w:hAnsi="黑体" w:eastAsia="黑体" w:cs="宋体"/>
          <w:color w:val="auto"/>
          <w:szCs w:val="20"/>
          <w:highlight w:val="none"/>
        </w:rPr>
      </w:pPr>
      <w:bookmarkStart w:id="1802" w:name="_Toc9668"/>
      <w:bookmarkStart w:id="1803" w:name="_Toc519085412"/>
      <w:bookmarkStart w:id="1804" w:name="_Toc30858"/>
      <w:bookmarkStart w:id="1805" w:name="_Toc247514069"/>
      <w:bookmarkStart w:id="1806" w:name="_Toc247527670"/>
      <w:bookmarkStart w:id="1807" w:name="_Toc300835067"/>
      <w:bookmarkStart w:id="1808" w:name="_Toc5045"/>
      <w:bookmarkStart w:id="1809" w:name="_Toc7596_WPSOffice_Level2"/>
      <w:r>
        <w:rPr>
          <w:rFonts w:ascii="黑体" w:hAnsi="黑体" w:eastAsia="黑体" w:cs="宋体"/>
          <w:color w:val="auto"/>
          <w:szCs w:val="20"/>
          <w:highlight w:val="none"/>
        </w:rPr>
        <w:t>4.5 承包人</w:t>
      </w:r>
      <w:bookmarkEnd w:id="1802"/>
      <w:bookmarkEnd w:id="1803"/>
      <w:bookmarkEnd w:id="1804"/>
      <w:bookmarkEnd w:id="1805"/>
      <w:bookmarkEnd w:id="1806"/>
      <w:bookmarkEnd w:id="1807"/>
      <w:bookmarkEnd w:id="1808"/>
      <w:r>
        <w:rPr>
          <w:rFonts w:ascii="黑体" w:hAnsi="黑体" w:eastAsia="黑体" w:cs="宋体"/>
          <w:color w:val="auto"/>
          <w:szCs w:val="20"/>
          <w:highlight w:val="none"/>
        </w:rPr>
        <w:t>项目负责人</w:t>
      </w:r>
      <w:bookmarkEnd w:id="1809"/>
    </w:p>
    <w:p w14:paraId="53257FF5">
      <w:pPr>
        <w:spacing w:line="360" w:lineRule="auto"/>
        <w:ind w:firstLine="420" w:firstLineChars="200"/>
        <w:rPr>
          <w:color w:val="auto"/>
          <w:szCs w:val="21"/>
          <w:highlight w:val="none"/>
        </w:rPr>
      </w:pPr>
      <w:r>
        <w:rPr>
          <w:color w:val="auto"/>
          <w:highlight w:val="none"/>
        </w:rPr>
        <w:t>4.5.1</w:t>
      </w:r>
      <w:r>
        <w:rPr>
          <w:color w:val="auto"/>
          <w:szCs w:val="21"/>
          <w:highlight w:val="none"/>
        </w:rPr>
        <w:t xml:space="preserve"> </w:t>
      </w:r>
      <w:r>
        <w:rPr>
          <w:rFonts w:hAnsi="宋体"/>
          <w:color w:val="auto"/>
          <w:szCs w:val="21"/>
          <w:highlight w:val="none"/>
        </w:rPr>
        <w:t>承包人应按合同协议书的约定指派项目负责人，并在约定的期限内到职。承包人更换项目负责人应事先征得发包人同意，并应在更换</w:t>
      </w:r>
      <w:r>
        <w:rPr>
          <w:color w:val="auto"/>
          <w:szCs w:val="21"/>
          <w:highlight w:val="none"/>
        </w:rPr>
        <w:t>14</w:t>
      </w:r>
      <w:r>
        <w:rPr>
          <w:rFonts w:hAnsi="宋体"/>
          <w:color w:val="auto"/>
          <w:szCs w:val="21"/>
          <w:highlight w:val="none"/>
        </w:rPr>
        <w:t>天前将拟更换的项目负责人的姓名和详细资料提交发包人和监理人。承包人项目负责人</w:t>
      </w:r>
      <w:r>
        <w:rPr>
          <w:color w:val="auto"/>
          <w:szCs w:val="21"/>
          <w:highlight w:val="none"/>
        </w:rPr>
        <w:t>2</w:t>
      </w:r>
      <w:r>
        <w:rPr>
          <w:rFonts w:hAnsi="宋体"/>
          <w:color w:val="auto"/>
          <w:szCs w:val="21"/>
          <w:highlight w:val="none"/>
        </w:rPr>
        <w:t>天内不能履行职责的，应事先征得监理人同意，并委派代表代行其职责。</w:t>
      </w:r>
    </w:p>
    <w:p w14:paraId="1E0E43FC">
      <w:pPr>
        <w:spacing w:line="360" w:lineRule="auto"/>
        <w:ind w:firstLine="420" w:firstLineChars="200"/>
        <w:rPr>
          <w:color w:val="auto"/>
          <w:szCs w:val="21"/>
          <w:highlight w:val="none"/>
        </w:rPr>
      </w:pPr>
      <w:r>
        <w:rPr>
          <w:color w:val="auto"/>
          <w:highlight w:val="none"/>
        </w:rPr>
        <w:t>4.5.2</w:t>
      </w:r>
      <w:r>
        <w:rPr>
          <w:color w:val="auto"/>
          <w:szCs w:val="21"/>
          <w:highlight w:val="none"/>
        </w:rPr>
        <w:t xml:space="preserve"> </w:t>
      </w:r>
      <w:r>
        <w:rPr>
          <w:rFonts w:hAnsi="宋体"/>
          <w:color w:val="auto"/>
          <w:szCs w:val="21"/>
          <w:highlight w:val="none"/>
        </w:rPr>
        <w:t>承包人项目负责人应按合同约定以及监理人按第</w:t>
      </w:r>
      <w:r>
        <w:rPr>
          <w:color w:val="auto"/>
          <w:szCs w:val="21"/>
          <w:highlight w:val="none"/>
        </w:rPr>
        <w:t xml:space="preserve">3.4 </w:t>
      </w:r>
      <w:r>
        <w:rPr>
          <w:rFonts w:hAnsi="宋体"/>
          <w:color w:val="auto"/>
          <w:szCs w:val="21"/>
          <w:highlight w:val="none"/>
        </w:rPr>
        <w:t>款作出的指示，负责组织合同工作的实施。在情况紧急且无法与监理人取得联系时，可采取保证工程和人员生命财产安全的紧急措施，并在采取措施后</w:t>
      </w:r>
      <w:r>
        <w:rPr>
          <w:color w:val="auto"/>
          <w:szCs w:val="21"/>
          <w:highlight w:val="none"/>
        </w:rPr>
        <w:t>24</w:t>
      </w:r>
      <w:r>
        <w:rPr>
          <w:rFonts w:hAnsi="宋体"/>
          <w:color w:val="auto"/>
          <w:szCs w:val="21"/>
          <w:highlight w:val="none"/>
        </w:rPr>
        <w:t>小时内向监理人提交书面报告。</w:t>
      </w:r>
    </w:p>
    <w:p w14:paraId="56E44476">
      <w:pPr>
        <w:spacing w:line="360" w:lineRule="auto"/>
        <w:ind w:firstLine="420" w:firstLineChars="200"/>
        <w:rPr>
          <w:color w:val="auto"/>
          <w:szCs w:val="21"/>
          <w:highlight w:val="none"/>
        </w:rPr>
      </w:pPr>
      <w:r>
        <w:rPr>
          <w:color w:val="auto"/>
          <w:highlight w:val="none"/>
        </w:rPr>
        <w:t>4.5.3</w:t>
      </w:r>
      <w:r>
        <w:rPr>
          <w:color w:val="auto"/>
          <w:szCs w:val="21"/>
          <w:highlight w:val="none"/>
        </w:rPr>
        <w:t xml:space="preserve"> </w:t>
      </w:r>
      <w:r>
        <w:rPr>
          <w:rFonts w:hAnsi="宋体"/>
          <w:color w:val="auto"/>
          <w:szCs w:val="21"/>
          <w:highlight w:val="none"/>
        </w:rPr>
        <w:t>承包人为履行合同发出的一切函件均应盖有承包人单位章或由承包人项目负责人签字。</w:t>
      </w:r>
    </w:p>
    <w:p w14:paraId="2D9D4ABA">
      <w:pPr>
        <w:spacing w:line="360" w:lineRule="auto"/>
        <w:ind w:firstLine="420" w:firstLineChars="200"/>
        <w:rPr>
          <w:color w:val="auto"/>
          <w:szCs w:val="21"/>
          <w:highlight w:val="none"/>
        </w:rPr>
      </w:pPr>
      <w:r>
        <w:rPr>
          <w:color w:val="auto"/>
          <w:highlight w:val="none"/>
        </w:rPr>
        <w:t>4.5.4</w:t>
      </w:r>
      <w:r>
        <w:rPr>
          <w:color w:val="auto"/>
          <w:szCs w:val="21"/>
          <w:highlight w:val="none"/>
        </w:rPr>
        <w:t xml:space="preserve"> </w:t>
      </w:r>
      <w:r>
        <w:rPr>
          <w:rFonts w:hAnsi="宋体"/>
          <w:color w:val="auto"/>
          <w:szCs w:val="21"/>
          <w:highlight w:val="none"/>
        </w:rPr>
        <w:t>承包人项目负责人可以授权其下属人员履行其某项职责，但事先应将这些人员的姓名和授权范围书面通知发包人和监理人。</w:t>
      </w:r>
    </w:p>
    <w:p w14:paraId="237B9B1E">
      <w:pPr>
        <w:pStyle w:val="6"/>
        <w:spacing w:before="159"/>
        <w:rPr>
          <w:rFonts w:ascii="黑体" w:hAnsi="黑体" w:eastAsia="黑体" w:cs="宋体"/>
          <w:color w:val="auto"/>
          <w:szCs w:val="20"/>
          <w:highlight w:val="none"/>
        </w:rPr>
      </w:pPr>
      <w:bookmarkStart w:id="1810" w:name="_Toc247514070"/>
      <w:bookmarkStart w:id="1811" w:name="_Toc3327"/>
      <w:bookmarkStart w:id="1812" w:name="_Toc300835068"/>
      <w:bookmarkStart w:id="1813" w:name="_Toc31417"/>
      <w:bookmarkStart w:id="1814" w:name="_Toc247527671"/>
      <w:bookmarkStart w:id="1815" w:name="_Toc6172"/>
      <w:bookmarkStart w:id="1816" w:name="_Toc519085413"/>
      <w:bookmarkStart w:id="1817" w:name="_Toc6928_WPSOffice_Level2"/>
      <w:r>
        <w:rPr>
          <w:rFonts w:ascii="黑体" w:hAnsi="黑体" w:eastAsia="黑体" w:cs="宋体"/>
          <w:color w:val="auto"/>
          <w:szCs w:val="20"/>
          <w:highlight w:val="none"/>
        </w:rPr>
        <w:t>4.6 承包人人员的管理</w:t>
      </w:r>
      <w:bookmarkEnd w:id="1810"/>
      <w:bookmarkEnd w:id="1811"/>
      <w:bookmarkEnd w:id="1812"/>
      <w:bookmarkEnd w:id="1813"/>
      <w:bookmarkEnd w:id="1814"/>
      <w:bookmarkEnd w:id="1815"/>
      <w:bookmarkEnd w:id="1816"/>
      <w:bookmarkEnd w:id="1817"/>
    </w:p>
    <w:p w14:paraId="28C26760">
      <w:pPr>
        <w:spacing w:line="360" w:lineRule="auto"/>
        <w:ind w:firstLine="420" w:firstLineChars="200"/>
        <w:rPr>
          <w:color w:val="auto"/>
          <w:szCs w:val="21"/>
          <w:highlight w:val="none"/>
        </w:rPr>
      </w:pPr>
      <w:r>
        <w:rPr>
          <w:color w:val="auto"/>
          <w:highlight w:val="none"/>
        </w:rPr>
        <w:t>4.6.1</w:t>
      </w:r>
      <w:r>
        <w:rPr>
          <w:color w:val="auto"/>
          <w:szCs w:val="21"/>
          <w:highlight w:val="none"/>
        </w:rPr>
        <w:t xml:space="preserve"> </w:t>
      </w:r>
      <w:r>
        <w:rPr>
          <w:rFonts w:hAnsi="宋体"/>
          <w:color w:val="auto"/>
          <w:szCs w:val="21"/>
          <w:highlight w:val="none"/>
        </w:rPr>
        <w:t>承包人应在接到开始工作通知之日起</w:t>
      </w:r>
      <w:r>
        <w:rPr>
          <w:color w:val="auto"/>
          <w:szCs w:val="21"/>
          <w:highlight w:val="none"/>
        </w:rPr>
        <w:t>28</w:t>
      </w:r>
      <w:r>
        <w:rPr>
          <w:rFonts w:hAnsi="宋体"/>
          <w:color w:val="auto"/>
          <w:szCs w:val="21"/>
          <w:highlight w:val="none"/>
        </w:rPr>
        <w:t>天内，向监理人提交承包人的项目管理机构以及人员安排的报告，其内容应包括项目管理机构的设置、各主要岗位的技术和管理人员名单及其资格，以及设计人员和各工种技术工人的安排状况。承包人安排的主要管理人员和技术人员应相对稳定，更换主要管理人员和技术人员的，应取得监理人的同意</w:t>
      </w:r>
      <w:r>
        <w:rPr>
          <w:color w:val="auto"/>
          <w:szCs w:val="21"/>
          <w:highlight w:val="none"/>
        </w:rPr>
        <w:t>,</w:t>
      </w:r>
      <w:r>
        <w:rPr>
          <w:rFonts w:hAnsi="宋体"/>
          <w:color w:val="auto"/>
          <w:szCs w:val="21"/>
          <w:highlight w:val="none"/>
        </w:rPr>
        <w:t>并向监理人提交继任人员的资格、管理经验等资料。项目负责人的更换，应按照本章第</w:t>
      </w:r>
      <w:r>
        <w:rPr>
          <w:color w:val="auto"/>
          <w:szCs w:val="21"/>
          <w:highlight w:val="none"/>
        </w:rPr>
        <w:t>4.5</w:t>
      </w:r>
      <w:r>
        <w:rPr>
          <w:rFonts w:hAnsi="宋体"/>
          <w:color w:val="auto"/>
          <w:szCs w:val="21"/>
          <w:highlight w:val="none"/>
        </w:rPr>
        <w:t>款规定执行。</w:t>
      </w:r>
    </w:p>
    <w:p w14:paraId="575BEC98">
      <w:pPr>
        <w:spacing w:line="360" w:lineRule="auto"/>
        <w:ind w:firstLine="420" w:firstLineChars="200"/>
        <w:rPr>
          <w:color w:val="auto"/>
          <w:szCs w:val="21"/>
          <w:highlight w:val="none"/>
        </w:rPr>
      </w:pPr>
      <w:r>
        <w:rPr>
          <w:color w:val="auto"/>
          <w:highlight w:val="none"/>
        </w:rPr>
        <w:t xml:space="preserve">4.6.2 </w:t>
      </w:r>
      <w:r>
        <w:rPr>
          <w:rFonts w:hAnsi="宋体"/>
          <w:color w:val="auto"/>
          <w:szCs w:val="21"/>
          <w:highlight w:val="none"/>
        </w:rPr>
        <w:t>承包人安排的主要管理人员包括项目负责人、设计负责人、施工负责人、采购负责人以及专职质量、安全生产管理人员等；技术人员包括设计师、建筑师、土木工程师、设备工程师、建造师等。</w:t>
      </w:r>
    </w:p>
    <w:p w14:paraId="62232078">
      <w:pPr>
        <w:spacing w:line="360" w:lineRule="auto"/>
        <w:ind w:firstLine="420" w:firstLineChars="200"/>
        <w:rPr>
          <w:color w:val="auto"/>
          <w:szCs w:val="21"/>
          <w:highlight w:val="none"/>
        </w:rPr>
      </w:pPr>
      <w:r>
        <w:rPr>
          <w:color w:val="auto"/>
          <w:highlight w:val="none"/>
        </w:rPr>
        <w:t xml:space="preserve">4.6.3 </w:t>
      </w:r>
      <w:r>
        <w:rPr>
          <w:rFonts w:hAnsi="宋体"/>
          <w:color w:val="auto"/>
          <w:szCs w:val="21"/>
          <w:highlight w:val="none"/>
        </w:rPr>
        <w:t>承包人的设计人员应由具有国家规定和发包人要求中约定的资格，并具有从事设计所必需的经验与能力。</w:t>
      </w:r>
    </w:p>
    <w:p w14:paraId="724523F2">
      <w:pPr>
        <w:spacing w:line="360" w:lineRule="auto"/>
        <w:ind w:firstLine="420" w:firstLineChars="200"/>
        <w:rPr>
          <w:color w:val="auto"/>
          <w:szCs w:val="21"/>
          <w:highlight w:val="none"/>
        </w:rPr>
      </w:pPr>
      <w:r>
        <w:rPr>
          <w:rFonts w:hAnsi="宋体"/>
          <w:color w:val="auto"/>
          <w:szCs w:val="21"/>
          <w:highlight w:val="none"/>
        </w:rPr>
        <w:t>承包人应保证其设计人员（包括分包人的设计人员）在合同期限内的任何时候，都能按时参加发包人或其委托的监理人组织的工作会议。</w:t>
      </w:r>
    </w:p>
    <w:p w14:paraId="6F09FC4A">
      <w:pPr>
        <w:spacing w:line="360" w:lineRule="auto"/>
        <w:ind w:firstLine="420" w:firstLineChars="200"/>
        <w:rPr>
          <w:color w:val="auto"/>
          <w:szCs w:val="21"/>
          <w:highlight w:val="none"/>
        </w:rPr>
      </w:pPr>
      <w:r>
        <w:rPr>
          <w:color w:val="auto"/>
          <w:highlight w:val="none"/>
        </w:rPr>
        <w:t xml:space="preserve">4.6.4 </w:t>
      </w:r>
      <w:r>
        <w:rPr>
          <w:rFonts w:hAnsi="宋体"/>
          <w:color w:val="auto"/>
          <w:szCs w:val="21"/>
          <w:highlight w:val="none"/>
        </w:rPr>
        <w:t>国家规定应当持证上岗的工作人员均应持有相应的资格证明，监理人有权随时检查。监理人认为有必要时，可进行现场考核。</w:t>
      </w:r>
    </w:p>
    <w:p w14:paraId="4C6EF50F">
      <w:pPr>
        <w:spacing w:line="360" w:lineRule="auto"/>
        <w:ind w:firstLine="420" w:firstLineChars="200"/>
        <w:rPr>
          <w:color w:val="auto"/>
          <w:szCs w:val="21"/>
          <w:highlight w:val="none"/>
        </w:rPr>
      </w:pPr>
      <w:r>
        <w:rPr>
          <w:color w:val="auto"/>
          <w:highlight w:val="none"/>
        </w:rPr>
        <w:t>4.6.5</w:t>
      </w:r>
      <w:r>
        <w:rPr>
          <w:color w:val="auto"/>
          <w:szCs w:val="21"/>
          <w:highlight w:val="none"/>
        </w:rPr>
        <w:t xml:space="preserve"> </w:t>
      </w:r>
      <w:r>
        <w:rPr>
          <w:rFonts w:hAnsi="宋体"/>
          <w:color w:val="auto"/>
          <w:szCs w:val="21"/>
          <w:highlight w:val="none"/>
        </w:rPr>
        <w:t>除专用合同条款另有约定外，承包人的主要施工管理人员离开施工现场连续超过</w:t>
      </w:r>
      <w:r>
        <w:rPr>
          <w:color w:val="auto"/>
          <w:szCs w:val="21"/>
          <w:highlight w:val="none"/>
        </w:rPr>
        <w:t>3</w:t>
      </w:r>
      <w:r>
        <w:rPr>
          <w:rFonts w:hAnsi="宋体"/>
          <w:color w:val="auto"/>
          <w:szCs w:val="21"/>
          <w:highlight w:val="none"/>
        </w:rPr>
        <w:t>天的，应事先征得监理人同意。承包人擅自更换项目负责人或主要施工管理人员，或前述人员未经监理人许可擅自离开施工现场连续超过</w:t>
      </w:r>
      <w:r>
        <w:rPr>
          <w:color w:val="auto"/>
          <w:szCs w:val="21"/>
          <w:highlight w:val="none"/>
        </w:rPr>
        <w:t>3</w:t>
      </w:r>
      <w:r>
        <w:rPr>
          <w:rFonts w:hAnsi="宋体"/>
          <w:color w:val="auto"/>
          <w:szCs w:val="21"/>
          <w:highlight w:val="none"/>
        </w:rPr>
        <w:t>天的，应按照专用合同条款约定承担违约责任。</w:t>
      </w:r>
    </w:p>
    <w:p w14:paraId="6328D52B">
      <w:pPr>
        <w:pStyle w:val="6"/>
        <w:spacing w:before="159"/>
        <w:rPr>
          <w:rFonts w:ascii="黑体" w:hAnsi="黑体" w:eastAsia="黑体" w:cs="宋体"/>
          <w:color w:val="auto"/>
          <w:szCs w:val="20"/>
          <w:highlight w:val="none"/>
        </w:rPr>
      </w:pPr>
      <w:bookmarkStart w:id="1818" w:name="_Toc22715_WPSOffice_Level2"/>
      <w:bookmarkStart w:id="1819" w:name="_Toc300835069"/>
      <w:bookmarkStart w:id="1820" w:name="_Toc247527672"/>
      <w:bookmarkStart w:id="1821" w:name="_Toc519085414"/>
      <w:bookmarkStart w:id="1822" w:name="_Toc16687"/>
      <w:bookmarkStart w:id="1823" w:name="_Toc22695"/>
      <w:bookmarkStart w:id="1824" w:name="_Toc247514071"/>
      <w:bookmarkStart w:id="1825" w:name="_Toc21466"/>
      <w:r>
        <w:rPr>
          <w:rFonts w:ascii="黑体" w:hAnsi="黑体" w:eastAsia="黑体" w:cs="宋体"/>
          <w:color w:val="auto"/>
          <w:szCs w:val="20"/>
          <w:highlight w:val="none"/>
        </w:rPr>
        <w:t>4.7 撤换承包人项目负责人和其他人员</w:t>
      </w:r>
      <w:bookmarkEnd w:id="1818"/>
      <w:bookmarkEnd w:id="1819"/>
      <w:bookmarkEnd w:id="1820"/>
      <w:bookmarkEnd w:id="1821"/>
      <w:bookmarkEnd w:id="1822"/>
      <w:bookmarkEnd w:id="1823"/>
      <w:bookmarkEnd w:id="1824"/>
      <w:bookmarkEnd w:id="1825"/>
    </w:p>
    <w:p w14:paraId="2271BDC1">
      <w:pPr>
        <w:spacing w:line="360" w:lineRule="auto"/>
        <w:ind w:firstLine="420" w:firstLineChars="200"/>
        <w:rPr>
          <w:color w:val="auto"/>
          <w:szCs w:val="21"/>
          <w:highlight w:val="none"/>
        </w:rPr>
      </w:pPr>
      <w:r>
        <w:rPr>
          <w:rFonts w:hAnsi="宋体"/>
          <w:color w:val="auto"/>
          <w:szCs w:val="21"/>
          <w:highlight w:val="none"/>
        </w:rPr>
        <w:t>承包人应对其项目负责人和其他人员进行有效管理。监理人要求撤换不能胜任本职工作、行为不端或玩忽职守的承包人项目负责人和其他人员的，承包人应予以撤换。</w:t>
      </w:r>
    </w:p>
    <w:p w14:paraId="76E2C983">
      <w:pPr>
        <w:pStyle w:val="6"/>
        <w:spacing w:before="159"/>
        <w:rPr>
          <w:rFonts w:ascii="黑体" w:hAnsi="黑体" w:eastAsia="黑体" w:cs="宋体"/>
          <w:color w:val="auto"/>
          <w:szCs w:val="20"/>
          <w:highlight w:val="none"/>
        </w:rPr>
      </w:pPr>
      <w:bookmarkStart w:id="1826" w:name="_Toc23335"/>
      <w:bookmarkStart w:id="1827" w:name="_Toc19428_WPSOffice_Level2"/>
      <w:bookmarkStart w:id="1828" w:name="_Toc247514072"/>
      <w:bookmarkStart w:id="1829" w:name="_Toc519085415"/>
      <w:bookmarkStart w:id="1830" w:name="_Toc247527673"/>
      <w:bookmarkStart w:id="1831" w:name="_Toc10412"/>
      <w:bookmarkStart w:id="1832" w:name="_Toc9684"/>
      <w:bookmarkStart w:id="1833" w:name="_Toc300835070"/>
      <w:r>
        <w:rPr>
          <w:rFonts w:ascii="黑体" w:hAnsi="黑体" w:eastAsia="黑体" w:cs="宋体"/>
          <w:color w:val="auto"/>
          <w:szCs w:val="20"/>
          <w:highlight w:val="none"/>
        </w:rPr>
        <w:t>4.8 保障承包人人员的合法权益</w:t>
      </w:r>
      <w:bookmarkEnd w:id="1826"/>
      <w:bookmarkEnd w:id="1827"/>
      <w:bookmarkEnd w:id="1828"/>
      <w:bookmarkEnd w:id="1829"/>
      <w:bookmarkEnd w:id="1830"/>
      <w:bookmarkEnd w:id="1831"/>
      <w:bookmarkEnd w:id="1832"/>
      <w:bookmarkEnd w:id="1833"/>
    </w:p>
    <w:p w14:paraId="752CC144">
      <w:pPr>
        <w:spacing w:line="360" w:lineRule="auto"/>
        <w:ind w:firstLine="420" w:firstLineChars="200"/>
        <w:rPr>
          <w:color w:val="auto"/>
          <w:szCs w:val="21"/>
          <w:highlight w:val="none"/>
        </w:rPr>
      </w:pPr>
      <w:r>
        <w:rPr>
          <w:color w:val="auto"/>
          <w:highlight w:val="none"/>
        </w:rPr>
        <w:t>4.8.1</w:t>
      </w:r>
      <w:r>
        <w:rPr>
          <w:color w:val="auto"/>
          <w:szCs w:val="21"/>
          <w:highlight w:val="none"/>
        </w:rPr>
        <w:t xml:space="preserve"> </w:t>
      </w:r>
      <w:r>
        <w:rPr>
          <w:rFonts w:hAnsi="宋体"/>
          <w:color w:val="auto"/>
          <w:szCs w:val="21"/>
          <w:highlight w:val="none"/>
        </w:rPr>
        <w:t>承包人应与其雇佣的人员签订劳动合同，并按时发放工资。</w:t>
      </w:r>
    </w:p>
    <w:p w14:paraId="46C4E399">
      <w:pPr>
        <w:spacing w:line="360" w:lineRule="auto"/>
        <w:ind w:firstLine="420" w:firstLineChars="200"/>
        <w:rPr>
          <w:color w:val="auto"/>
          <w:szCs w:val="21"/>
          <w:highlight w:val="none"/>
        </w:rPr>
      </w:pPr>
      <w:r>
        <w:rPr>
          <w:color w:val="auto"/>
          <w:highlight w:val="none"/>
        </w:rPr>
        <w:t>4.8.2</w:t>
      </w:r>
      <w:r>
        <w:rPr>
          <w:color w:val="auto"/>
          <w:szCs w:val="21"/>
          <w:highlight w:val="none"/>
        </w:rPr>
        <w:t xml:space="preserve"> </w:t>
      </w:r>
      <w:r>
        <w:rPr>
          <w:rFonts w:hAnsi="宋体"/>
          <w:color w:val="auto"/>
          <w:szCs w:val="21"/>
          <w:highlight w:val="none"/>
        </w:rPr>
        <w:t>承包人应按劳动法的规定安排工作时间，保证其雇佣人员享有休息和休假的权利。因设计、施工的特殊需要占用休假日或延长工作时间的，应不超过法律规定的限度，并按法律规定给予补休或付酬。</w:t>
      </w:r>
    </w:p>
    <w:p w14:paraId="097A4519">
      <w:pPr>
        <w:spacing w:line="360" w:lineRule="auto"/>
        <w:ind w:firstLine="420" w:firstLineChars="200"/>
        <w:rPr>
          <w:color w:val="auto"/>
          <w:szCs w:val="21"/>
          <w:highlight w:val="none"/>
        </w:rPr>
      </w:pPr>
      <w:r>
        <w:rPr>
          <w:color w:val="auto"/>
          <w:highlight w:val="none"/>
        </w:rPr>
        <w:t>4.8.3</w:t>
      </w:r>
      <w:r>
        <w:rPr>
          <w:color w:val="auto"/>
          <w:szCs w:val="21"/>
          <w:highlight w:val="none"/>
        </w:rPr>
        <w:t xml:space="preserve"> </w:t>
      </w:r>
      <w:r>
        <w:rPr>
          <w:rFonts w:hAnsi="宋体"/>
          <w:color w:val="auto"/>
          <w:szCs w:val="21"/>
          <w:highlight w:val="none"/>
        </w:rPr>
        <w:t>承包人应为其雇佣人员提供必要的食宿条件，以及符合环境保护和卫生要求的生活环境，在远离城镇的施工场地，还应配备必要的伤病防治和急救的医务人员与医疗设施。</w:t>
      </w:r>
    </w:p>
    <w:p w14:paraId="3A94CA1D">
      <w:pPr>
        <w:spacing w:line="360" w:lineRule="auto"/>
        <w:ind w:firstLine="420" w:firstLineChars="200"/>
        <w:rPr>
          <w:color w:val="auto"/>
          <w:szCs w:val="21"/>
          <w:highlight w:val="none"/>
        </w:rPr>
      </w:pPr>
      <w:r>
        <w:rPr>
          <w:color w:val="auto"/>
          <w:highlight w:val="none"/>
        </w:rPr>
        <w:t>4.8.4</w:t>
      </w:r>
      <w:r>
        <w:rPr>
          <w:color w:val="auto"/>
          <w:szCs w:val="21"/>
          <w:highlight w:val="none"/>
        </w:rPr>
        <w:t xml:space="preserve"> </w:t>
      </w:r>
      <w:r>
        <w:rPr>
          <w:rFonts w:hAnsi="宋体"/>
          <w:color w:val="auto"/>
          <w:szCs w:val="21"/>
          <w:highlight w:val="none"/>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70BF48CD">
      <w:pPr>
        <w:spacing w:line="360" w:lineRule="auto"/>
        <w:ind w:firstLine="420" w:firstLineChars="200"/>
        <w:rPr>
          <w:color w:val="auto"/>
          <w:szCs w:val="21"/>
          <w:highlight w:val="none"/>
        </w:rPr>
      </w:pPr>
      <w:r>
        <w:rPr>
          <w:color w:val="auto"/>
          <w:highlight w:val="none"/>
        </w:rPr>
        <w:t>4.8.5</w:t>
      </w:r>
      <w:r>
        <w:rPr>
          <w:color w:val="auto"/>
          <w:szCs w:val="21"/>
          <w:highlight w:val="none"/>
        </w:rPr>
        <w:t xml:space="preserve"> </w:t>
      </w:r>
      <w:r>
        <w:rPr>
          <w:rFonts w:hAnsi="宋体"/>
          <w:color w:val="auto"/>
          <w:szCs w:val="21"/>
          <w:highlight w:val="none"/>
        </w:rPr>
        <w:t>承包人应按有关法律规定和合同约定，为其雇佣人员办理保险。</w:t>
      </w:r>
    </w:p>
    <w:p w14:paraId="2A6D1DA4">
      <w:pPr>
        <w:spacing w:line="360" w:lineRule="auto"/>
        <w:ind w:firstLine="420" w:firstLineChars="200"/>
        <w:rPr>
          <w:color w:val="auto"/>
          <w:szCs w:val="21"/>
          <w:highlight w:val="none"/>
        </w:rPr>
      </w:pPr>
      <w:r>
        <w:rPr>
          <w:color w:val="auto"/>
          <w:highlight w:val="none"/>
        </w:rPr>
        <w:t>4.8.6</w:t>
      </w:r>
      <w:r>
        <w:rPr>
          <w:color w:val="auto"/>
          <w:szCs w:val="21"/>
          <w:highlight w:val="none"/>
        </w:rPr>
        <w:t xml:space="preserve"> </w:t>
      </w:r>
      <w:r>
        <w:rPr>
          <w:rFonts w:hAnsi="宋体"/>
          <w:color w:val="auto"/>
          <w:szCs w:val="21"/>
          <w:highlight w:val="none"/>
        </w:rPr>
        <w:t>承包人应负责处理其雇佣人员因工伤亡事故的善后事宜。</w:t>
      </w:r>
    </w:p>
    <w:p w14:paraId="624EE2A8">
      <w:pPr>
        <w:pStyle w:val="6"/>
        <w:spacing w:before="159"/>
        <w:rPr>
          <w:rFonts w:ascii="黑体" w:hAnsi="黑体" w:eastAsia="黑体" w:cs="宋体"/>
          <w:color w:val="auto"/>
          <w:szCs w:val="20"/>
          <w:highlight w:val="none"/>
        </w:rPr>
      </w:pPr>
      <w:bookmarkStart w:id="1834" w:name="_Toc17630_WPSOffice_Level2"/>
      <w:bookmarkStart w:id="1835" w:name="_Toc247514073"/>
      <w:bookmarkStart w:id="1836" w:name="_Toc31097"/>
      <w:bookmarkStart w:id="1837" w:name="_Toc519085416"/>
      <w:bookmarkStart w:id="1838" w:name="_Toc247527674"/>
      <w:bookmarkStart w:id="1839" w:name="_Toc9915"/>
      <w:bookmarkStart w:id="1840" w:name="_Toc12026"/>
      <w:bookmarkStart w:id="1841" w:name="_Toc300835071"/>
      <w:r>
        <w:rPr>
          <w:rFonts w:ascii="黑体" w:hAnsi="黑体" w:eastAsia="黑体" w:cs="宋体"/>
          <w:color w:val="auto"/>
          <w:szCs w:val="20"/>
          <w:highlight w:val="none"/>
        </w:rPr>
        <w:t>4.9 工程价款应专款专用</w:t>
      </w:r>
      <w:bookmarkEnd w:id="1834"/>
      <w:bookmarkEnd w:id="1835"/>
      <w:bookmarkEnd w:id="1836"/>
      <w:bookmarkEnd w:id="1837"/>
      <w:bookmarkEnd w:id="1838"/>
      <w:bookmarkEnd w:id="1839"/>
      <w:bookmarkEnd w:id="1840"/>
      <w:bookmarkEnd w:id="1841"/>
    </w:p>
    <w:p w14:paraId="72B6309D">
      <w:pPr>
        <w:spacing w:line="360" w:lineRule="auto"/>
        <w:ind w:firstLine="420" w:firstLineChars="200"/>
        <w:rPr>
          <w:color w:val="auto"/>
          <w:szCs w:val="21"/>
          <w:highlight w:val="none"/>
        </w:rPr>
      </w:pPr>
      <w:r>
        <w:rPr>
          <w:rFonts w:hAnsi="宋体"/>
          <w:color w:val="auto"/>
          <w:szCs w:val="21"/>
          <w:highlight w:val="none"/>
        </w:rPr>
        <w:t>发包人按合同约定支付给承包人的各项价款应专用于合同工作。</w:t>
      </w:r>
    </w:p>
    <w:p w14:paraId="210E294D">
      <w:pPr>
        <w:pStyle w:val="6"/>
        <w:spacing w:before="159"/>
        <w:rPr>
          <w:rFonts w:ascii="黑体" w:hAnsi="黑体" w:eastAsia="黑体" w:cs="宋体"/>
          <w:color w:val="auto"/>
          <w:szCs w:val="20"/>
          <w:highlight w:val="none"/>
        </w:rPr>
      </w:pPr>
      <w:bookmarkStart w:id="1842" w:name="_Toc7618_WPSOffice_Level2"/>
      <w:bookmarkStart w:id="1843" w:name="_Toc247514074"/>
      <w:bookmarkStart w:id="1844" w:name="_Toc247527675"/>
      <w:bookmarkStart w:id="1845" w:name="_Toc300835072"/>
      <w:bookmarkStart w:id="1846" w:name="_Toc4851"/>
      <w:bookmarkStart w:id="1847" w:name="_Toc519085417"/>
      <w:bookmarkStart w:id="1848" w:name="_Toc30451"/>
      <w:bookmarkStart w:id="1849" w:name="_Toc10810"/>
      <w:r>
        <w:rPr>
          <w:rFonts w:ascii="黑体" w:hAnsi="黑体" w:eastAsia="黑体" w:cs="宋体"/>
          <w:color w:val="auto"/>
          <w:szCs w:val="20"/>
          <w:highlight w:val="none"/>
        </w:rPr>
        <w:t>4.10 承包人现场查勘</w:t>
      </w:r>
      <w:bookmarkEnd w:id="1842"/>
      <w:bookmarkEnd w:id="1843"/>
      <w:bookmarkEnd w:id="1844"/>
      <w:bookmarkEnd w:id="1845"/>
      <w:bookmarkEnd w:id="1846"/>
      <w:bookmarkEnd w:id="1847"/>
      <w:bookmarkEnd w:id="1848"/>
      <w:bookmarkEnd w:id="1849"/>
    </w:p>
    <w:p w14:paraId="1F2F1603">
      <w:pPr>
        <w:spacing w:line="360" w:lineRule="auto"/>
        <w:ind w:firstLine="420" w:firstLineChars="200"/>
        <w:rPr>
          <w:color w:val="auto"/>
          <w:szCs w:val="21"/>
          <w:highlight w:val="none"/>
        </w:rPr>
      </w:pPr>
      <w:r>
        <w:rPr>
          <w:color w:val="auto"/>
          <w:highlight w:val="none"/>
        </w:rPr>
        <w:t xml:space="preserve">4.10.1 </w:t>
      </w:r>
      <w:r>
        <w:rPr>
          <w:rFonts w:hAnsi="宋体"/>
          <w:color w:val="auto"/>
          <w:szCs w:val="21"/>
          <w:highlight w:val="none"/>
        </w:rPr>
        <w:t>发包人应向承包人提供施工场地及毗邻区域内的供水、排水、供电、供气、供热、通信、广播电视等地下管线资料、气象和水文观测资料，相邻建筑物和构筑物、地下工程的有关资料，以及其他与建设工程有关的原始资料，并承担原始资料错误造成的全部责任，但承包人应对其阅读上述有关资料后所作出的解释和推断负责。</w:t>
      </w:r>
    </w:p>
    <w:p w14:paraId="2BC794B5">
      <w:pPr>
        <w:spacing w:line="360" w:lineRule="auto"/>
        <w:ind w:firstLine="420" w:firstLineChars="200"/>
        <w:rPr>
          <w:color w:val="auto"/>
          <w:szCs w:val="21"/>
          <w:highlight w:val="none"/>
        </w:rPr>
      </w:pPr>
      <w:r>
        <w:rPr>
          <w:color w:val="auto"/>
          <w:highlight w:val="none"/>
        </w:rPr>
        <w:t>4.10.2</w:t>
      </w:r>
      <w:r>
        <w:rPr>
          <w:color w:val="auto"/>
          <w:szCs w:val="21"/>
          <w:highlight w:val="none"/>
        </w:rPr>
        <w:t xml:space="preserve"> </w:t>
      </w:r>
      <w:r>
        <w:rPr>
          <w:rFonts w:hAnsi="宋体"/>
          <w:color w:val="auto"/>
          <w:szCs w:val="21"/>
          <w:highlight w:val="none"/>
        </w:rPr>
        <w:t>承包人应对施工场地和周围环境进行查勘，并收集除发包人提供外为完成合同工作有关的当地资料。在全部合同工作中，视为承包人已充分估计了应承担的责任和风险。</w:t>
      </w:r>
    </w:p>
    <w:p w14:paraId="71E6C065">
      <w:pPr>
        <w:pStyle w:val="6"/>
        <w:spacing w:before="159"/>
        <w:rPr>
          <w:rFonts w:ascii="黑体" w:hAnsi="黑体" w:eastAsia="黑体" w:cs="宋体"/>
          <w:color w:val="auto"/>
          <w:szCs w:val="20"/>
          <w:highlight w:val="none"/>
        </w:rPr>
      </w:pPr>
      <w:bookmarkStart w:id="1850" w:name="_Toc247527676"/>
      <w:bookmarkStart w:id="1851" w:name="_Toc247514075"/>
      <w:bookmarkStart w:id="1852" w:name="_Toc519085418"/>
      <w:bookmarkStart w:id="1853" w:name="_Toc300835073"/>
      <w:bookmarkStart w:id="1854" w:name="_Toc24022"/>
      <w:bookmarkStart w:id="1855" w:name="_Toc30865"/>
      <w:bookmarkStart w:id="1856" w:name="_Toc18657"/>
      <w:bookmarkStart w:id="1857" w:name="_Toc22035_WPSOffice_Level2"/>
      <w:r>
        <w:rPr>
          <w:rFonts w:ascii="黑体" w:hAnsi="黑体" w:eastAsia="黑体" w:cs="宋体"/>
          <w:color w:val="auto"/>
          <w:szCs w:val="20"/>
          <w:highlight w:val="none"/>
        </w:rPr>
        <w:t xml:space="preserve">4.11 </w:t>
      </w:r>
      <w:bookmarkEnd w:id="1850"/>
      <w:bookmarkEnd w:id="1851"/>
      <w:r>
        <w:rPr>
          <w:rFonts w:ascii="黑体" w:hAnsi="黑体" w:eastAsia="黑体" w:cs="宋体"/>
          <w:color w:val="auto"/>
          <w:szCs w:val="20"/>
          <w:highlight w:val="none"/>
        </w:rPr>
        <w:t>不可预见物质条件（A）</w:t>
      </w:r>
      <w:bookmarkEnd w:id="1852"/>
      <w:bookmarkEnd w:id="1853"/>
      <w:bookmarkEnd w:id="1854"/>
      <w:bookmarkEnd w:id="1855"/>
      <w:bookmarkEnd w:id="1856"/>
      <w:bookmarkEnd w:id="1857"/>
    </w:p>
    <w:p w14:paraId="4ECAEF09">
      <w:pPr>
        <w:spacing w:line="360" w:lineRule="auto"/>
        <w:ind w:firstLine="420" w:firstLineChars="200"/>
        <w:rPr>
          <w:color w:val="auto"/>
          <w:szCs w:val="21"/>
          <w:highlight w:val="none"/>
        </w:rPr>
      </w:pPr>
      <w:r>
        <w:rPr>
          <w:color w:val="auto"/>
          <w:highlight w:val="none"/>
        </w:rPr>
        <w:t>4.11.1</w:t>
      </w:r>
      <w:r>
        <w:rPr>
          <w:color w:val="auto"/>
          <w:szCs w:val="21"/>
          <w:highlight w:val="none"/>
        </w:rPr>
        <w:t xml:space="preserve"> </w:t>
      </w:r>
      <w:r>
        <w:rPr>
          <w:rFonts w:hAnsi="宋体"/>
          <w:color w:val="auto"/>
          <w:szCs w:val="21"/>
          <w:highlight w:val="none"/>
        </w:rPr>
        <w:t>不可预见物质条件，除专用合同条款另有约定外，是指承包人在施工场地遇到的不可预见的自然物质条件、非自然的物质障碍和污染物，包括地下和水文条件，但不包括气候条件。</w:t>
      </w:r>
    </w:p>
    <w:p w14:paraId="221D7FC4">
      <w:pPr>
        <w:spacing w:line="360" w:lineRule="auto"/>
        <w:ind w:firstLine="420" w:firstLineChars="200"/>
        <w:rPr>
          <w:color w:val="auto"/>
          <w:szCs w:val="21"/>
          <w:highlight w:val="none"/>
        </w:rPr>
      </w:pPr>
      <w:r>
        <w:rPr>
          <w:color w:val="auto"/>
          <w:highlight w:val="none"/>
        </w:rPr>
        <w:t>4.11.2</w:t>
      </w:r>
      <w:r>
        <w:rPr>
          <w:color w:val="auto"/>
          <w:szCs w:val="21"/>
          <w:highlight w:val="none"/>
        </w:rPr>
        <w:t xml:space="preserve"> </w:t>
      </w:r>
      <w:r>
        <w:rPr>
          <w:rFonts w:hAnsi="宋体"/>
          <w:color w:val="auto"/>
          <w:szCs w:val="21"/>
          <w:highlight w:val="none"/>
        </w:rPr>
        <w:t>承包人遇到不可预见物质条件时，应采取适应不利物质条件的合理措施继续设计和（或）施工，并及时通知监理人，通知应载明不利物质条件的内容以及承包人认为不可预见的理由。监理人应当及时发出指示，指示构成变更的，按第</w:t>
      </w:r>
      <w:r>
        <w:rPr>
          <w:color w:val="auto"/>
          <w:szCs w:val="21"/>
          <w:highlight w:val="none"/>
        </w:rPr>
        <w:t>15</w:t>
      </w:r>
      <w:r>
        <w:rPr>
          <w:rFonts w:hAnsi="宋体"/>
          <w:color w:val="auto"/>
          <w:szCs w:val="21"/>
          <w:highlight w:val="none"/>
        </w:rPr>
        <w:t>条约定执行。监理人没有发出指示的，承包人因采取合理措施而增加的费用和（或）工期延误，由发包人承担。</w:t>
      </w:r>
    </w:p>
    <w:p w14:paraId="21212CA7">
      <w:pPr>
        <w:pStyle w:val="6"/>
        <w:spacing w:before="159"/>
        <w:rPr>
          <w:rFonts w:ascii="黑体" w:hAnsi="黑体" w:eastAsia="黑体" w:cs="宋体"/>
          <w:color w:val="auto"/>
          <w:szCs w:val="20"/>
          <w:highlight w:val="none"/>
        </w:rPr>
      </w:pPr>
      <w:bookmarkStart w:id="1858" w:name="_Toc265955416"/>
      <w:bookmarkStart w:id="1859" w:name="_Toc247705004"/>
      <w:bookmarkStart w:id="1860" w:name="_Toc184"/>
      <w:bookmarkStart w:id="1861" w:name="_Toc15973"/>
      <w:bookmarkStart w:id="1862" w:name="_Toc519085419"/>
      <w:bookmarkStart w:id="1863" w:name="_Toc300835074"/>
      <w:bookmarkStart w:id="1864" w:name="_Toc16645"/>
      <w:r>
        <w:rPr>
          <w:rFonts w:ascii="黑体" w:hAnsi="黑体" w:eastAsia="黑体" w:cs="宋体"/>
          <w:color w:val="auto"/>
          <w:szCs w:val="20"/>
          <w:highlight w:val="none"/>
        </w:rPr>
        <w:t>4.11 不可预见的困难和费用</w:t>
      </w:r>
      <w:bookmarkEnd w:id="1858"/>
      <w:bookmarkEnd w:id="1859"/>
      <w:r>
        <w:rPr>
          <w:rFonts w:ascii="黑体" w:hAnsi="黑体" w:eastAsia="黑体" w:cs="宋体"/>
          <w:color w:val="auto"/>
          <w:szCs w:val="20"/>
          <w:highlight w:val="none"/>
        </w:rPr>
        <w:t>（B）</w:t>
      </w:r>
      <w:bookmarkEnd w:id="1860"/>
      <w:bookmarkEnd w:id="1861"/>
      <w:bookmarkEnd w:id="1862"/>
      <w:bookmarkEnd w:id="1863"/>
      <w:bookmarkEnd w:id="1864"/>
    </w:p>
    <w:p w14:paraId="1FD9B9D2">
      <w:pPr>
        <w:spacing w:line="360" w:lineRule="auto"/>
        <w:ind w:firstLine="420" w:firstLineChars="200"/>
        <w:rPr>
          <w:color w:val="auto"/>
          <w:szCs w:val="21"/>
          <w:highlight w:val="none"/>
        </w:rPr>
      </w:pPr>
      <w:r>
        <w:rPr>
          <w:rFonts w:hAnsi="宋体"/>
          <w:color w:val="auto"/>
          <w:szCs w:val="21"/>
          <w:highlight w:val="none"/>
        </w:rPr>
        <w:t>除合同另有约定外，承包人应视为已取得工程有关风险、意外事件和其他情况的全部必要资料，并预见工程所有困难和费用。承包人遇到不可预见的困难和费用时，合同价格不予调整。</w:t>
      </w:r>
    </w:p>
    <w:p w14:paraId="7F246761">
      <w:pPr>
        <w:pStyle w:val="6"/>
        <w:spacing w:before="159"/>
        <w:rPr>
          <w:rFonts w:ascii="黑体" w:hAnsi="黑体" w:eastAsia="黑体" w:cs="宋体"/>
          <w:color w:val="auto"/>
          <w:szCs w:val="20"/>
          <w:highlight w:val="none"/>
        </w:rPr>
      </w:pPr>
      <w:bookmarkStart w:id="1865" w:name="_Toc519085420"/>
      <w:bookmarkStart w:id="1866" w:name="_Toc11716"/>
      <w:bookmarkStart w:id="1867" w:name="_Toc901"/>
      <w:bookmarkStart w:id="1868" w:name="_Toc13419"/>
      <w:bookmarkStart w:id="1869" w:name="_Toc300835075"/>
      <w:r>
        <w:rPr>
          <w:rFonts w:ascii="黑体" w:hAnsi="黑体" w:eastAsia="黑体" w:cs="宋体"/>
          <w:color w:val="auto"/>
          <w:szCs w:val="20"/>
          <w:highlight w:val="none"/>
        </w:rPr>
        <w:t>4.12 进度计划</w:t>
      </w:r>
      <w:bookmarkEnd w:id="1865"/>
      <w:bookmarkEnd w:id="1866"/>
      <w:bookmarkEnd w:id="1867"/>
      <w:bookmarkEnd w:id="1868"/>
      <w:bookmarkEnd w:id="1869"/>
    </w:p>
    <w:p w14:paraId="6FE888BC">
      <w:pPr>
        <w:spacing w:line="360" w:lineRule="auto"/>
        <w:ind w:firstLine="420" w:firstLineChars="200"/>
        <w:rPr>
          <w:color w:val="auto"/>
          <w:szCs w:val="21"/>
          <w:highlight w:val="none"/>
        </w:rPr>
      </w:pPr>
      <w:r>
        <w:rPr>
          <w:color w:val="auto"/>
          <w:highlight w:val="none"/>
        </w:rPr>
        <w:t>4.12.1</w:t>
      </w:r>
      <w:r>
        <w:rPr>
          <w:color w:val="auto"/>
          <w:szCs w:val="21"/>
          <w:highlight w:val="none"/>
        </w:rPr>
        <w:t xml:space="preserve"> </w:t>
      </w:r>
      <w:r>
        <w:rPr>
          <w:rFonts w:hAnsi="宋体"/>
          <w:color w:val="auto"/>
          <w:szCs w:val="21"/>
          <w:highlight w:val="none"/>
        </w:rPr>
        <w:t>合同进度计划</w:t>
      </w:r>
    </w:p>
    <w:p w14:paraId="6C152C8C">
      <w:pPr>
        <w:spacing w:line="360" w:lineRule="auto"/>
        <w:ind w:firstLine="420" w:firstLineChars="200"/>
        <w:rPr>
          <w:color w:val="auto"/>
          <w:szCs w:val="21"/>
          <w:highlight w:val="none"/>
        </w:rPr>
      </w:pPr>
      <w:r>
        <w:rPr>
          <w:rFonts w:hAnsi="宋体"/>
          <w:color w:val="auto"/>
          <w:szCs w:val="21"/>
          <w:highlight w:val="none"/>
        </w:rPr>
        <w:t>承包人应按合同约定的内容和期限，编制详细的进度计划，包括设计、承包人文件提交、采购、制造、检验、运达现场、施工、安装、试验的各个阶段的预期时间以及设计和施工组织方案说明等报送监理人。监理人应在专用合同条款约定的期限内批复或提出修改意见，否则该进度计划视为已得到批准。经监理人批准的进度计划称合同进度计划，是控制合同工程进度的依据。承包人还应根据合同进度计划，编制更为详细的分阶段或分项进度计划，报监理人批准。</w:t>
      </w:r>
    </w:p>
    <w:p w14:paraId="2FBC67CB">
      <w:pPr>
        <w:spacing w:line="360" w:lineRule="auto"/>
        <w:ind w:firstLine="420" w:firstLineChars="200"/>
        <w:rPr>
          <w:color w:val="auto"/>
          <w:highlight w:val="none"/>
        </w:rPr>
      </w:pPr>
      <w:r>
        <w:rPr>
          <w:color w:val="auto"/>
          <w:highlight w:val="none"/>
        </w:rPr>
        <w:t xml:space="preserve">4.12.2 </w:t>
      </w:r>
      <w:r>
        <w:rPr>
          <w:rFonts w:hAnsi="宋体"/>
          <w:color w:val="auto"/>
          <w:highlight w:val="none"/>
        </w:rPr>
        <w:t>合同进度计划的修订</w:t>
      </w:r>
    </w:p>
    <w:p w14:paraId="44B62DC1">
      <w:pPr>
        <w:spacing w:line="360" w:lineRule="auto"/>
        <w:ind w:firstLine="420" w:firstLineChars="200"/>
        <w:rPr>
          <w:color w:val="auto"/>
          <w:szCs w:val="21"/>
          <w:highlight w:val="none"/>
        </w:rPr>
      </w:pPr>
      <w:r>
        <w:rPr>
          <w:rFonts w:hAnsi="宋体"/>
          <w:color w:val="auto"/>
          <w:szCs w:val="21"/>
          <w:highlight w:val="none"/>
        </w:rPr>
        <w:t>不论何种原因造成工程的实际进度与第</w:t>
      </w:r>
      <w:r>
        <w:rPr>
          <w:color w:val="auto"/>
          <w:szCs w:val="21"/>
          <w:highlight w:val="none"/>
        </w:rPr>
        <w:t>4.12.1</w:t>
      </w:r>
      <w:r>
        <w:rPr>
          <w:rFonts w:hAnsi="宋体"/>
          <w:color w:val="auto"/>
          <w:szCs w:val="21"/>
          <w:highlight w:val="none"/>
        </w:rPr>
        <w:t>项的合同进度计划不符时，承包人可以在专用合同条款约定的期限内向监理人提交修订合同进度计划的申请报告，并附有关措施和相关资料，报监理人批准；监理人也可以直接向承包人作出修订合同进度计划的指示，承包人应按该指示修订合同进度计划，报监理人批准。监理人应在专用合同条款约定的期限内批复。监理人在批复前应获得发包人同意。</w:t>
      </w:r>
    </w:p>
    <w:p w14:paraId="590891C1">
      <w:pPr>
        <w:pStyle w:val="6"/>
        <w:spacing w:before="159"/>
        <w:rPr>
          <w:rFonts w:ascii="黑体" w:hAnsi="黑体" w:eastAsia="黑体" w:cs="宋体"/>
          <w:color w:val="auto"/>
          <w:szCs w:val="20"/>
          <w:highlight w:val="none"/>
        </w:rPr>
      </w:pPr>
      <w:bookmarkStart w:id="1870" w:name="_Toc300835076"/>
      <w:bookmarkStart w:id="1871" w:name="_Toc519085421"/>
      <w:bookmarkStart w:id="1872" w:name="_Toc19571"/>
      <w:bookmarkStart w:id="1873" w:name="_Toc16179"/>
      <w:bookmarkStart w:id="1874" w:name="_Toc10601"/>
      <w:r>
        <w:rPr>
          <w:rFonts w:ascii="黑体" w:hAnsi="黑体" w:eastAsia="黑体" w:cs="宋体"/>
          <w:color w:val="auto"/>
          <w:szCs w:val="20"/>
          <w:highlight w:val="none"/>
        </w:rPr>
        <w:t>4.13 质量保证</w:t>
      </w:r>
      <w:bookmarkEnd w:id="1870"/>
      <w:bookmarkEnd w:id="1871"/>
      <w:bookmarkEnd w:id="1872"/>
      <w:bookmarkEnd w:id="1873"/>
      <w:bookmarkEnd w:id="1874"/>
    </w:p>
    <w:p w14:paraId="173E6BD4">
      <w:pPr>
        <w:spacing w:line="360" w:lineRule="auto"/>
        <w:ind w:firstLine="420" w:firstLineChars="200"/>
        <w:rPr>
          <w:color w:val="auto"/>
          <w:szCs w:val="21"/>
          <w:highlight w:val="none"/>
        </w:rPr>
      </w:pPr>
      <w:r>
        <w:rPr>
          <w:color w:val="auto"/>
          <w:highlight w:val="none"/>
        </w:rPr>
        <w:t xml:space="preserve">4.13.1 </w:t>
      </w:r>
      <w:r>
        <w:rPr>
          <w:rFonts w:hAnsi="宋体"/>
          <w:color w:val="auto"/>
          <w:szCs w:val="21"/>
          <w:highlight w:val="none"/>
        </w:rPr>
        <w:t>为保证工程质量，承包人应按照合同要求建立质量保证体系。监理人有权对承包人的质量保证体系进行审查。</w:t>
      </w:r>
    </w:p>
    <w:p w14:paraId="789608FD">
      <w:pPr>
        <w:spacing w:line="360" w:lineRule="auto"/>
        <w:ind w:firstLine="420" w:firstLineChars="200"/>
        <w:rPr>
          <w:color w:val="auto"/>
          <w:szCs w:val="21"/>
          <w:highlight w:val="none"/>
        </w:rPr>
      </w:pPr>
      <w:r>
        <w:rPr>
          <w:color w:val="auto"/>
          <w:highlight w:val="none"/>
        </w:rPr>
        <w:t xml:space="preserve">4.13.2 </w:t>
      </w:r>
      <w:r>
        <w:rPr>
          <w:rFonts w:hAnsi="宋体"/>
          <w:color w:val="auto"/>
          <w:szCs w:val="21"/>
          <w:highlight w:val="none"/>
        </w:rPr>
        <w:t>承包人应在各设计和实施阶段开始前，向监理人提交其具体的质量保证细则和工作程序。</w:t>
      </w:r>
    </w:p>
    <w:p w14:paraId="125C9882">
      <w:pPr>
        <w:spacing w:line="360" w:lineRule="auto"/>
        <w:ind w:firstLine="420" w:firstLineChars="200"/>
        <w:rPr>
          <w:color w:val="auto"/>
          <w:szCs w:val="21"/>
          <w:highlight w:val="none"/>
        </w:rPr>
      </w:pPr>
      <w:r>
        <w:rPr>
          <w:color w:val="auto"/>
          <w:highlight w:val="none"/>
        </w:rPr>
        <w:t xml:space="preserve">4.13.3 </w:t>
      </w:r>
      <w:r>
        <w:rPr>
          <w:rFonts w:hAnsi="宋体"/>
          <w:color w:val="auto"/>
          <w:szCs w:val="21"/>
          <w:highlight w:val="none"/>
        </w:rPr>
        <w:t>遵守质量保证体系，不应免除合同约定的承包人的义务和责任。</w:t>
      </w:r>
    </w:p>
    <w:p w14:paraId="51DDCBD1">
      <w:pPr>
        <w:pStyle w:val="5"/>
        <w:spacing w:before="159"/>
        <w:rPr>
          <w:rFonts w:ascii="Times New Roman" w:hAnsi="Times New Roman" w:eastAsia="宋体"/>
          <w:color w:val="auto"/>
          <w:highlight w:val="none"/>
        </w:rPr>
      </w:pPr>
      <w:bookmarkStart w:id="1875" w:name="_Toc1315"/>
      <w:bookmarkStart w:id="1876" w:name="_Toc30934_WPSOffice_Level1"/>
      <w:bookmarkStart w:id="1877" w:name="_Toc519085422"/>
      <w:bookmarkStart w:id="1878" w:name="_Toc687"/>
      <w:bookmarkStart w:id="1879" w:name="_Toc17351"/>
      <w:bookmarkStart w:id="1880" w:name="_Toc15954"/>
      <w:bookmarkStart w:id="1881" w:name="_Toc300835077"/>
      <w:bookmarkStart w:id="1882" w:name="_Toc3482"/>
      <w:r>
        <w:rPr>
          <w:rFonts w:ascii="Times New Roman" w:hAnsi="Times New Roman" w:eastAsia="宋体"/>
          <w:color w:val="auto"/>
          <w:highlight w:val="none"/>
        </w:rPr>
        <w:t xml:space="preserve">5. </w:t>
      </w:r>
      <w:r>
        <w:rPr>
          <w:rStyle w:val="65"/>
          <w:color w:val="auto"/>
          <w:highlight w:val="none"/>
        </w:rPr>
        <w:t>设计</w:t>
      </w:r>
      <w:bookmarkEnd w:id="1875"/>
      <w:bookmarkEnd w:id="1876"/>
      <w:bookmarkEnd w:id="1877"/>
      <w:bookmarkEnd w:id="1878"/>
      <w:bookmarkEnd w:id="1879"/>
      <w:bookmarkEnd w:id="1880"/>
      <w:bookmarkEnd w:id="1881"/>
      <w:bookmarkEnd w:id="1882"/>
    </w:p>
    <w:p w14:paraId="3BE022E1">
      <w:pPr>
        <w:pStyle w:val="6"/>
        <w:spacing w:before="159"/>
        <w:rPr>
          <w:rFonts w:ascii="黑体" w:hAnsi="黑体" w:eastAsia="黑体" w:cs="宋体"/>
          <w:color w:val="auto"/>
          <w:szCs w:val="20"/>
          <w:highlight w:val="none"/>
        </w:rPr>
      </w:pPr>
      <w:bookmarkStart w:id="1883" w:name="_Toc30437"/>
      <w:bookmarkStart w:id="1884" w:name="_Toc12119_WPSOffice_Level2"/>
      <w:bookmarkStart w:id="1885" w:name="_Toc519085423"/>
      <w:bookmarkStart w:id="1886" w:name="_Toc300835078"/>
      <w:bookmarkStart w:id="1887" w:name="_Toc16322"/>
      <w:bookmarkStart w:id="1888" w:name="_Toc24341"/>
      <w:r>
        <w:rPr>
          <w:rFonts w:ascii="黑体" w:hAnsi="黑体" w:eastAsia="黑体" w:cs="宋体"/>
          <w:color w:val="auto"/>
          <w:szCs w:val="20"/>
          <w:highlight w:val="none"/>
        </w:rPr>
        <w:t>5.1 承包人的设计义务</w:t>
      </w:r>
      <w:bookmarkEnd w:id="1883"/>
      <w:bookmarkEnd w:id="1884"/>
      <w:bookmarkEnd w:id="1885"/>
      <w:bookmarkEnd w:id="1886"/>
      <w:bookmarkEnd w:id="1887"/>
      <w:bookmarkEnd w:id="1888"/>
    </w:p>
    <w:p w14:paraId="4C1EC9D5">
      <w:pPr>
        <w:spacing w:line="360" w:lineRule="auto"/>
        <w:ind w:firstLine="420" w:firstLineChars="200"/>
        <w:rPr>
          <w:rFonts w:hAnsi="宋体"/>
          <w:color w:val="auto"/>
          <w:szCs w:val="21"/>
          <w:highlight w:val="none"/>
        </w:rPr>
      </w:pPr>
      <w:r>
        <w:rPr>
          <w:rFonts w:hAnsi="宋体"/>
          <w:color w:val="auto"/>
          <w:szCs w:val="21"/>
          <w:highlight w:val="none"/>
        </w:rPr>
        <w:t>5.1.1 设计义务的一般要求</w:t>
      </w:r>
    </w:p>
    <w:p w14:paraId="3443CA9F">
      <w:pPr>
        <w:spacing w:line="360" w:lineRule="auto"/>
        <w:ind w:firstLine="420" w:firstLineChars="200"/>
        <w:rPr>
          <w:color w:val="auto"/>
          <w:szCs w:val="21"/>
          <w:highlight w:val="none"/>
        </w:rPr>
      </w:pPr>
      <w:r>
        <w:rPr>
          <w:rFonts w:hAnsi="宋体"/>
          <w:color w:val="auto"/>
          <w:szCs w:val="21"/>
          <w:highlight w:val="none"/>
        </w:rPr>
        <w:t>承包人应按照法律规定，以及国家、行业和地方的规范和标准完成设计工作，并符合发包人要求。</w:t>
      </w:r>
    </w:p>
    <w:p w14:paraId="78002CE5">
      <w:pPr>
        <w:spacing w:line="360" w:lineRule="auto"/>
        <w:ind w:firstLine="420" w:firstLineChars="200"/>
        <w:rPr>
          <w:color w:val="auto"/>
          <w:szCs w:val="21"/>
          <w:highlight w:val="none"/>
        </w:rPr>
      </w:pPr>
      <w:r>
        <w:rPr>
          <w:color w:val="auto"/>
          <w:highlight w:val="none"/>
        </w:rPr>
        <w:t>5.1.2</w:t>
      </w:r>
      <w:r>
        <w:rPr>
          <w:color w:val="auto"/>
          <w:szCs w:val="21"/>
          <w:highlight w:val="none"/>
        </w:rPr>
        <w:t xml:space="preserve"> </w:t>
      </w:r>
      <w:r>
        <w:rPr>
          <w:rFonts w:hAnsi="宋体"/>
          <w:color w:val="auto"/>
          <w:szCs w:val="21"/>
          <w:highlight w:val="none"/>
        </w:rPr>
        <w:t>法律和标准的变化</w:t>
      </w:r>
    </w:p>
    <w:p w14:paraId="0313464A">
      <w:pPr>
        <w:spacing w:line="360" w:lineRule="auto"/>
        <w:ind w:firstLine="420" w:firstLineChars="200"/>
        <w:rPr>
          <w:color w:val="auto"/>
          <w:szCs w:val="21"/>
          <w:highlight w:val="none"/>
        </w:rPr>
      </w:pPr>
      <w:r>
        <w:rPr>
          <w:rFonts w:hAnsi="宋体"/>
          <w:color w:val="auto"/>
          <w:szCs w:val="21"/>
          <w:highlight w:val="none"/>
        </w:rPr>
        <w:t>除合同另有约定外，承包人完成设计工作所应遵守的法律规定，以及国家、行业和地方的规范和标准，均应视为在基准日适用的版本。基准日之后，前述版本发生重大变化，或者有新的法律，以及国家、行业和地方的规范和标准实施的，承包人应向发包人或发包人委托的监理人提出遵守新规定的建议。发包人或其委托的监理人应在收到建议后</w:t>
      </w:r>
      <w:r>
        <w:rPr>
          <w:color w:val="auto"/>
          <w:szCs w:val="21"/>
          <w:highlight w:val="none"/>
        </w:rPr>
        <w:t>7</w:t>
      </w:r>
      <w:r>
        <w:rPr>
          <w:rFonts w:hAnsi="宋体"/>
          <w:color w:val="auto"/>
          <w:szCs w:val="21"/>
          <w:highlight w:val="none"/>
        </w:rPr>
        <w:t>天内发出是否遵守新规定的指示。发包人或其委托的监理人指示遵守新规定的，按照第</w:t>
      </w:r>
      <w:r>
        <w:rPr>
          <w:color w:val="auto"/>
          <w:highlight w:val="none"/>
        </w:rPr>
        <w:t>15</w:t>
      </w:r>
      <w:r>
        <w:rPr>
          <w:rFonts w:hAnsi="宋体"/>
          <w:color w:val="auto"/>
          <w:szCs w:val="21"/>
          <w:highlight w:val="none"/>
        </w:rPr>
        <w:t>条或第</w:t>
      </w:r>
      <w:r>
        <w:rPr>
          <w:color w:val="auto"/>
          <w:highlight w:val="none"/>
        </w:rPr>
        <w:t>16.2</w:t>
      </w:r>
      <w:r>
        <w:rPr>
          <w:rFonts w:hAnsi="宋体"/>
          <w:color w:val="auto"/>
          <w:szCs w:val="21"/>
          <w:highlight w:val="none"/>
        </w:rPr>
        <w:t>款约定执行。</w:t>
      </w:r>
    </w:p>
    <w:p w14:paraId="518A36E6">
      <w:pPr>
        <w:pStyle w:val="6"/>
        <w:spacing w:before="159"/>
        <w:rPr>
          <w:rFonts w:ascii="黑体" w:hAnsi="黑体" w:eastAsia="黑体" w:cs="宋体"/>
          <w:color w:val="auto"/>
          <w:szCs w:val="20"/>
          <w:highlight w:val="none"/>
        </w:rPr>
      </w:pPr>
      <w:bookmarkStart w:id="1889" w:name="_Toc20088"/>
      <w:bookmarkStart w:id="1890" w:name="_Toc30208"/>
      <w:bookmarkStart w:id="1891" w:name="_Toc27050_WPSOffice_Level2"/>
      <w:bookmarkStart w:id="1892" w:name="_Toc25726"/>
      <w:bookmarkStart w:id="1893" w:name="_Toc300835079"/>
      <w:bookmarkStart w:id="1894" w:name="_Toc519085424"/>
      <w:r>
        <w:rPr>
          <w:rFonts w:ascii="黑体" w:hAnsi="黑体" w:eastAsia="黑体" w:cs="宋体"/>
          <w:color w:val="auto"/>
          <w:szCs w:val="20"/>
          <w:highlight w:val="none"/>
        </w:rPr>
        <w:t>5.2 承包人设计进度计划</w:t>
      </w:r>
      <w:bookmarkEnd w:id="1889"/>
      <w:bookmarkEnd w:id="1890"/>
      <w:bookmarkEnd w:id="1891"/>
      <w:bookmarkEnd w:id="1892"/>
      <w:bookmarkEnd w:id="1893"/>
      <w:bookmarkEnd w:id="1894"/>
    </w:p>
    <w:p w14:paraId="0DF8FFE0">
      <w:pPr>
        <w:spacing w:line="360" w:lineRule="auto"/>
        <w:ind w:firstLine="420" w:firstLineChars="200"/>
        <w:rPr>
          <w:color w:val="auto"/>
          <w:szCs w:val="21"/>
          <w:highlight w:val="none"/>
        </w:rPr>
      </w:pPr>
      <w:r>
        <w:rPr>
          <w:rFonts w:hAnsi="宋体"/>
          <w:color w:val="auto"/>
          <w:szCs w:val="21"/>
          <w:highlight w:val="none"/>
        </w:rPr>
        <w:t>承包人应按照发包人要求，在合同进度计划中专门列出设计进度计划，报发包人批准后执行。承包人需按照经批准后的计划开展设计工作。</w:t>
      </w:r>
    </w:p>
    <w:p w14:paraId="43719FAA">
      <w:pPr>
        <w:spacing w:line="360" w:lineRule="auto"/>
        <w:ind w:firstLine="420" w:firstLineChars="200"/>
        <w:rPr>
          <w:color w:val="auto"/>
          <w:szCs w:val="21"/>
          <w:highlight w:val="none"/>
        </w:rPr>
      </w:pPr>
      <w:r>
        <w:rPr>
          <w:rFonts w:hAnsi="宋体"/>
          <w:color w:val="auto"/>
          <w:szCs w:val="21"/>
          <w:highlight w:val="none"/>
        </w:rPr>
        <w:t>因承包人原因影响设计进度的，按</w:t>
      </w:r>
      <w:r>
        <w:rPr>
          <w:rFonts w:hAnsi="宋体"/>
          <w:color w:val="auto"/>
          <w:highlight w:val="none"/>
        </w:rPr>
        <w:t>第</w:t>
      </w:r>
      <w:r>
        <w:rPr>
          <w:color w:val="auto"/>
          <w:highlight w:val="none"/>
        </w:rPr>
        <w:t>11.5</w:t>
      </w:r>
      <w:r>
        <w:rPr>
          <w:rFonts w:hAnsi="宋体"/>
          <w:color w:val="auto"/>
          <w:szCs w:val="21"/>
          <w:highlight w:val="none"/>
        </w:rPr>
        <w:t>款的约定执行。因发包人原因影响设计进度的，按第</w:t>
      </w:r>
      <w:r>
        <w:rPr>
          <w:color w:val="auto"/>
          <w:highlight w:val="none"/>
        </w:rPr>
        <w:t>15</w:t>
      </w:r>
      <w:r>
        <w:rPr>
          <w:rFonts w:hAnsi="宋体"/>
          <w:color w:val="auto"/>
          <w:szCs w:val="21"/>
          <w:highlight w:val="none"/>
        </w:rPr>
        <w:t>条变更处理。</w:t>
      </w:r>
    </w:p>
    <w:p w14:paraId="6B9818DF">
      <w:pPr>
        <w:spacing w:line="360" w:lineRule="auto"/>
        <w:ind w:firstLine="420" w:firstLineChars="200"/>
        <w:rPr>
          <w:color w:val="auto"/>
          <w:szCs w:val="21"/>
          <w:highlight w:val="none"/>
        </w:rPr>
      </w:pPr>
      <w:r>
        <w:rPr>
          <w:rFonts w:hAnsi="宋体"/>
          <w:color w:val="auto"/>
          <w:szCs w:val="21"/>
          <w:highlight w:val="none"/>
        </w:rPr>
        <w:t>发包人或其委托的监理人有权要求承包人根据</w:t>
      </w:r>
      <w:r>
        <w:rPr>
          <w:rFonts w:hAnsi="宋体"/>
          <w:color w:val="auto"/>
          <w:highlight w:val="none"/>
        </w:rPr>
        <w:t>第</w:t>
      </w:r>
      <w:r>
        <w:rPr>
          <w:color w:val="auto"/>
          <w:highlight w:val="none"/>
        </w:rPr>
        <w:t>11.5</w:t>
      </w:r>
      <w:r>
        <w:rPr>
          <w:rFonts w:hAnsi="宋体"/>
          <w:color w:val="auto"/>
          <w:szCs w:val="21"/>
          <w:highlight w:val="none"/>
        </w:rPr>
        <w:t>款提交修正的进度计划、增加投入资源并加快设计进度。</w:t>
      </w:r>
    </w:p>
    <w:p w14:paraId="47AD8F3E">
      <w:pPr>
        <w:pStyle w:val="6"/>
        <w:spacing w:before="159"/>
        <w:rPr>
          <w:color w:val="auto"/>
          <w:highlight w:val="none"/>
        </w:rPr>
      </w:pPr>
      <w:bookmarkStart w:id="1895" w:name="_Toc23519"/>
      <w:bookmarkStart w:id="1896" w:name="_Toc519085425"/>
      <w:bookmarkStart w:id="1897" w:name="_Toc2471"/>
      <w:bookmarkStart w:id="1898" w:name="_Toc32368"/>
      <w:bookmarkStart w:id="1899" w:name="_Toc28824"/>
      <w:bookmarkStart w:id="1900" w:name="_Toc12960_WPSOffice_Level2"/>
      <w:bookmarkStart w:id="1901" w:name="_Toc300835080"/>
      <w:bookmarkStart w:id="1902" w:name="_Toc717"/>
      <w:r>
        <w:rPr>
          <w:rStyle w:val="68"/>
          <w:rFonts w:ascii="Times New Roman" w:hAnsi="Times New Roman"/>
          <w:color w:val="auto"/>
          <w:highlight w:val="none"/>
        </w:rPr>
        <w:t>5</w:t>
      </w:r>
      <w:r>
        <w:rPr>
          <w:rStyle w:val="68"/>
          <w:color w:val="auto"/>
          <w:highlight w:val="none"/>
        </w:rPr>
        <w:t>.</w:t>
      </w:r>
      <w:r>
        <w:rPr>
          <w:rStyle w:val="68"/>
          <w:rFonts w:ascii="Times New Roman" w:hAnsi="Times New Roman"/>
          <w:color w:val="auto"/>
          <w:highlight w:val="none"/>
        </w:rPr>
        <w:t>3</w:t>
      </w:r>
      <w:r>
        <w:rPr>
          <w:rStyle w:val="68"/>
          <w:color w:val="auto"/>
          <w:highlight w:val="none"/>
        </w:rPr>
        <w:t xml:space="preserve"> </w:t>
      </w:r>
      <w:r>
        <w:rPr>
          <w:rStyle w:val="79"/>
          <w:color w:val="auto"/>
          <w:highlight w:val="none"/>
        </w:rPr>
        <w:t>设计审查</w:t>
      </w:r>
      <w:bookmarkEnd w:id="1895"/>
      <w:bookmarkEnd w:id="1896"/>
      <w:bookmarkEnd w:id="1897"/>
      <w:bookmarkEnd w:id="1898"/>
      <w:bookmarkEnd w:id="1899"/>
      <w:bookmarkEnd w:id="1900"/>
      <w:bookmarkEnd w:id="1901"/>
      <w:bookmarkEnd w:id="1902"/>
    </w:p>
    <w:p w14:paraId="271B4B5C">
      <w:pPr>
        <w:spacing w:line="360" w:lineRule="auto"/>
        <w:ind w:firstLine="420" w:firstLineChars="200"/>
        <w:rPr>
          <w:color w:val="auto"/>
          <w:szCs w:val="21"/>
          <w:highlight w:val="none"/>
        </w:rPr>
      </w:pPr>
      <w:r>
        <w:rPr>
          <w:color w:val="auto"/>
          <w:highlight w:val="none"/>
        </w:rPr>
        <w:t xml:space="preserve">5.3.1 </w:t>
      </w:r>
      <w:r>
        <w:rPr>
          <w:rFonts w:hAnsi="宋体"/>
          <w:color w:val="auto"/>
          <w:szCs w:val="21"/>
          <w:highlight w:val="none"/>
        </w:rPr>
        <w:t>承包人的设计文件应报发包人审查同意。审查的范围和内容在发包人要求中约定。</w:t>
      </w:r>
    </w:p>
    <w:p w14:paraId="36D829A6">
      <w:pPr>
        <w:spacing w:line="360" w:lineRule="auto"/>
        <w:ind w:firstLine="420" w:firstLineChars="200"/>
        <w:rPr>
          <w:color w:val="auto"/>
          <w:szCs w:val="21"/>
          <w:highlight w:val="none"/>
        </w:rPr>
      </w:pPr>
      <w:r>
        <w:rPr>
          <w:rFonts w:hAnsi="宋体"/>
          <w:color w:val="auto"/>
          <w:szCs w:val="21"/>
          <w:highlight w:val="none"/>
        </w:rPr>
        <w:t>除合同另有约定外，自监理人收到承包人的设计文件以及承包人的通知之日起，发包人对承包人的设计文件审查期不超过</w:t>
      </w:r>
      <w:r>
        <w:rPr>
          <w:color w:val="auto"/>
          <w:szCs w:val="21"/>
          <w:highlight w:val="none"/>
        </w:rPr>
        <w:t>21</w:t>
      </w:r>
      <w:r>
        <w:rPr>
          <w:rFonts w:hAnsi="宋体"/>
          <w:color w:val="auto"/>
          <w:szCs w:val="21"/>
          <w:highlight w:val="none"/>
        </w:rPr>
        <w:t>天。承包人的设计文件对于合同约定有偏离的，应在通知中说明。承包人需要修改已提交的承包人文件的，应立即通知监理人，并向监理人提交修改后的承包人的设计文件，审查期重新起算。</w:t>
      </w:r>
    </w:p>
    <w:p w14:paraId="7C5A449B">
      <w:pPr>
        <w:spacing w:line="360" w:lineRule="auto"/>
        <w:ind w:firstLine="420" w:firstLineChars="200"/>
        <w:rPr>
          <w:color w:val="auto"/>
          <w:szCs w:val="21"/>
          <w:highlight w:val="none"/>
        </w:rPr>
      </w:pPr>
      <w:r>
        <w:rPr>
          <w:rFonts w:hAnsi="宋体"/>
          <w:color w:val="auto"/>
          <w:szCs w:val="21"/>
          <w:highlight w:val="none"/>
        </w:rPr>
        <w:t>发包人不同意设计文件的，应通过监理人以书面形式通知承包人，并说明不符合合同要求的具体内容。承包人应根据监理人的书面说明，对承包人文件进行修改后重新报送发包人审查，审查期重新起算。</w:t>
      </w:r>
    </w:p>
    <w:p w14:paraId="4918AE5B">
      <w:pPr>
        <w:spacing w:line="360" w:lineRule="auto"/>
        <w:ind w:firstLine="420" w:firstLineChars="200"/>
        <w:rPr>
          <w:color w:val="auto"/>
          <w:szCs w:val="21"/>
          <w:highlight w:val="none"/>
        </w:rPr>
      </w:pPr>
      <w:r>
        <w:rPr>
          <w:rFonts w:hAnsi="宋体"/>
          <w:color w:val="auto"/>
          <w:szCs w:val="21"/>
          <w:highlight w:val="none"/>
        </w:rPr>
        <w:t>合同约定的审查期满，发包人没有做出审查结论也没有提出异议的，视为承包人的设计文件已获发包人同意。</w:t>
      </w:r>
    </w:p>
    <w:p w14:paraId="26816A69">
      <w:pPr>
        <w:spacing w:line="360" w:lineRule="auto"/>
        <w:ind w:firstLine="420" w:firstLineChars="200"/>
        <w:rPr>
          <w:color w:val="auto"/>
          <w:szCs w:val="21"/>
          <w:highlight w:val="none"/>
        </w:rPr>
      </w:pPr>
      <w:r>
        <w:rPr>
          <w:color w:val="auto"/>
          <w:highlight w:val="none"/>
        </w:rPr>
        <w:t xml:space="preserve">5.3.2 </w:t>
      </w:r>
      <w:r>
        <w:rPr>
          <w:rFonts w:hAnsi="宋体"/>
          <w:color w:val="auto"/>
          <w:szCs w:val="21"/>
          <w:highlight w:val="none"/>
        </w:rPr>
        <w:t>承包人的设计文件不需要政府有关部门审查或批准的，承包人应当严格按照经发包人审查同意的设计文件设计和实施工程。</w:t>
      </w:r>
    </w:p>
    <w:p w14:paraId="371149E5">
      <w:pPr>
        <w:spacing w:line="360" w:lineRule="auto"/>
        <w:ind w:firstLine="420" w:firstLineChars="200"/>
        <w:rPr>
          <w:color w:val="auto"/>
          <w:szCs w:val="21"/>
          <w:highlight w:val="none"/>
        </w:rPr>
      </w:pPr>
      <w:r>
        <w:rPr>
          <w:color w:val="auto"/>
          <w:highlight w:val="none"/>
        </w:rPr>
        <w:t xml:space="preserve">5.3.3 </w:t>
      </w:r>
      <w:r>
        <w:rPr>
          <w:rStyle w:val="44"/>
          <w:rFonts w:hAnsi="宋体"/>
          <w:vanish/>
          <w:color w:val="auto"/>
          <w:highlight w:val="none"/>
        </w:rPr>
        <w:t>（</w:t>
      </w:r>
      <w:r>
        <w:rPr>
          <w:rFonts w:hAnsi="宋体"/>
          <w:color w:val="auto"/>
          <w:szCs w:val="21"/>
          <w:highlight w:val="none"/>
        </w:rPr>
        <w:t>设计文件需政府有关部门审查或批准的，发包人应在审查同意承包人的设计文件后</w:t>
      </w:r>
      <w:r>
        <w:rPr>
          <w:color w:val="auto"/>
          <w:szCs w:val="21"/>
          <w:highlight w:val="none"/>
        </w:rPr>
        <w:t>7</w:t>
      </w:r>
      <w:r>
        <w:rPr>
          <w:rFonts w:hAnsi="宋体"/>
          <w:color w:val="auto"/>
          <w:szCs w:val="21"/>
          <w:highlight w:val="none"/>
        </w:rPr>
        <w:t>天内，向政府有关部门报送设计文件，承包人应予以协助。</w:t>
      </w:r>
    </w:p>
    <w:p w14:paraId="7AC9376F">
      <w:pPr>
        <w:spacing w:line="360" w:lineRule="auto"/>
        <w:ind w:firstLine="420" w:firstLineChars="200"/>
        <w:rPr>
          <w:color w:val="auto"/>
          <w:szCs w:val="21"/>
          <w:highlight w:val="none"/>
        </w:rPr>
      </w:pPr>
      <w:r>
        <w:rPr>
          <w:rFonts w:hAnsi="宋体"/>
          <w:color w:val="auto"/>
          <w:szCs w:val="21"/>
          <w:highlight w:val="none"/>
        </w:rPr>
        <w:t>对于政府有关部门的审查意见，不需要修改发包人要求的，承包人需按该审查意见修改承包人的设计文件；需要修改发包人要求的，发包人应重新提出发包人要求，承包人应根据新提出的发包人要求修改承包人文件。上述情形还应适用第</w:t>
      </w:r>
      <w:r>
        <w:rPr>
          <w:color w:val="auto"/>
          <w:szCs w:val="21"/>
          <w:highlight w:val="none"/>
        </w:rPr>
        <w:t>15</w:t>
      </w:r>
      <w:r>
        <w:rPr>
          <w:rFonts w:hAnsi="宋体"/>
          <w:color w:val="auto"/>
          <w:szCs w:val="21"/>
          <w:highlight w:val="none"/>
        </w:rPr>
        <w:t>条、第</w:t>
      </w:r>
      <w:r>
        <w:rPr>
          <w:color w:val="auto"/>
          <w:highlight w:val="none"/>
        </w:rPr>
        <w:t>1.13</w:t>
      </w:r>
      <w:r>
        <w:rPr>
          <w:rFonts w:hAnsi="宋体"/>
          <w:color w:val="auto"/>
          <w:szCs w:val="21"/>
          <w:highlight w:val="none"/>
        </w:rPr>
        <w:t>款的有关约定。</w:t>
      </w:r>
    </w:p>
    <w:p w14:paraId="42C27160">
      <w:pPr>
        <w:spacing w:line="360" w:lineRule="auto"/>
        <w:ind w:firstLine="420" w:firstLineChars="200"/>
        <w:rPr>
          <w:color w:val="auto"/>
          <w:sz w:val="24"/>
          <w:highlight w:val="none"/>
        </w:rPr>
      </w:pPr>
      <w:r>
        <w:rPr>
          <w:rFonts w:hAnsi="宋体"/>
          <w:color w:val="auto"/>
          <w:szCs w:val="21"/>
          <w:highlight w:val="none"/>
        </w:rPr>
        <w:t>政府有关部门审查批准的，承包人应当严格按照批准后的承包人的设计文件设计和实施工程。</w:t>
      </w:r>
    </w:p>
    <w:p w14:paraId="2F69D3E4">
      <w:pPr>
        <w:pStyle w:val="6"/>
        <w:spacing w:before="159"/>
        <w:rPr>
          <w:rFonts w:ascii="黑体" w:hAnsi="黑体" w:eastAsia="黑体" w:cs="宋体"/>
          <w:color w:val="auto"/>
          <w:szCs w:val="20"/>
          <w:highlight w:val="none"/>
        </w:rPr>
      </w:pPr>
      <w:bookmarkStart w:id="1903" w:name="_Toc31648_WPSOffice_Level2"/>
      <w:bookmarkStart w:id="1904" w:name="_Toc14261"/>
      <w:bookmarkStart w:id="1905" w:name="_Toc31828"/>
      <w:bookmarkStart w:id="1906" w:name="_Toc300835081"/>
      <w:bookmarkStart w:id="1907" w:name="_Toc519085426"/>
      <w:bookmarkStart w:id="1908" w:name="_Toc24990"/>
      <w:r>
        <w:rPr>
          <w:rFonts w:ascii="黑体" w:hAnsi="黑体" w:eastAsia="黑体" w:cs="宋体"/>
          <w:color w:val="auto"/>
          <w:szCs w:val="20"/>
          <w:highlight w:val="none"/>
        </w:rPr>
        <w:t>5.4 培训</w:t>
      </w:r>
      <w:bookmarkEnd w:id="1903"/>
      <w:bookmarkEnd w:id="1904"/>
      <w:bookmarkEnd w:id="1905"/>
      <w:bookmarkEnd w:id="1906"/>
      <w:bookmarkEnd w:id="1907"/>
      <w:bookmarkEnd w:id="1908"/>
    </w:p>
    <w:p w14:paraId="59A5FB06">
      <w:pPr>
        <w:spacing w:line="360" w:lineRule="auto"/>
        <w:ind w:firstLine="420" w:firstLineChars="200"/>
        <w:rPr>
          <w:color w:val="auto"/>
          <w:szCs w:val="21"/>
          <w:highlight w:val="none"/>
        </w:rPr>
      </w:pPr>
      <w:r>
        <w:rPr>
          <w:rFonts w:hAnsi="宋体"/>
          <w:color w:val="auto"/>
          <w:szCs w:val="21"/>
          <w:highlight w:val="none"/>
        </w:rPr>
        <w:t>承包人应按照发包人要求，对发包人的人员进行工程操作和维修方面的培训。合同约定接收之前进行培训的，应在第</w:t>
      </w:r>
      <w:r>
        <w:rPr>
          <w:color w:val="auto"/>
          <w:highlight w:val="none"/>
        </w:rPr>
        <w:t>18.3</w:t>
      </w:r>
      <w:r>
        <w:rPr>
          <w:rFonts w:hAnsi="宋体"/>
          <w:color w:val="auto"/>
          <w:szCs w:val="21"/>
          <w:highlight w:val="none"/>
        </w:rPr>
        <w:t>款约定的竣工验收前完成培训。</w:t>
      </w:r>
    </w:p>
    <w:p w14:paraId="4B307CE3">
      <w:pPr>
        <w:pStyle w:val="6"/>
        <w:spacing w:before="159"/>
        <w:rPr>
          <w:rFonts w:ascii="黑体" w:hAnsi="黑体" w:eastAsia="黑体" w:cs="宋体"/>
          <w:color w:val="auto"/>
          <w:szCs w:val="20"/>
          <w:highlight w:val="none"/>
        </w:rPr>
      </w:pPr>
      <w:bookmarkStart w:id="1909" w:name="_Toc7899"/>
      <w:bookmarkStart w:id="1910" w:name="_Toc519085427"/>
      <w:bookmarkStart w:id="1911" w:name="_Toc20969_WPSOffice_Level2"/>
      <w:bookmarkStart w:id="1912" w:name="_Toc2228"/>
      <w:bookmarkStart w:id="1913" w:name="_Toc300835082"/>
      <w:bookmarkStart w:id="1914" w:name="_Toc13596"/>
      <w:r>
        <w:rPr>
          <w:rFonts w:ascii="黑体" w:hAnsi="黑体" w:eastAsia="黑体" w:cs="宋体"/>
          <w:color w:val="auto"/>
          <w:szCs w:val="20"/>
          <w:highlight w:val="none"/>
        </w:rPr>
        <w:t>5.5 竣工文件</w:t>
      </w:r>
      <w:bookmarkEnd w:id="1909"/>
      <w:bookmarkEnd w:id="1910"/>
      <w:bookmarkEnd w:id="1911"/>
      <w:bookmarkEnd w:id="1912"/>
      <w:bookmarkEnd w:id="1913"/>
      <w:bookmarkEnd w:id="1914"/>
    </w:p>
    <w:p w14:paraId="56990794">
      <w:pPr>
        <w:spacing w:line="360" w:lineRule="auto"/>
        <w:ind w:firstLine="420" w:firstLineChars="200"/>
        <w:rPr>
          <w:color w:val="auto"/>
          <w:highlight w:val="none"/>
        </w:rPr>
      </w:pPr>
      <w:r>
        <w:rPr>
          <w:color w:val="auto"/>
          <w:highlight w:val="none"/>
        </w:rPr>
        <w:t xml:space="preserve">5.5.1 </w:t>
      </w:r>
      <w:r>
        <w:rPr>
          <w:rFonts w:hAnsi="宋体"/>
          <w:color w:val="auto"/>
          <w:highlight w:val="none"/>
        </w:rPr>
        <w:t>承包人应编制并及时更新反映工程实施结果的竣工记录，如实记载竣工工程的确切位置、尺寸和已实施工作的详细说明。竣工记录应保存在施工场地，并在竣工试验开始前，按照专用合同条款约定的份数提交给监理人。</w:t>
      </w:r>
    </w:p>
    <w:p w14:paraId="72AEEF9F">
      <w:pPr>
        <w:spacing w:line="360" w:lineRule="auto"/>
        <w:ind w:firstLine="420" w:firstLineChars="200"/>
        <w:rPr>
          <w:color w:val="auto"/>
          <w:highlight w:val="none"/>
        </w:rPr>
      </w:pPr>
      <w:r>
        <w:rPr>
          <w:color w:val="auto"/>
          <w:highlight w:val="none"/>
        </w:rPr>
        <w:t xml:space="preserve">5.5.2 </w:t>
      </w:r>
      <w:r>
        <w:rPr>
          <w:rFonts w:hAnsi="宋体"/>
          <w:color w:val="auto"/>
          <w:highlight w:val="none"/>
        </w:rPr>
        <w:t>在颁发工程接收证书之前，承包人应按照发包人要求的份数和形式向监理人提交相应竣工图纸，并取得监理人对尺寸、参照系统及其他有关细节的认可。监理人应按照第</w:t>
      </w:r>
      <w:r>
        <w:rPr>
          <w:color w:val="auto"/>
          <w:highlight w:val="none"/>
        </w:rPr>
        <w:t>5.3</w:t>
      </w:r>
      <w:r>
        <w:rPr>
          <w:rFonts w:hAnsi="宋体"/>
          <w:color w:val="auto"/>
          <w:highlight w:val="none"/>
        </w:rPr>
        <w:t>款的约定进行审查。</w:t>
      </w:r>
    </w:p>
    <w:p w14:paraId="23E31E92">
      <w:pPr>
        <w:spacing w:line="360" w:lineRule="auto"/>
        <w:ind w:firstLine="420" w:firstLineChars="200"/>
        <w:rPr>
          <w:color w:val="auto"/>
          <w:highlight w:val="none"/>
        </w:rPr>
      </w:pPr>
      <w:r>
        <w:rPr>
          <w:color w:val="auto"/>
          <w:highlight w:val="none"/>
        </w:rPr>
        <w:t xml:space="preserve">5.5.3 </w:t>
      </w:r>
      <w:r>
        <w:rPr>
          <w:rFonts w:hAnsi="宋体"/>
          <w:color w:val="auto"/>
          <w:highlight w:val="none"/>
        </w:rPr>
        <w:t>在监理人收到上述文件前，不应认为工程已根据第</w:t>
      </w:r>
      <w:r>
        <w:rPr>
          <w:color w:val="auto"/>
          <w:highlight w:val="none"/>
        </w:rPr>
        <w:t>18.3</w:t>
      </w:r>
      <w:r>
        <w:rPr>
          <w:rFonts w:hAnsi="宋体"/>
          <w:color w:val="auto"/>
          <w:highlight w:val="none"/>
        </w:rPr>
        <w:t>款和第</w:t>
      </w:r>
      <w:r>
        <w:rPr>
          <w:color w:val="auto"/>
          <w:highlight w:val="none"/>
        </w:rPr>
        <w:t>18.5</w:t>
      </w:r>
      <w:r>
        <w:rPr>
          <w:rFonts w:hAnsi="宋体"/>
          <w:color w:val="auto"/>
          <w:highlight w:val="none"/>
        </w:rPr>
        <w:t>款约定完成验收。</w:t>
      </w:r>
    </w:p>
    <w:p w14:paraId="2DB811B2">
      <w:pPr>
        <w:pStyle w:val="6"/>
        <w:spacing w:before="159"/>
        <w:rPr>
          <w:rFonts w:ascii="黑体" w:hAnsi="黑体" w:eastAsia="黑体" w:cs="宋体"/>
          <w:color w:val="auto"/>
          <w:szCs w:val="20"/>
          <w:highlight w:val="none"/>
        </w:rPr>
      </w:pPr>
      <w:bookmarkStart w:id="1915" w:name="_Toc300835083"/>
      <w:bookmarkStart w:id="1916" w:name="_Toc8150"/>
      <w:bookmarkStart w:id="1917" w:name="_Toc20581"/>
      <w:bookmarkStart w:id="1918" w:name="_Toc519085428"/>
      <w:bookmarkStart w:id="1919" w:name="_Toc9316_WPSOffice_Level2"/>
      <w:bookmarkStart w:id="1920" w:name="_Toc13954"/>
      <w:r>
        <w:rPr>
          <w:rFonts w:ascii="黑体" w:hAnsi="黑体" w:eastAsia="黑体" w:cs="宋体"/>
          <w:color w:val="auto"/>
          <w:szCs w:val="20"/>
          <w:highlight w:val="none"/>
        </w:rPr>
        <w:t>5.6 操作和维修手册</w:t>
      </w:r>
      <w:bookmarkEnd w:id="1915"/>
      <w:bookmarkEnd w:id="1916"/>
      <w:bookmarkEnd w:id="1917"/>
      <w:bookmarkEnd w:id="1918"/>
      <w:bookmarkEnd w:id="1919"/>
      <w:bookmarkEnd w:id="1920"/>
    </w:p>
    <w:p w14:paraId="668BC1BE">
      <w:pPr>
        <w:spacing w:line="360" w:lineRule="auto"/>
        <w:ind w:firstLine="420" w:firstLineChars="200"/>
        <w:rPr>
          <w:color w:val="auto"/>
          <w:highlight w:val="none"/>
        </w:rPr>
      </w:pPr>
      <w:r>
        <w:rPr>
          <w:color w:val="auto"/>
          <w:highlight w:val="none"/>
        </w:rPr>
        <w:t xml:space="preserve">5.6.1 </w:t>
      </w:r>
      <w:r>
        <w:rPr>
          <w:rFonts w:hAnsi="宋体"/>
          <w:color w:val="auto"/>
          <w:highlight w:val="none"/>
        </w:rPr>
        <w:t>在竣工试验开始前，承包人应向监理人提交暂行的操作和维修手册，该手册应足够详细，以便发包人能够对生产设备进行操作、维修、拆卸、重新安装、调整及修理。</w:t>
      </w:r>
    </w:p>
    <w:p w14:paraId="5CE5C9DA">
      <w:pPr>
        <w:spacing w:line="360" w:lineRule="auto"/>
        <w:ind w:firstLine="420" w:firstLineChars="200"/>
        <w:rPr>
          <w:color w:val="auto"/>
          <w:highlight w:val="none"/>
        </w:rPr>
      </w:pPr>
      <w:r>
        <w:rPr>
          <w:color w:val="auto"/>
          <w:highlight w:val="none"/>
        </w:rPr>
        <w:t xml:space="preserve">5.6.2 </w:t>
      </w:r>
      <w:r>
        <w:rPr>
          <w:rFonts w:hAnsi="宋体"/>
          <w:color w:val="auto"/>
          <w:highlight w:val="none"/>
        </w:rPr>
        <w:t>承包人应提交足够详细的最终操作和维修手册，以及在发包人要求中明确的相关操作和维修手册。在监理人收到上述文件前，不应认为工程已根据第</w:t>
      </w:r>
      <w:r>
        <w:rPr>
          <w:color w:val="auto"/>
          <w:highlight w:val="none"/>
        </w:rPr>
        <w:t>18.3</w:t>
      </w:r>
      <w:r>
        <w:rPr>
          <w:rFonts w:hAnsi="宋体"/>
          <w:color w:val="auto"/>
          <w:highlight w:val="none"/>
        </w:rPr>
        <w:t>款和第</w:t>
      </w:r>
      <w:r>
        <w:rPr>
          <w:color w:val="auto"/>
          <w:highlight w:val="none"/>
        </w:rPr>
        <w:t>18.5</w:t>
      </w:r>
      <w:r>
        <w:rPr>
          <w:rFonts w:hAnsi="宋体"/>
          <w:color w:val="auto"/>
          <w:highlight w:val="none"/>
        </w:rPr>
        <w:t>款约定完成验收。</w:t>
      </w:r>
    </w:p>
    <w:p w14:paraId="654454E4">
      <w:pPr>
        <w:pStyle w:val="6"/>
        <w:spacing w:before="159"/>
        <w:rPr>
          <w:rFonts w:ascii="黑体" w:hAnsi="黑体" w:eastAsia="黑体" w:cs="宋体"/>
          <w:color w:val="auto"/>
          <w:szCs w:val="20"/>
          <w:highlight w:val="none"/>
        </w:rPr>
      </w:pPr>
      <w:bookmarkStart w:id="1921" w:name="_Toc300835084"/>
      <w:bookmarkStart w:id="1922" w:name="_Toc29063"/>
      <w:bookmarkStart w:id="1923" w:name="_Toc20709"/>
      <w:bookmarkStart w:id="1924" w:name="_Toc519085429"/>
      <w:bookmarkStart w:id="1925" w:name="_Toc12641_WPSOffice_Level2"/>
      <w:bookmarkStart w:id="1926" w:name="_Toc17692"/>
      <w:r>
        <w:rPr>
          <w:rFonts w:ascii="黑体" w:hAnsi="黑体" w:eastAsia="黑体" w:cs="宋体"/>
          <w:color w:val="auto"/>
          <w:szCs w:val="20"/>
          <w:highlight w:val="none"/>
        </w:rPr>
        <w:t>5.7 承包人文件错误</w:t>
      </w:r>
      <w:bookmarkEnd w:id="1921"/>
      <w:bookmarkEnd w:id="1922"/>
      <w:bookmarkEnd w:id="1923"/>
      <w:bookmarkEnd w:id="1924"/>
      <w:bookmarkEnd w:id="1925"/>
      <w:bookmarkEnd w:id="1926"/>
    </w:p>
    <w:p w14:paraId="67F8972F">
      <w:pPr>
        <w:spacing w:line="360" w:lineRule="auto"/>
        <w:ind w:firstLine="420" w:firstLineChars="200"/>
        <w:rPr>
          <w:color w:val="auto"/>
          <w:highlight w:val="none"/>
        </w:rPr>
      </w:pPr>
      <w:r>
        <w:rPr>
          <w:rFonts w:hAnsi="宋体"/>
          <w:color w:val="auto"/>
          <w:highlight w:val="none"/>
        </w:rPr>
        <w:t>承包人文件存在错误、遗漏、含混、矛盾、不充分之处或其他缺陷，无论承包人是否根据本款获得了批准，承包人均应自费对前述问题带来的缺陷和工程问题进行改正。</w:t>
      </w:r>
      <w:r>
        <w:rPr>
          <w:rFonts w:hAnsi="宋体"/>
          <w:color w:val="auto"/>
          <w:szCs w:val="21"/>
          <w:highlight w:val="none"/>
        </w:rPr>
        <w:t>第</w:t>
      </w:r>
      <w:r>
        <w:rPr>
          <w:color w:val="auto"/>
          <w:highlight w:val="none"/>
        </w:rPr>
        <w:t>1.13</w:t>
      </w:r>
      <w:r>
        <w:rPr>
          <w:rFonts w:hAnsi="宋体"/>
          <w:color w:val="auto"/>
          <w:szCs w:val="21"/>
          <w:highlight w:val="none"/>
        </w:rPr>
        <w:t>款发包人要求的错误导致承包人文件错误</w:t>
      </w:r>
      <w:r>
        <w:rPr>
          <w:rFonts w:hAnsi="宋体"/>
          <w:color w:val="auto"/>
          <w:highlight w:val="none"/>
        </w:rPr>
        <w:t>、遗漏、含混、矛盾、不充分或其他缺陷的</w:t>
      </w:r>
      <w:r>
        <w:rPr>
          <w:rFonts w:hAnsi="宋体"/>
          <w:color w:val="auto"/>
          <w:szCs w:val="21"/>
          <w:highlight w:val="none"/>
        </w:rPr>
        <w:t>除外。</w:t>
      </w:r>
    </w:p>
    <w:p w14:paraId="7620CAF6">
      <w:pPr>
        <w:pStyle w:val="5"/>
        <w:spacing w:before="159"/>
        <w:rPr>
          <w:rFonts w:ascii="Times New Roman" w:hAnsi="Times New Roman" w:eastAsia="宋体"/>
          <w:color w:val="auto"/>
          <w:highlight w:val="none"/>
        </w:rPr>
      </w:pPr>
      <w:bookmarkStart w:id="1927" w:name="_Toc3505"/>
      <w:bookmarkStart w:id="1928" w:name="_Toc12242_WPSOffice_Level1"/>
      <w:bookmarkStart w:id="1929" w:name="_Toc519085430"/>
      <w:bookmarkStart w:id="1930" w:name="_Toc30947"/>
      <w:bookmarkStart w:id="1931" w:name="_Toc6323"/>
      <w:bookmarkStart w:id="1932" w:name="_Toc16976"/>
      <w:bookmarkStart w:id="1933" w:name="_Toc27858"/>
      <w:bookmarkStart w:id="1934" w:name="_Toc300835085"/>
      <w:r>
        <w:rPr>
          <w:rFonts w:ascii="Times New Roman" w:hAnsi="Times New Roman" w:eastAsia="宋体"/>
          <w:color w:val="auto"/>
          <w:highlight w:val="none"/>
        </w:rPr>
        <w:t xml:space="preserve">6. </w:t>
      </w:r>
      <w:r>
        <w:rPr>
          <w:rStyle w:val="65"/>
          <w:color w:val="auto"/>
          <w:highlight w:val="none"/>
        </w:rPr>
        <w:t>材料和工程设备</w:t>
      </w:r>
      <w:bookmarkEnd w:id="1927"/>
      <w:bookmarkEnd w:id="1928"/>
      <w:bookmarkEnd w:id="1929"/>
      <w:bookmarkEnd w:id="1930"/>
      <w:bookmarkEnd w:id="1931"/>
      <w:bookmarkEnd w:id="1932"/>
      <w:bookmarkEnd w:id="1933"/>
      <w:bookmarkEnd w:id="1934"/>
    </w:p>
    <w:p w14:paraId="0A92DDA4">
      <w:pPr>
        <w:pStyle w:val="6"/>
        <w:spacing w:before="159"/>
        <w:rPr>
          <w:rFonts w:ascii="黑体" w:hAnsi="黑体" w:eastAsia="黑体" w:cs="宋体"/>
          <w:color w:val="auto"/>
          <w:szCs w:val="20"/>
          <w:highlight w:val="none"/>
        </w:rPr>
      </w:pPr>
      <w:bookmarkStart w:id="1935" w:name="_Toc27699_WPSOffice_Level2"/>
      <w:bookmarkStart w:id="1936" w:name="_Toc519085431"/>
      <w:bookmarkStart w:id="1937" w:name="_Toc25671"/>
      <w:bookmarkStart w:id="1938" w:name="_Toc24953"/>
      <w:bookmarkStart w:id="1939" w:name="_Toc7947"/>
      <w:bookmarkStart w:id="1940" w:name="_Toc300835086"/>
      <w:r>
        <w:rPr>
          <w:rFonts w:ascii="黑体" w:hAnsi="黑体" w:eastAsia="黑体" w:cs="宋体"/>
          <w:color w:val="auto"/>
          <w:szCs w:val="20"/>
          <w:highlight w:val="none"/>
        </w:rPr>
        <w:t>6.1 承包人提供的材料和工程设备</w:t>
      </w:r>
      <w:bookmarkEnd w:id="1935"/>
      <w:bookmarkEnd w:id="1936"/>
      <w:bookmarkEnd w:id="1937"/>
      <w:bookmarkEnd w:id="1938"/>
      <w:bookmarkEnd w:id="1939"/>
      <w:bookmarkEnd w:id="1940"/>
    </w:p>
    <w:p w14:paraId="6D0A72FE">
      <w:pPr>
        <w:spacing w:line="360" w:lineRule="auto"/>
        <w:ind w:firstLine="420" w:firstLineChars="200"/>
        <w:rPr>
          <w:color w:val="auto"/>
          <w:szCs w:val="21"/>
          <w:highlight w:val="none"/>
        </w:rPr>
      </w:pPr>
      <w:r>
        <w:rPr>
          <w:color w:val="auto"/>
          <w:highlight w:val="none"/>
        </w:rPr>
        <w:t>6.1.1</w:t>
      </w:r>
      <w:r>
        <w:rPr>
          <w:color w:val="auto"/>
          <w:szCs w:val="21"/>
          <w:highlight w:val="none"/>
        </w:rPr>
        <w:t xml:space="preserve"> </w:t>
      </w:r>
      <w:r>
        <w:rPr>
          <w:rFonts w:hAnsi="宋体"/>
          <w:color w:val="auto"/>
          <w:szCs w:val="21"/>
          <w:highlight w:val="none"/>
        </w:rPr>
        <w:t>除专用合同条款另有约定外，承包人提供的材料和工程设备均由承包人负责采购、运输和保管。承包人应对其采购的材料和工程设备负责。</w:t>
      </w:r>
    </w:p>
    <w:p w14:paraId="7C20A563">
      <w:pPr>
        <w:spacing w:line="360" w:lineRule="auto"/>
        <w:ind w:firstLine="420" w:firstLineChars="200"/>
        <w:rPr>
          <w:color w:val="auto"/>
          <w:szCs w:val="21"/>
          <w:highlight w:val="none"/>
        </w:rPr>
      </w:pPr>
      <w:r>
        <w:rPr>
          <w:color w:val="auto"/>
          <w:highlight w:val="none"/>
        </w:rPr>
        <w:t>6.1.2</w:t>
      </w:r>
      <w:r>
        <w:rPr>
          <w:color w:val="auto"/>
          <w:szCs w:val="21"/>
          <w:highlight w:val="none"/>
        </w:rPr>
        <w:t xml:space="preserve"> </w:t>
      </w:r>
      <w:r>
        <w:rPr>
          <w:rFonts w:hAnsi="宋体"/>
          <w:color w:val="auto"/>
          <w:szCs w:val="21"/>
          <w:highlight w:val="none"/>
        </w:rPr>
        <w:t>承包人应按专用合同条款的约定，将各项材料和工程设备的供货人及品种、技术要求、规格、数量和供货时间等报送监理人批准。承包人应向监理人提交其负责提供的材料和工程设备的质量证明文件，并满足合同约定的质量标准。</w:t>
      </w:r>
    </w:p>
    <w:p w14:paraId="6AD73F5B">
      <w:pPr>
        <w:spacing w:line="360" w:lineRule="auto"/>
        <w:ind w:firstLine="420" w:firstLineChars="200"/>
        <w:rPr>
          <w:color w:val="auto"/>
          <w:szCs w:val="21"/>
          <w:highlight w:val="none"/>
        </w:rPr>
      </w:pPr>
      <w:r>
        <w:rPr>
          <w:color w:val="auto"/>
          <w:highlight w:val="none"/>
        </w:rPr>
        <w:t xml:space="preserve">6.1.3 </w:t>
      </w:r>
      <w:r>
        <w:rPr>
          <w:rFonts w:hAnsi="宋体"/>
          <w:color w:val="auto"/>
          <w:szCs w:val="21"/>
          <w:highlight w:val="none"/>
        </w:rPr>
        <w:t>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4C6107D3">
      <w:pPr>
        <w:pStyle w:val="6"/>
        <w:spacing w:before="159"/>
        <w:rPr>
          <w:rFonts w:ascii="黑体" w:hAnsi="黑体" w:eastAsia="黑体" w:cs="宋体"/>
          <w:color w:val="auto"/>
          <w:szCs w:val="20"/>
          <w:highlight w:val="none"/>
        </w:rPr>
      </w:pPr>
      <w:bookmarkStart w:id="1941" w:name="_Toc7044"/>
      <w:bookmarkStart w:id="1942" w:name="_Toc32122"/>
      <w:bookmarkStart w:id="1943" w:name="_Toc15560"/>
      <w:bookmarkStart w:id="1944" w:name="_Toc22562_WPSOffice_Level2"/>
      <w:bookmarkStart w:id="1945" w:name="_Toc519085432"/>
      <w:bookmarkStart w:id="1946" w:name="_Toc300835087"/>
      <w:r>
        <w:rPr>
          <w:rFonts w:ascii="黑体" w:hAnsi="黑体" w:eastAsia="黑体" w:cs="宋体"/>
          <w:color w:val="auto"/>
          <w:szCs w:val="20"/>
          <w:highlight w:val="none"/>
        </w:rPr>
        <w:t>6.2 发包人提供的材料和工程设备（A）</w:t>
      </w:r>
      <w:bookmarkEnd w:id="1941"/>
      <w:bookmarkEnd w:id="1942"/>
      <w:bookmarkEnd w:id="1943"/>
      <w:bookmarkEnd w:id="1944"/>
      <w:bookmarkEnd w:id="1945"/>
      <w:bookmarkEnd w:id="1946"/>
    </w:p>
    <w:p w14:paraId="53A740D3">
      <w:pPr>
        <w:spacing w:line="360" w:lineRule="auto"/>
        <w:ind w:firstLine="420" w:firstLineChars="200"/>
        <w:rPr>
          <w:color w:val="auto"/>
          <w:szCs w:val="21"/>
          <w:highlight w:val="none"/>
        </w:rPr>
      </w:pPr>
      <w:r>
        <w:rPr>
          <w:color w:val="auto"/>
          <w:highlight w:val="none"/>
        </w:rPr>
        <w:t xml:space="preserve">6.2.1 </w:t>
      </w:r>
      <w:r>
        <w:rPr>
          <w:rFonts w:hAnsi="宋体"/>
          <w:color w:val="auto"/>
          <w:szCs w:val="21"/>
          <w:highlight w:val="none"/>
        </w:rPr>
        <w:t>专用合同条款约定发包人提供部分材料和工程设备的，应写明材料和工程设备的名称、规格、数量、价格、交货方式、交货地点等。</w:t>
      </w:r>
    </w:p>
    <w:p w14:paraId="5B01CA0C">
      <w:pPr>
        <w:spacing w:line="360" w:lineRule="auto"/>
        <w:ind w:firstLine="420" w:firstLineChars="200"/>
        <w:rPr>
          <w:color w:val="auto"/>
          <w:szCs w:val="21"/>
          <w:highlight w:val="none"/>
        </w:rPr>
      </w:pPr>
      <w:r>
        <w:rPr>
          <w:color w:val="auto"/>
          <w:highlight w:val="none"/>
        </w:rPr>
        <w:t>6.2.2</w:t>
      </w:r>
      <w:r>
        <w:rPr>
          <w:color w:val="auto"/>
          <w:szCs w:val="21"/>
          <w:highlight w:val="none"/>
        </w:rPr>
        <w:t xml:space="preserve"> </w:t>
      </w:r>
      <w:r>
        <w:rPr>
          <w:rFonts w:hAnsi="宋体"/>
          <w:color w:val="auto"/>
          <w:szCs w:val="21"/>
          <w:highlight w:val="none"/>
        </w:rPr>
        <w:t>承包人应根据合同进度计划的安排，向监理人报送要求发包人交货的日期计划。发包人应按照监理人与合同双方当事人商定的交货日期，向承包人提交材料和工程设备。</w:t>
      </w:r>
    </w:p>
    <w:p w14:paraId="29163D2E">
      <w:pPr>
        <w:spacing w:line="360" w:lineRule="auto"/>
        <w:ind w:firstLine="420" w:firstLineChars="200"/>
        <w:rPr>
          <w:color w:val="auto"/>
          <w:highlight w:val="none"/>
        </w:rPr>
      </w:pPr>
      <w:r>
        <w:rPr>
          <w:color w:val="auto"/>
          <w:highlight w:val="none"/>
        </w:rPr>
        <w:t>6.2.3</w:t>
      </w:r>
      <w:r>
        <w:rPr>
          <w:color w:val="auto"/>
          <w:szCs w:val="21"/>
          <w:highlight w:val="none"/>
        </w:rPr>
        <w:t xml:space="preserve"> </w:t>
      </w:r>
      <w:r>
        <w:rPr>
          <w:rFonts w:hAnsi="宋体"/>
          <w:color w:val="auto"/>
          <w:szCs w:val="21"/>
          <w:highlight w:val="none"/>
        </w:rPr>
        <w:t>发包人应在材料和工程设备到货</w:t>
      </w:r>
      <w:r>
        <w:rPr>
          <w:color w:val="auto"/>
          <w:szCs w:val="21"/>
          <w:highlight w:val="none"/>
        </w:rPr>
        <w:t xml:space="preserve">7 </w:t>
      </w:r>
      <w:r>
        <w:rPr>
          <w:rFonts w:hAnsi="宋体"/>
          <w:color w:val="auto"/>
          <w:szCs w:val="21"/>
          <w:highlight w:val="none"/>
        </w:rPr>
        <w:t>天前通知承包人，承包人应会同监理人在约定的时间内，赴交货地点共同进行验收。除专用合同条款另有约定外，发包人提供的材料和工程设备验收后，由承包人负责接</w:t>
      </w:r>
      <w:r>
        <w:rPr>
          <w:rFonts w:hAnsi="宋体"/>
          <w:color w:val="auto"/>
          <w:highlight w:val="none"/>
        </w:rPr>
        <w:t>收、运输和保管。</w:t>
      </w:r>
    </w:p>
    <w:p w14:paraId="55C6B0C5">
      <w:pPr>
        <w:spacing w:line="360" w:lineRule="auto"/>
        <w:ind w:firstLine="420" w:firstLineChars="200"/>
        <w:rPr>
          <w:color w:val="auto"/>
          <w:szCs w:val="21"/>
          <w:highlight w:val="none"/>
        </w:rPr>
      </w:pPr>
      <w:r>
        <w:rPr>
          <w:color w:val="auto"/>
          <w:highlight w:val="none"/>
        </w:rPr>
        <w:t>6.2.4</w:t>
      </w:r>
      <w:r>
        <w:rPr>
          <w:color w:val="auto"/>
          <w:szCs w:val="21"/>
          <w:highlight w:val="none"/>
        </w:rPr>
        <w:t xml:space="preserve"> </w:t>
      </w:r>
      <w:r>
        <w:rPr>
          <w:rFonts w:hAnsi="宋体"/>
          <w:color w:val="auto"/>
          <w:szCs w:val="21"/>
          <w:highlight w:val="none"/>
        </w:rPr>
        <w:t>发包人要求向承包人提前交货的，承包人不得拒绝，但发包人应承担承包人由此增加的费用。</w:t>
      </w:r>
    </w:p>
    <w:p w14:paraId="62AB2AB5">
      <w:pPr>
        <w:spacing w:line="360" w:lineRule="auto"/>
        <w:ind w:firstLine="420" w:firstLineChars="200"/>
        <w:rPr>
          <w:color w:val="auto"/>
          <w:szCs w:val="21"/>
          <w:highlight w:val="none"/>
        </w:rPr>
      </w:pPr>
      <w:r>
        <w:rPr>
          <w:color w:val="auto"/>
          <w:highlight w:val="none"/>
        </w:rPr>
        <w:t>6.2.5</w:t>
      </w:r>
      <w:r>
        <w:rPr>
          <w:color w:val="auto"/>
          <w:szCs w:val="21"/>
          <w:highlight w:val="none"/>
        </w:rPr>
        <w:t xml:space="preserve"> </w:t>
      </w:r>
      <w:r>
        <w:rPr>
          <w:rFonts w:hAnsi="宋体"/>
          <w:color w:val="auto"/>
          <w:szCs w:val="21"/>
          <w:highlight w:val="none"/>
        </w:rPr>
        <w:t>承包人要求更改交货日期或地点的，应事先报请监理人批准。由于承包人要求更改交货时间或地点所增加的费用和（或）工期延误由承包人承担。</w:t>
      </w:r>
    </w:p>
    <w:p w14:paraId="25A05248">
      <w:pPr>
        <w:spacing w:line="360" w:lineRule="auto"/>
        <w:ind w:firstLine="420" w:firstLineChars="200"/>
        <w:rPr>
          <w:color w:val="auto"/>
          <w:szCs w:val="21"/>
          <w:highlight w:val="none"/>
        </w:rPr>
      </w:pPr>
      <w:r>
        <w:rPr>
          <w:color w:val="auto"/>
          <w:highlight w:val="none"/>
        </w:rPr>
        <w:t>6.2.6</w:t>
      </w:r>
      <w:r>
        <w:rPr>
          <w:color w:val="auto"/>
          <w:szCs w:val="21"/>
          <w:highlight w:val="none"/>
        </w:rPr>
        <w:t xml:space="preserve"> </w:t>
      </w:r>
      <w:r>
        <w:rPr>
          <w:rFonts w:hAnsi="宋体"/>
          <w:color w:val="auto"/>
          <w:szCs w:val="21"/>
          <w:highlight w:val="none"/>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43C6EDD7">
      <w:pPr>
        <w:pStyle w:val="6"/>
        <w:spacing w:before="159"/>
        <w:rPr>
          <w:rFonts w:ascii="黑体" w:hAnsi="黑体" w:eastAsia="黑体" w:cs="宋体"/>
          <w:color w:val="auto"/>
          <w:szCs w:val="20"/>
          <w:highlight w:val="none"/>
        </w:rPr>
      </w:pPr>
      <w:bookmarkStart w:id="1947" w:name="_Toc21753"/>
      <w:bookmarkStart w:id="1948" w:name="_Toc519085433"/>
      <w:bookmarkStart w:id="1949" w:name="_Toc17305"/>
      <w:bookmarkStart w:id="1950" w:name="_Toc11867"/>
      <w:bookmarkStart w:id="1951" w:name="_Toc300835088"/>
      <w:r>
        <w:rPr>
          <w:rFonts w:ascii="黑体" w:hAnsi="黑体" w:eastAsia="黑体" w:cs="宋体"/>
          <w:color w:val="auto"/>
          <w:szCs w:val="20"/>
          <w:highlight w:val="none"/>
        </w:rPr>
        <w:t>6.2 发包人提供的材料和工程设备（B）</w:t>
      </w:r>
      <w:bookmarkEnd w:id="1947"/>
      <w:bookmarkEnd w:id="1948"/>
      <w:bookmarkEnd w:id="1949"/>
      <w:bookmarkEnd w:id="1950"/>
      <w:bookmarkEnd w:id="1951"/>
    </w:p>
    <w:p w14:paraId="1DEB85A7">
      <w:pPr>
        <w:spacing w:line="360" w:lineRule="auto"/>
        <w:ind w:firstLine="420" w:firstLineChars="200"/>
        <w:rPr>
          <w:color w:val="auto"/>
          <w:szCs w:val="21"/>
          <w:highlight w:val="none"/>
        </w:rPr>
      </w:pPr>
      <w:r>
        <w:rPr>
          <w:rFonts w:hAnsi="宋体"/>
          <w:color w:val="auto"/>
          <w:szCs w:val="21"/>
          <w:highlight w:val="none"/>
        </w:rPr>
        <w:t>发包人不提供材料和工程设备。</w:t>
      </w:r>
    </w:p>
    <w:p w14:paraId="304D94E5">
      <w:pPr>
        <w:pStyle w:val="6"/>
        <w:spacing w:before="159"/>
        <w:rPr>
          <w:rFonts w:ascii="黑体" w:hAnsi="黑体" w:eastAsia="黑体" w:cs="宋体"/>
          <w:color w:val="auto"/>
          <w:szCs w:val="20"/>
          <w:highlight w:val="none"/>
        </w:rPr>
      </w:pPr>
      <w:bookmarkStart w:id="1952" w:name="_Toc22527"/>
      <w:bookmarkStart w:id="1953" w:name="_Toc27894"/>
      <w:bookmarkStart w:id="1954" w:name="_Toc300835089"/>
      <w:bookmarkStart w:id="1955" w:name="_Toc16967"/>
      <w:bookmarkStart w:id="1956" w:name="_Toc519085434"/>
      <w:r>
        <w:rPr>
          <w:rFonts w:ascii="黑体" w:hAnsi="黑体" w:eastAsia="黑体" w:cs="宋体"/>
          <w:color w:val="auto"/>
          <w:szCs w:val="20"/>
          <w:highlight w:val="none"/>
        </w:rPr>
        <w:t>6.3 专用于工程的材料和工程设备</w:t>
      </w:r>
      <w:bookmarkEnd w:id="1952"/>
      <w:bookmarkEnd w:id="1953"/>
      <w:bookmarkEnd w:id="1954"/>
      <w:bookmarkEnd w:id="1955"/>
      <w:bookmarkEnd w:id="1956"/>
    </w:p>
    <w:p w14:paraId="16920683">
      <w:pPr>
        <w:spacing w:line="360" w:lineRule="auto"/>
        <w:ind w:firstLine="420" w:firstLineChars="200"/>
        <w:rPr>
          <w:color w:val="auto"/>
          <w:szCs w:val="21"/>
          <w:highlight w:val="none"/>
        </w:rPr>
      </w:pPr>
      <w:r>
        <w:rPr>
          <w:color w:val="auto"/>
          <w:highlight w:val="none"/>
        </w:rPr>
        <w:t>6.3.1</w:t>
      </w:r>
      <w:r>
        <w:rPr>
          <w:color w:val="auto"/>
          <w:szCs w:val="21"/>
          <w:highlight w:val="none"/>
        </w:rPr>
        <w:t xml:space="preserve"> </w:t>
      </w:r>
      <w:r>
        <w:rPr>
          <w:rFonts w:hAnsi="宋体"/>
          <w:color w:val="auto"/>
          <w:szCs w:val="21"/>
          <w:highlight w:val="none"/>
        </w:rPr>
        <w:t>运入施工场地的材料、工程设备，包括备品备件、安装专用工器具与随机资料，必须专用于合同约定范围内的工程，未经监理人同意，承包人不得运出施工场地或挪作他用。</w:t>
      </w:r>
    </w:p>
    <w:p w14:paraId="7D620E3F">
      <w:pPr>
        <w:spacing w:line="360" w:lineRule="auto"/>
        <w:ind w:firstLine="420" w:firstLineChars="200"/>
        <w:rPr>
          <w:color w:val="auto"/>
          <w:szCs w:val="21"/>
          <w:highlight w:val="none"/>
        </w:rPr>
      </w:pPr>
      <w:r>
        <w:rPr>
          <w:color w:val="auto"/>
          <w:highlight w:val="none"/>
        </w:rPr>
        <w:t>6.3.2</w:t>
      </w:r>
      <w:r>
        <w:rPr>
          <w:color w:val="auto"/>
          <w:szCs w:val="21"/>
          <w:highlight w:val="none"/>
        </w:rPr>
        <w:t xml:space="preserve"> </w:t>
      </w:r>
      <w:r>
        <w:rPr>
          <w:rFonts w:hAnsi="宋体"/>
          <w:color w:val="auto"/>
          <w:szCs w:val="21"/>
          <w:highlight w:val="none"/>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09FBFADD">
      <w:pPr>
        <w:pStyle w:val="6"/>
        <w:spacing w:before="159"/>
        <w:rPr>
          <w:color w:val="auto"/>
          <w:highlight w:val="none"/>
        </w:rPr>
      </w:pPr>
      <w:bookmarkStart w:id="1957" w:name="_Toc1682"/>
      <w:bookmarkStart w:id="1958" w:name="_Toc16937"/>
      <w:bookmarkStart w:id="1959" w:name="_Toc967"/>
      <w:bookmarkStart w:id="1960" w:name="_Toc13512"/>
      <w:bookmarkStart w:id="1961" w:name="_Toc300835090"/>
      <w:bookmarkStart w:id="1962" w:name="_Toc29249"/>
      <w:bookmarkStart w:id="1963" w:name="_Toc519085435"/>
      <w:r>
        <w:rPr>
          <w:rStyle w:val="68"/>
          <w:rFonts w:ascii="Times New Roman" w:hAnsi="Times New Roman"/>
          <w:color w:val="auto"/>
          <w:highlight w:val="none"/>
        </w:rPr>
        <w:t>6</w:t>
      </w:r>
      <w:r>
        <w:rPr>
          <w:rStyle w:val="68"/>
          <w:color w:val="auto"/>
          <w:highlight w:val="none"/>
        </w:rPr>
        <w:t>.</w:t>
      </w:r>
      <w:r>
        <w:rPr>
          <w:rStyle w:val="68"/>
          <w:rFonts w:ascii="Times New Roman" w:hAnsi="Times New Roman"/>
          <w:color w:val="auto"/>
          <w:highlight w:val="none"/>
        </w:rPr>
        <w:t>4</w:t>
      </w:r>
      <w:bookmarkEnd w:id="1957"/>
      <w:bookmarkEnd w:id="1958"/>
      <w:r>
        <w:rPr>
          <w:color w:val="auto"/>
          <w:highlight w:val="none"/>
        </w:rPr>
        <w:t xml:space="preserve"> </w:t>
      </w:r>
      <w:r>
        <w:rPr>
          <w:rStyle w:val="79"/>
          <w:color w:val="auto"/>
          <w:highlight w:val="none"/>
        </w:rPr>
        <w:t>实施方法</w:t>
      </w:r>
      <w:bookmarkEnd w:id="1959"/>
      <w:bookmarkEnd w:id="1960"/>
      <w:bookmarkEnd w:id="1961"/>
      <w:bookmarkEnd w:id="1962"/>
      <w:bookmarkEnd w:id="1963"/>
    </w:p>
    <w:p w14:paraId="22C3C117">
      <w:pPr>
        <w:spacing w:line="360" w:lineRule="auto"/>
        <w:ind w:firstLine="420" w:firstLineChars="200"/>
        <w:rPr>
          <w:color w:val="auto"/>
          <w:szCs w:val="21"/>
          <w:highlight w:val="none"/>
        </w:rPr>
      </w:pPr>
      <w:r>
        <w:rPr>
          <w:rFonts w:hAnsi="宋体"/>
          <w:color w:val="auto"/>
          <w:szCs w:val="21"/>
          <w:highlight w:val="none"/>
        </w:rPr>
        <w:t>承包人对材料的加工、工程设备的采购、制造、安装应当按照法律规定、合同约定以及行业习惯来实施。</w:t>
      </w:r>
    </w:p>
    <w:p w14:paraId="3A9EEDEB">
      <w:pPr>
        <w:pStyle w:val="6"/>
        <w:spacing w:before="159"/>
        <w:rPr>
          <w:color w:val="auto"/>
          <w:highlight w:val="none"/>
        </w:rPr>
      </w:pPr>
      <w:bookmarkStart w:id="1964" w:name="_Toc22730"/>
      <w:bookmarkStart w:id="1965" w:name="_Toc28104"/>
      <w:bookmarkStart w:id="1966" w:name="_Toc31425"/>
      <w:bookmarkStart w:id="1967" w:name="_Toc300835091"/>
      <w:bookmarkStart w:id="1968" w:name="_Toc11416"/>
      <w:bookmarkStart w:id="1969" w:name="_Toc519085436"/>
      <w:bookmarkStart w:id="1970" w:name="_Toc4053"/>
      <w:r>
        <w:rPr>
          <w:rStyle w:val="68"/>
          <w:rFonts w:ascii="Times New Roman" w:hAnsi="Times New Roman"/>
          <w:color w:val="auto"/>
          <w:highlight w:val="none"/>
        </w:rPr>
        <w:t>6</w:t>
      </w:r>
      <w:r>
        <w:rPr>
          <w:rStyle w:val="68"/>
          <w:color w:val="auto"/>
          <w:highlight w:val="none"/>
        </w:rPr>
        <w:t>.</w:t>
      </w:r>
      <w:r>
        <w:rPr>
          <w:rStyle w:val="68"/>
          <w:rFonts w:ascii="Times New Roman" w:hAnsi="Times New Roman"/>
          <w:color w:val="auto"/>
          <w:highlight w:val="none"/>
        </w:rPr>
        <w:t>5</w:t>
      </w:r>
      <w:r>
        <w:rPr>
          <w:rStyle w:val="68"/>
          <w:color w:val="auto"/>
          <w:highlight w:val="none"/>
        </w:rPr>
        <w:t xml:space="preserve"> </w:t>
      </w:r>
      <w:r>
        <w:rPr>
          <w:rStyle w:val="79"/>
          <w:color w:val="auto"/>
          <w:highlight w:val="none"/>
        </w:rPr>
        <w:t>禁止使用不合格的材料和工程设备</w:t>
      </w:r>
      <w:bookmarkEnd w:id="1964"/>
      <w:bookmarkEnd w:id="1965"/>
      <w:bookmarkEnd w:id="1966"/>
      <w:bookmarkEnd w:id="1967"/>
      <w:bookmarkEnd w:id="1968"/>
      <w:bookmarkEnd w:id="1969"/>
      <w:bookmarkEnd w:id="1970"/>
    </w:p>
    <w:p w14:paraId="3A6A2C54">
      <w:pPr>
        <w:spacing w:line="360" w:lineRule="auto"/>
        <w:ind w:firstLine="420" w:firstLineChars="200"/>
        <w:rPr>
          <w:color w:val="auto"/>
          <w:szCs w:val="21"/>
          <w:highlight w:val="none"/>
        </w:rPr>
      </w:pPr>
      <w:r>
        <w:rPr>
          <w:color w:val="auto"/>
          <w:highlight w:val="none"/>
        </w:rPr>
        <w:t>6.5.1</w:t>
      </w:r>
      <w:r>
        <w:rPr>
          <w:color w:val="auto"/>
          <w:szCs w:val="21"/>
          <w:highlight w:val="none"/>
        </w:rPr>
        <w:t xml:space="preserve"> </w:t>
      </w:r>
      <w:r>
        <w:rPr>
          <w:rFonts w:hAnsi="宋体"/>
          <w:color w:val="auto"/>
          <w:szCs w:val="21"/>
          <w:highlight w:val="none"/>
        </w:rPr>
        <w:t>监理人有权拒绝承包人提供的不合格材料或工程设备，并要求承包人立即进行更换。监理人应在更换后再次进行检查和检验，由此增加的费用和（或）工期延误由承包人承担。</w:t>
      </w:r>
    </w:p>
    <w:p w14:paraId="18AE1C4B">
      <w:pPr>
        <w:spacing w:line="360" w:lineRule="auto"/>
        <w:ind w:firstLine="420" w:firstLineChars="200"/>
        <w:rPr>
          <w:color w:val="auto"/>
          <w:szCs w:val="21"/>
          <w:highlight w:val="none"/>
        </w:rPr>
      </w:pPr>
      <w:r>
        <w:rPr>
          <w:color w:val="auto"/>
          <w:highlight w:val="none"/>
        </w:rPr>
        <w:t>6.5.2</w:t>
      </w:r>
      <w:r>
        <w:rPr>
          <w:color w:val="auto"/>
          <w:szCs w:val="21"/>
          <w:highlight w:val="none"/>
        </w:rPr>
        <w:t xml:space="preserve"> </w:t>
      </w:r>
      <w:r>
        <w:rPr>
          <w:rFonts w:hAnsi="宋体"/>
          <w:color w:val="auto"/>
          <w:szCs w:val="21"/>
          <w:highlight w:val="none"/>
        </w:rPr>
        <w:t>监理人发现承包人使用了不合格的材料和工程设备，应即时发出指示要求承包人立即改正，并禁止在工程中继续使用不合格的材料和工程设备。</w:t>
      </w:r>
    </w:p>
    <w:p w14:paraId="5EDE44BC">
      <w:pPr>
        <w:spacing w:line="360" w:lineRule="auto"/>
        <w:ind w:firstLine="420" w:firstLineChars="200"/>
        <w:rPr>
          <w:color w:val="auto"/>
          <w:szCs w:val="21"/>
          <w:highlight w:val="none"/>
        </w:rPr>
      </w:pPr>
      <w:r>
        <w:rPr>
          <w:color w:val="auto"/>
          <w:highlight w:val="none"/>
        </w:rPr>
        <w:t>6.5.3</w:t>
      </w:r>
      <w:r>
        <w:rPr>
          <w:color w:val="auto"/>
          <w:szCs w:val="21"/>
          <w:highlight w:val="none"/>
        </w:rPr>
        <w:t xml:space="preserve"> </w:t>
      </w:r>
      <w:r>
        <w:rPr>
          <w:rFonts w:hAnsi="宋体"/>
          <w:color w:val="auto"/>
          <w:szCs w:val="21"/>
          <w:highlight w:val="none"/>
        </w:rPr>
        <w:t>发包人提供的材料或工程设备不符合合同要求的，承包人有权拒绝，并可要求发包人更换，由此增加的费用和（或）工期延误由发包人承担。</w:t>
      </w:r>
    </w:p>
    <w:p w14:paraId="5EA369C0">
      <w:pPr>
        <w:pStyle w:val="5"/>
        <w:spacing w:before="159"/>
        <w:rPr>
          <w:rFonts w:ascii="Times New Roman" w:hAnsi="Times New Roman" w:eastAsia="宋体"/>
          <w:color w:val="auto"/>
          <w:highlight w:val="none"/>
        </w:rPr>
      </w:pPr>
      <w:bookmarkStart w:id="1971" w:name="_Toc7963"/>
      <w:bookmarkStart w:id="1972" w:name="_Toc6496"/>
      <w:bookmarkStart w:id="1973" w:name="_Toc16238"/>
      <w:bookmarkStart w:id="1974" w:name="_Toc519085437"/>
      <w:bookmarkStart w:id="1975" w:name="_Toc18018"/>
      <w:bookmarkStart w:id="1976" w:name="_Toc9265"/>
      <w:bookmarkStart w:id="1977" w:name="_Toc6285_WPSOffice_Level1"/>
      <w:bookmarkStart w:id="1978" w:name="_Toc300835092"/>
      <w:r>
        <w:rPr>
          <w:rFonts w:ascii="Times New Roman" w:hAnsi="Times New Roman" w:eastAsia="宋体"/>
          <w:color w:val="auto"/>
          <w:highlight w:val="none"/>
        </w:rPr>
        <w:t xml:space="preserve">7. </w:t>
      </w:r>
      <w:r>
        <w:rPr>
          <w:rStyle w:val="65"/>
          <w:color w:val="auto"/>
          <w:highlight w:val="none"/>
        </w:rPr>
        <w:t>施工设备和临时设施</w:t>
      </w:r>
      <w:bookmarkEnd w:id="1971"/>
      <w:bookmarkEnd w:id="1972"/>
      <w:bookmarkEnd w:id="1973"/>
      <w:bookmarkEnd w:id="1974"/>
      <w:bookmarkEnd w:id="1975"/>
      <w:bookmarkEnd w:id="1976"/>
      <w:bookmarkEnd w:id="1977"/>
      <w:bookmarkEnd w:id="1978"/>
    </w:p>
    <w:p w14:paraId="64D944D0">
      <w:pPr>
        <w:pStyle w:val="6"/>
        <w:spacing w:before="159"/>
        <w:rPr>
          <w:color w:val="auto"/>
          <w:highlight w:val="none"/>
        </w:rPr>
      </w:pPr>
      <w:bookmarkStart w:id="1979" w:name="_Toc10394"/>
      <w:bookmarkStart w:id="1980" w:name="_Toc15578"/>
      <w:bookmarkStart w:id="1981" w:name="_Toc32428"/>
      <w:bookmarkStart w:id="1982" w:name="_Toc21591_WPSOffice_Level2"/>
      <w:bookmarkStart w:id="1983" w:name="_Toc2682"/>
      <w:bookmarkStart w:id="1984" w:name="_Toc26566"/>
      <w:bookmarkStart w:id="1985" w:name="_Toc519085438"/>
      <w:bookmarkStart w:id="1986" w:name="_Toc300835093"/>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1</w:t>
      </w:r>
      <w:bookmarkEnd w:id="1979"/>
      <w:bookmarkEnd w:id="1980"/>
      <w:r>
        <w:rPr>
          <w:color w:val="auto"/>
          <w:highlight w:val="none"/>
        </w:rPr>
        <w:t xml:space="preserve"> </w:t>
      </w:r>
      <w:r>
        <w:rPr>
          <w:rStyle w:val="79"/>
          <w:color w:val="auto"/>
          <w:highlight w:val="none"/>
        </w:rPr>
        <w:t>承包人提供的施工设备和临时设施</w:t>
      </w:r>
      <w:bookmarkEnd w:id="1981"/>
      <w:bookmarkEnd w:id="1982"/>
      <w:bookmarkEnd w:id="1983"/>
      <w:bookmarkEnd w:id="1984"/>
      <w:bookmarkEnd w:id="1985"/>
      <w:bookmarkEnd w:id="1986"/>
    </w:p>
    <w:p w14:paraId="589D03E9">
      <w:pPr>
        <w:spacing w:line="360" w:lineRule="auto"/>
        <w:ind w:firstLine="420" w:firstLineChars="200"/>
        <w:rPr>
          <w:color w:val="auto"/>
          <w:szCs w:val="21"/>
          <w:highlight w:val="none"/>
        </w:rPr>
      </w:pPr>
      <w:r>
        <w:rPr>
          <w:color w:val="auto"/>
          <w:highlight w:val="none"/>
        </w:rPr>
        <w:t>7.1.1</w:t>
      </w:r>
      <w:r>
        <w:rPr>
          <w:color w:val="auto"/>
          <w:szCs w:val="21"/>
          <w:highlight w:val="none"/>
        </w:rPr>
        <w:t xml:space="preserve"> </w:t>
      </w:r>
      <w:r>
        <w:rPr>
          <w:rFonts w:hAnsi="宋体"/>
          <w:color w:val="auto"/>
          <w:szCs w:val="21"/>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176CADB0">
      <w:pPr>
        <w:spacing w:line="360" w:lineRule="auto"/>
        <w:ind w:firstLine="420" w:firstLineChars="200"/>
        <w:rPr>
          <w:color w:val="auto"/>
          <w:szCs w:val="21"/>
          <w:highlight w:val="none"/>
        </w:rPr>
      </w:pPr>
      <w:r>
        <w:rPr>
          <w:color w:val="auto"/>
          <w:highlight w:val="none"/>
        </w:rPr>
        <w:t>7.1.2</w:t>
      </w:r>
      <w:r>
        <w:rPr>
          <w:color w:val="auto"/>
          <w:szCs w:val="21"/>
          <w:highlight w:val="none"/>
        </w:rPr>
        <w:t xml:space="preserve"> </w:t>
      </w:r>
      <w:r>
        <w:rPr>
          <w:rFonts w:hAnsi="宋体"/>
          <w:color w:val="auto"/>
          <w:szCs w:val="21"/>
          <w:highlight w:val="none"/>
        </w:rPr>
        <w:t>除专用合同条款另有约定外，承包人应自行承担修建临时设施的费用。需要临时占地的，应由发包人办理申请手续并承担相应费用。</w:t>
      </w:r>
    </w:p>
    <w:p w14:paraId="5C9A3F58">
      <w:pPr>
        <w:pStyle w:val="6"/>
        <w:spacing w:before="159"/>
        <w:rPr>
          <w:color w:val="auto"/>
          <w:highlight w:val="none"/>
        </w:rPr>
      </w:pPr>
      <w:bookmarkStart w:id="1987" w:name="_Toc17818"/>
      <w:bookmarkStart w:id="1988" w:name="_Toc32547"/>
      <w:bookmarkStart w:id="1989" w:name="_Toc846"/>
      <w:bookmarkStart w:id="1990" w:name="_Toc26575"/>
      <w:bookmarkStart w:id="1991" w:name="_Toc19654_WPSOffice_Level2"/>
      <w:bookmarkStart w:id="1992" w:name="_Toc8194"/>
      <w:bookmarkStart w:id="1993" w:name="_Toc300835094"/>
      <w:bookmarkStart w:id="1994" w:name="_Toc519085439"/>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2</w:t>
      </w:r>
      <w:bookmarkEnd w:id="1987"/>
      <w:bookmarkEnd w:id="1988"/>
      <w:r>
        <w:rPr>
          <w:color w:val="auto"/>
          <w:highlight w:val="none"/>
        </w:rPr>
        <w:t xml:space="preserve"> </w:t>
      </w:r>
      <w:r>
        <w:rPr>
          <w:rStyle w:val="79"/>
          <w:color w:val="auto"/>
          <w:highlight w:val="none"/>
        </w:rPr>
        <w:t>发包人提供的施工设备和临时设施（</w:t>
      </w:r>
      <w:r>
        <w:rPr>
          <w:color w:val="auto"/>
          <w:highlight w:val="none"/>
        </w:rPr>
        <w:t>A</w:t>
      </w:r>
      <w:r>
        <w:rPr>
          <w:rStyle w:val="79"/>
          <w:color w:val="auto"/>
          <w:highlight w:val="none"/>
        </w:rPr>
        <w:t>）</w:t>
      </w:r>
      <w:bookmarkEnd w:id="1989"/>
      <w:bookmarkEnd w:id="1990"/>
      <w:bookmarkEnd w:id="1991"/>
      <w:bookmarkEnd w:id="1992"/>
      <w:bookmarkEnd w:id="1993"/>
      <w:bookmarkEnd w:id="1994"/>
    </w:p>
    <w:p w14:paraId="42E13E64">
      <w:pPr>
        <w:spacing w:line="360" w:lineRule="auto"/>
        <w:ind w:firstLine="420" w:firstLineChars="200"/>
        <w:rPr>
          <w:color w:val="auto"/>
          <w:szCs w:val="21"/>
          <w:highlight w:val="none"/>
        </w:rPr>
      </w:pPr>
      <w:r>
        <w:rPr>
          <w:rFonts w:hAnsi="宋体"/>
          <w:color w:val="auto"/>
          <w:szCs w:val="21"/>
          <w:highlight w:val="none"/>
        </w:rPr>
        <w:t>发包人提供的施工设备或临时设施在专用合同条款中约定。</w:t>
      </w:r>
    </w:p>
    <w:p w14:paraId="6BB6F99B">
      <w:pPr>
        <w:pStyle w:val="6"/>
        <w:spacing w:before="159"/>
        <w:rPr>
          <w:color w:val="auto"/>
          <w:highlight w:val="none"/>
        </w:rPr>
      </w:pPr>
      <w:bookmarkStart w:id="1995" w:name="_Toc29161"/>
      <w:bookmarkStart w:id="1996" w:name="_Toc25557"/>
      <w:bookmarkStart w:id="1997" w:name="_Toc30403"/>
      <w:bookmarkStart w:id="1998" w:name="_Toc519085440"/>
      <w:bookmarkStart w:id="1999" w:name="_Toc300835095"/>
      <w:bookmarkStart w:id="2000" w:name="_Toc10243"/>
      <w:bookmarkStart w:id="2001" w:name="_Toc32029"/>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2</w:t>
      </w:r>
      <w:r>
        <w:rPr>
          <w:rStyle w:val="68"/>
          <w:color w:val="auto"/>
          <w:highlight w:val="none"/>
        </w:rPr>
        <w:t xml:space="preserve"> </w:t>
      </w:r>
      <w:r>
        <w:rPr>
          <w:rStyle w:val="79"/>
          <w:color w:val="auto"/>
          <w:highlight w:val="none"/>
        </w:rPr>
        <w:t>发包人提供的施工设备和临时设施（</w:t>
      </w:r>
      <w:bookmarkEnd w:id="1995"/>
      <w:bookmarkEnd w:id="1996"/>
      <w:r>
        <w:rPr>
          <w:color w:val="auto"/>
          <w:highlight w:val="none"/>
        </w:rPr>
        <w:t>B</w:t>
      </w:r>
      <w:r>
        <w:rPr>
          <w:rStyle w:val="79"/>
          <w:color w:val="auto"/>
          <w:highlight w:val="none"/>
        </w:rPr>
        <w:t>）</w:t>
      </w:r>
      <w:bookmarkEnd w:id="1997"/>
      <w:bookmarkEnd w:id="1998"/>
      <w:bookmarkEnd w:id="1999"/>
      <w:bookmarkEnd w:id="2000"/>
      <w:bookmarkEnd w:id="2001"/>
    </w:p>
    <w:p w14:paraId="7679CB73">
      <w:pPr>
        <w:spacing w:line="360" w:lineRule="auto"/>
        <w:ind w:firstLine="420" w:firstLineChars="200"/>
        <w:rPr>
          <w:color w:val="auto"/>
          <w:szCs w:val="21"/>
          <w:highlight w:val="none"/>
        </w:rPr>
      </w:pPr>
      <w:r>
        <w:rPr>
          <w:rFonts w:hAnsi="宋体"/>
          <w:color w:val="auto"/>
          <w:szCs w:val="21"/>
          <w:highlight w:val="none"/>
        </w:rPr>
        <w:t>发包人不提供施工设备或临时设施。</w:t>
      </w:r>
    </w:p>
    <w:p w14:paraId="7E9BF255">
      <w:pPr>
        <w:pStyle w:val="6"/>
        <w:spacing w:before="159"/>
        <w:rPr>
          <w:color w:val="auto"/>
          <w:highlight w:val="none"/>
        </w:rPr>
      </w:pPr>
      <w:bookmarkStart w:id="2002" w:name="_Toc1126"/>
      <w:bookmarkStart w:id="2003" w:name="_Toc4452"/>
      <w:bookmarkStart w:id="2004" w:name="_Toc19516"/>
      <w:bookmarkStart w:id="2005" w:name="_Toc27266"/>
      <w:bookmarkStart w:id="2006" w:name="_Toc300835096"/>
      <w:bookmarkStart w:id="2007" w:name="_Toc519085441"/>
      <w:bookmarkStart w:id="2008" w:name="_Toc11279"/>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3</w:t>
      </w:r>
      <w:bookmarkEnd w:id="2002"/>
      <w:bookmarkEnd w:id="2003"/>
      <w:r>
        <w:rPr>
          <w:color w:val="auto"/>
          <w:highlight w:val="none"/>
        </w:rPr>
        <w:t xml:space="preserve"> </w:t>
      </w:r>
      <w:r>
        <w:rPr>
          <w:rStyle w:val="79"/>
          <w:color w:val="auto"/>
          <w:highlight w:val="none"/>
        </w:rPr>
        <w:t>要求承包人增加或更换施工设备</w:t>
      </w:r>
      <w:bookmarkEnd w:id="2004"/>
      <w:bookmarkEnd w:id="2005"/>
      <w:bookmarkEnd w:id="2006"/>
      <w:bookmarkEnd w:id="2007"/>
      <w:bookmarkEnd w:id="2008"/>
    </w:p>
    <w:p w14:paraId="0F886481">
      <w:pPr>
        <w:spacing w:line="360" w:lineRule="auto"/>
        <w:ind w:firstLine="420" w:firstLineChars="200"/>
        <w:rPr>
          <w:color w:val="auto"/>
          <w:szCs w:val="21"/>
          <w:highlight w:val="none"/>
        </w:rPr>
      </w:pPr>
      <w:r>
        <w:rPr>
          <w:rFonts w:hAnsi="宋体"/>
          <w:color w:val="auto"/>
          <w:szCs w:val="21"/>
          <w:highlight w:val="none"/>
        </w:rPr>
        <w:t>承包人使用的施工设备不能满足合同进度计划和（或）质量标准时，监理人有权要求承包人增加或更换施工设备，承包人应及时增加或更换，由此增加的费用和（或）工期延误由承包人承担。</w:t>
      </w:r>
    </w:p>
    <w:p w14:paraId="05BA9E60">
      <w:pPr>
        <w:pStyle w:val="6"/>
        <w:spacing w:before="159"/>
        <w:rPr>
          <w:color w:val="auto"/>
          <w:highlight w:val="none"/>
        </w:rPr>
      </w:pPr>
      <w:bookmarkStart w:id="2009" w:name="_Toc24604"/>
      <w:bookmarkStart w:id="2010" w:name="_Toc7552"/>
      <w:bookmarkStart w:id="2011" w:name="_Toc28258"/>
      <w:bookmarkStart w:id="2012" w:name="_Toc519085442"/>
      <w:bookmarkStart w:id="2013" w:name="_Toc305"/>
      <w:bookmarkStart w:id="2014" w:name="_Toc11497"/>
      <w:bookmarkStart w:id="2015" w:name="_Toc300835097"/>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4</w:t>
      </w:r>
      <w:bookmarkEnd w:id="2009"/>
      <w:bookmarkEnd w:id="2010"/>
      <w:r>
        <w:rPr>
          <w:color w:val="auto"/>
          <w:highlight w:val="none"/>
        </w:rPr>
        <w:t xml:space="preserve"> </w:t>
      </w:r>
      <w:r>
        <w:rPr>
          <w:rStyle w:val="79"/>
          <w:color w:val="auto"/>
          <w:highlight w:val="none"/>
        </w:rPr>
        <w:t>施工设备和临时设施专用于合同工程</w:t>
      </w:r>
      <w:bookmarkEnd w:id="2011"/>
      <w:bookmarkEnd w:id="2012"/>
      <w:bookmarkEnd w:id="2013"/>
      <w:bookmarkEnd w:id="2014"/>
      <w:bookmarkEnd w:id="2015"/>
    </w:p>
    <w:p w14:paraId="5A10D904">
      <w:pPr>
        <w:spacing w:line="360" w:lineRule="auto"/>
        <w:ind w:firstLine="420" w:firstLineChars="200"/>
        <w:rPr>
          <w:color w:val="auto"/>
          <w:szCs w:val="21"/>
          <w:highlight w:val="none"/>
        </w:rPr>
      </w:pPr>
      <w:r>
        <w:rPr>
          <w:color w:val="auto"/>
          <w:highlight w:val="none"/>
        </w:rPr>
        <w:t>7.4.1</w:t>
      </w:r>
      <w:r>
        <w:rPr>
          <w:color w:val="auto"/>
          <w:szCs w:val="21"/>
          <w:highlight w:val="none"/>
        </w:rPr>
        <w:t xml:space="preserve"> </w:t>
      </w:r>
      <w:r>
        <w:rPr>
          <w:rFonts w:hAnsi="宋体"/>
          <w:color w:val="auto"/>
          <w:szCs w:val="21"/>
          <w:highlight w:val="none"/>
        </w:rPr>
        <w:t>除合同另有约定外，运入施工场地的所有施工设备以及在施工场地建设的临时设施应专用于合同工程。未经监理人同意，不得将上述施工设备和临时设施中的任何部分运出施工场地或挪作他用。</w:t>
      </w:r>
    </w:p>
    <w:p w14:paraId="250816FA">
      <w:pPr>
        <w:spacing w:line="360" w:lineRule="auto"/>
        <w:ind w:firstLine="420" w:firstLineChars="200"/>
        <w:rPr>
          <w:color w:val="auto"/>
          <w:szCs w:val="21"/>
          <w:highlight w:val="none"/>
        </w:rPr>
      </w:pPr>
      <w:r>
        <w:rPr>
          <w:color w:val="auto"/>
          <w:highlight w:val="none"/>
        </w:rPr>
        <w:t>7.4.2</w:t>
      </w:r>
      <w:r>
        <w:rPr>
          <w:color w:val="auto"/>
          <w:szCs w:val="21"/>
          <w:highlight w:val="none"/>
        </w:rPr>
        <w:t xml:space="preserve"> </w:t>
      </w:r>
      <w:r>
        <w:rPr>
          <w:rFonts w:hAnsi="宋体"/>
          <w:color w:val="auto"/>
          <w:szCs w:val="21"/>
          <w:highlight w:val="none"/>
        </w:rPr>
        <w:t>经监理人同意，承包人可根据合同进度计划撤走闲置的施工设备。</w:t>
      </w:r>
    </w:p>
    <w:p w14:paraId="122D876D">
      <w:pPr>
        <w:pStyle w:val="5"/>
        <w:spacing w:before="159"/>
        <w:rPr>
          <w:rFonts w:ascii="Times New Roman" w:hAnsi="Times New Roman" w:eastAsia="宋体"/>
          <w:color w:val="auto"/>
          <w:highlight w:val="none"/>
        </w:rPr>
      </w:pPr>
      <w:bookmarkStart w:id="2016" w:name="_Toc14148_WPSOffice_Level1"/>
      <w:bookmarkStart w:id="2017" w:name="_Toc18220"/>
      <w:bookmarkStart w:id="2018" w:name="_Toc519085443"/>
      <w:bookmarkStart w:id="2019" w:name="_Toc300835098"/>
      <w:bookmarkStart w:id="2020" w:name="_Toc32174"/>
      <w:bookmarkStart w:id="2021" w:name="_Toc17049"/>
      <w:bookmarkStart w:id="2022" w:name="_Toc948"/>
      <w:bookmarkStart w:id="2023" w:name="_Toc21945"/>
      <w:r>
        <w:rPr>
          <w:rFonts w:ascii="Times New Roman" w:hAnsi="Times New Roman" w:eastAsia="宋体"/>
          <w:color w:val="auto"/>
          <w:highlight w:val="none"/>
        </w:rPr>
        <w:t xml:space="preserve">8. </w:t>
      </w:r>
      <w:r>
        <w:rPr>
          <w:rStyle w:val="65"/>
          <w:color w:val="auto"/>
          <w:highlight w:val="none"/>
        </w:rPr>
        <w:t>交通运输</w:t>
      </w:r>
      <w:bookmarkEnd w:id="2016"/>
      <w:bookmarkEnd w:id="2017"/>
      <w:bookmarkEnd w:id="2018"/>
      <w:bookmarkEnd w:id="2019"/>
      <w:bookmarkEnd w:id="2020"/>
      <w:bookmarkEnd w:id="2021"/>
      <w:bookmarkEnd w:id="2022"/>
      <w:bookmarkEnd w:id="2023"/>
    </w:p>
    <w:p w14:paraId="5CB1794D">
      <w:pPr>
        <w:pStyle w:val="6"/>
        <w:spacing w:before="159"/>
        <w:rPr>
          <w:color w:val="auto"/>
          <w:highlight w:val="none"/>
        </w:rPr>
      </w:pPr>
      <w:bookmarkStart w:id="2024" w:name="_Toc19477"/>
      <w:bookmarkStart w:id="2025" w:name="_Toc4843"/>
      <w:bookmarkStart w:id="2026" w:name="_Toc28381"/>
      <w:bookmarkStart w:id="2027" w:name="_Toc519085444"/>
      <w:bookmarkStart w:id="2028" w:name="_Toc14039_WPSOffice_Level2"/>
      <w:bookmarkStart w:id="2029" w:name="_Toc7157"/>
      <w:bookmarkStart w:id="2030" w:name="_Toc300835099"/>
      <w:bookmarkStart w:id="2031" w:name="_Toc30077"/>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1</w:t>
      </w:r>
      <w:bookmarkEnd w:id="2024"/>
      <w:bookmarkEnd w:id="2025"/>
      <w:r>
        <w:rPr>
          <w:color w:val="auto"/>
          <w:highlight w:val="none"/>
        </w:rPr>
        <w:t xml:space="preserve"> </w:t>
      </w:r>
      <w:r>
        <w:rPr>
          <w:rStyle w:val="79"/>
          <w:color w:val="auto"/>
          <w:highlight w:val="none"/>
        </w:rPr>
        <w:t>道路通行权和场外设施（</w:t>
      </w:r>
      <w:r>
        <w:rPr>
          <w:color w:val="auto"/>
          <w:highlight w:val="none"/>
        </w:rPr>
        <w:t>A</w:t>
      </w:r>
      <w:r>
        <w:rPr>
          <w:rStyle w:val="79"/>
          <w:color w:val="auto"/>
          <w:highlight w:val="none"/>
        </w:rPr>
        <w:t>）</w:t>
      </w:r>
      <w:bookmarkEnd w:id="2026"/>
      <w:bookmarkEnd w:id="2027"/>
      <w:bookmarkEnd w:id="2028"/>
      <w:bookmarkEnd w:id="2029"/>
      <w:bookmarkEnd w:id="2030"/>
      <w:bookmarkEnd w:id="2031"/>
    </w:p>
    <w:p w14:paraId="4D3CE15F">
      <w:pPr>
        <w:spacing w:line="360" w:lineRule="auto"/>
        <w:ind w:firstLine="420" w:firstLineChars="200"/>
        <w:rPr>
          <w:color w:val="auto"/>
          <w:szCs w:val="21"/>
          <w:highlight w:val="none"/>
        </w:rPr>
      </w:pPr>
      <w:r>
        <w:rPr>
          <w:rFonts w:hAnsi="宋体"/>
          <w:color w:val="auto"/>
          <w:szCs w:val="21"/>
          <w:highlight w:val="none"/>
        </w:rPr>
        <w:t>发包人应根据工程的施工需要，负责办理取得出入施工场地的专用和临时道路的通行权，以及取得为工程建设所需修建场外设施的权利，并承担有关费用。承包人应协助发包人办理上述手续。</w:t>
      </w:r>
    </w:p>
    <w:p w14:paraId="48CF83DA">
      <w:pPr>
        <w:pStyle w:val="6"/>
        <w:spacing w:before="159"/>
        <w:rPr>
          <w:color w:val="auto"/>
          <w:highlight w:val="none"/>
        </w:rPr>
      </w:pPr>
      <w:bookmarkStart w:id="2032" w:name="_Toc15229"/>
      <w:bookmarkStart w:id="2033" w:name="_Toc21759"/>
      <w:bookmarkStart w:id="2034" w:name="_Toc22021"/>
      <w:bookmarkStart w:id="2035" w:name="_Toc25453"/>
      <w:bookmarkStart w:id="2036" w:name="_Toc300835100"/>
      <w:bookmarkStart w:id="2037" w:name="_Toc25516"/>
      <w:bookmarkStart w:id="2038" w:name="_Toc519085445"/>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1</w:t>
      </w:r>
      <w:bookmarkEnd w:id="2032"/>
      <w:bookmarkEnd w:id="2033"/>
      <w:r>
        <w:rPr>
          <w:color w:val="auto"/>
          <w:highlight w:val="none"/>
        </w:rPr>
        <w:t xml:space="preserve"> </w:t>
      </w:r>
      <w:r>
        <w:rPr>
          <w:rStyle w:val="79"/>
          <w:color w:val="auto"/>
          <w:highlight w:val="none"/>
        </w:rPr>
        <w:t>道路通行权和场外设施（</w:t>
      </w:r>
      <w:r>
        <w:rPr>
          <w:color w:val="auto"/>
          <w:highlight w:val="none"/>
        </w:rPr>
        <w:t>B</w:t>
      </w:r>
      <w:r>
        <w:rPr>
          <w:rStyle w:val="79"/>
          <w:color w:val="auto"/>
          <w:highlight w:val="none"/>
        </w:rPr>
        <w:t>）</w:t>
      </w:r>
      <w:bookmarkEnd w:id="2034"/>
      <w:bookmarkEnd w:id="2035"/>
      <w:bookmarkEnd w:id="2036"/>
      <w:bookmarkEnd w:id="2037"/>
      <w:bookmarkEnd w:id="2038"/>
    </w:p>
    <w:p w14:paraId="0B9F8D52">
      <w:pPr>
        <w:spacing w:line="360" w:lineRule="auto"/>
        <w:ind w:firstLine="420" w:firstLineChars="200"/>
        <w:rPr>
          <w:color w:val="auto"/>
          <w:szCs w:val="21"/>
          <w:highlight w:val="none"/>
        </w:rPr>
      </w:pPr>
      <w:r>
        <w:rPr>
          <w:rFonts w:hAnsi="宋体"/>
          <w:color w:val="auto"/>
          <w:szCs w:val="21"/>
          <w:highlight w:val="none"/>
        </w:rPr>
        <w:t>承包人应根据工程的施工需要，负责办理取得出入施工场地的专用和临时道路的通行权，以及取得为工程建设所需修建场外设施的权利，并承担有关费用。发包人应协助承包人办理上述手续。</w:t>
      </w:r>
    </w:p>
    <w:p w14:paraId="2AD53FF3">
      <w:pPr>
        <w:spacing w:line="360" w:lineRule="auto"/>
        <w:ind w:firstLine="420" w:firstLineChars="200"/>
        <w:rPr>
          <w:color w:val="auto"/>
          <w:szCs w:val="21"/>
          <w:highlight w:val="none"/>
        </w:rPr>
      </w:pPr>
    </w:p>
    <w:p w14:paraId="47897C0A">
      <w:pPr>
        <w:pStyle w:val="6"/>
        <w:spacing w:before="159"/>
        <w:rPr>
          <w:color w:val="auto"/>
          <w:highlight w:val="none"/>
        </w:rPr>
      </w:pPr>
      <w:bookmarkStart w:id="2039" w:name="_Toc24959"/>
      <w:bookmarkStart w:id="2040" w:name="_Toc11283"/>
      <w:bookmarkStart w:id="2041" w:name="_Toc300835101"/>
      <w:bookmarkStart w:id="2042" w:name="_Toc495"/>
      <w:bookmarkStart w:id="2043" w:name="_Toc26791"/>
      <w:bookmarkStart w:id="2044" w:name="_Toc519085446"/>
      <w:bookmarkStart w:id="2045" w:name="_Toc26613"/>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2</w:t>
      </w:r>
      <w:bookmarkEnd w:id="2039"/>
      <w:bookmarkEnd w:id="2040"/>
      <w:r>
        <w:rPr>
          <w:color w:val="auto"/>
          <w:highlight w:val="none"/>
        </w:rPr>
        <w:t xml:space="preserve"> </w:t>
      </w:r>
      <w:r>
        <w:rPr>
          <w:rStyle w:val="79"/>
          <w:color w:val="auto"/>
          <w:highlight w:val="none"/>
        </w:rPr>
        <w:t>场内施工道路</w:t>
      </w:r>
      <w:bookmarkEnd w:id="2041"/>
      <w:bookmarkEnd w:id="2042"/>
      <w:bookmarkEnd w:id="2043"/>
      <w:bookmarkEnd w:id="2044"/>
      <w:bookmarkEnd w:id="2045"/>
    </w:p>
    <w:p w14:paraId="7838C308">
      <w:pPr>
        <w:spacing w:line="360" w:lineRule="auto"/>
        <w:ind w:firstLine="420" w:firstLineChars="200"/>
        <w:rPr>
          <w:color w:val="auto"/>
          <w:szCs w:val="21"/>
          <w:highlight w:val="none"/>
        </w:rPr>
      </w:pPr>
      <w:r>
        <w:rPr>
          <w:color w:val="auto"/>
          <w:highlight w:val="none"/>
        </w:rPr>
        <w:t>8.2.1</w:t>
      </w:r>
      <w:r>
        <w:rPr>
          <w:color w:val="auto"/>
          <w:szCs w:val="21"/>
          <w:highlight w:val="none"/>
        </w:rPr>
        <w:t xml:space="preserve"> </w:t>
      </w:r>
      <w:r>
        <w:rPr>
          <w:rFonts w:hAnsi="宋体"/>
          <w:color w:val="auto"/>
          <w:szCs w:val="21"/>
          <w:highlight w:val="none"/>
        </w:rPr>
        <w:t>除专用合同条款另有约定外，承包人应负责修建、维修、养护和管理施工所需的临时道路和交通设施，包括维修、养护和管理发包人提供的道路和交通设施，并承担相应费用。</w:t>
      </w:r>
    </w:p>
    <w:p w14:paraId="4524E911">
      <w:pPr>
        <w:spacing w:line="360" w:lineRule="auto"/>
        <w:ind w:firstLine="420" w:firstLineChars="200"/>
        <w:rPr>
          <w:color w:val="auto"/>
          <w:szCs w:val="21"/>
          <w:highlight w:val="none"/>
        </w:rPr>
      </w:pPr>
      <w:r>
        <w:rPr>
          <w:color w:val="auto"/>
          <w:highlight w:val="none"/>
        </w:rPr>
        <w:t>8.2.2</w:t>
      </w:r>
      <w:r>
        <w:rPr>
          <w:color w:val="auto"/>
          <w:szCs w:val="21"/>
          <w:highlight w:val="none"/>
        </w:rPr>
        <w:t xml:space="preserve"> </w:t>
      </w:r>
      <w:r>
        <w:rPr>
          <w:rFonts w:hAnsi="宋体"/>
          <w:color w:val="auto"/>
          <w:szCs w:val="21"/>
          <w:highlight w:val="none"/>
        </w:rPr>
        <w:t>除专用合同条款另有约定外，承包人修建的临时道路和交通设施应免费提供发包人和监理人为实现合同目的使用。</w:t>
      </w:r>
    </w:p>
    <w:p w14:paraId="16E3B9AC">
      <w:pPr>
        <w:pStyle w:val="6"/>
        <w:spacing w:before="159"/>
        <w:rPr>
          <w:color w:val="auto"/>
          <w:highlight w:val="none"/>
        </w:rPr>
      </w:pPr>
      <w:bookmarkStart w:id="2046" w:name="_Toc15283"/>
      <w:bookmarkStart w:id="2047" w:name="_Toc5276"/>
      <w:bookmarkStart w:id="2048" w:name="_Toc2235"/>
      <w:bookmarkStart w:id="2049" w:name="_Toc29861"/>
      <w:bookmarkStart w:id="2050" w:name="_Toc300835102"/>
      <w:bookmarkStart w:id="2051" w:name="_Toc519085447"/>
      <w:bookmarkStart w:id="2052" w:name="_Toc29733"/>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3</w:t>
      </w:r>
      <w:bookmarkEnd w:id="2046"/>
      <w:bookmarkEnd w:id="2047"/>
      <w:r>
        <w:rPr>
          <w:color w:val="auto"/>
          <w:highlight w:val="none"/>
        </w:rPr>
        <w:t xml:space="preserve"> </w:t>
      </w:r>
      <w:r>
        <w:rPr>
          <w:rStyle w:val="79"/>
          <w:color w:val="auto"/>
          <w:highlight w:val="none"/>
        </w:rPr>
        <w:t>场外交通</w:t>
      </w:r>
      <w:bookmarkEnd w:id="2048"/>
      <w:bookmarkEnd w:id="2049"/>
      <w:bookmarkEnd w:id="2050"/>
      <w:bookmarkEnd w:id="2051"/>
      <w:bookmarkEnd w:id="2052"/>
    </w:p>
    <w:p w14:paraId="6AB95C5C">
      <w:pPr>
        <w:spacing w:line="360" w:lineRule="auto"/>
        <w:ind w:firstLine="420" w:firstLineChars="200"/>
        <w:rPr>
          <w:color w:val="auto"/>
          <w:szCs w:val="21"/>
          <w:highlight w:val="none"/>
        </w:rPr>
      </w:pPr>
      <w:r>
        <w:rPr>
          <w:color w:val="auto"/>
          <w:highlight w:val="none"/>
        </w:rPr>
        <w:t>8.3.1</w:t>
      </w:r>
      <w:r>
        <w:rPr>
          <w:color w:val="auto"/>
          <w:szCs w:val="21"/>
          <w:highlight w:val="none"/>
        </w:rPr>
        <w:t xml:space="preserve"> </w:t>
      </w:r>
      <w:r>
        <w:rPr>
          <w:rFonts w:hAnsi="宋体"/>
          <w:color w:val="auto"/>
          <w:szCs w:val="21"/>
          <w:highlight w:val="none"/>
        </w:rPr>
        <w:t>承包人车辆外出行驶所需的场外公共道路的通行费、养路费和税款等由承包人承担。</w:t>
      </w:r>
    </w:p>
    <w:p w14:paraId="396AFA01">
      <w:pPr>
        <w:spacing w:line="360" w:lineRule="auto"/>
        <w:ind w:firstLine="420" w:firstLineChars="200"/>
        <w:rPr>
          <w:color w:val="auto"/>
          <w:szCs w:val="21"/>
          <w:highlight w:val="none"/>
        </w:rPr>
      </w:pPr>
      <w:r>
        <w:rPr>
          <w:color w:val="auto"/>
          <w:highlight w:val="none"/>
        </w:rPr>
        <w:t>8.3.2</w:t>
      </w:r>
      <w:r>
        <w:rPr>
          <w:color w:val="auto"/>
          <w:szCs w:val="21"/>
          <w:highlight w:val="none"/>
        </w:rPr>
        <w:t xml:space="preserve"> </w:t>
      </w:r>
      <w:r>
        <w:rPr>
          <w:rFonts w:hAnsi="宋体"/>
          <w:color w:val="auto"/>
          <w:szCs w:val="21"/>
          <w:highlight w:val="none"/>
        </w:rPr>
        <w:t>承包人应遵守有关交通法规，严格按照道路和桥梁的限制荷重安全行驶，并服从交通管理部门的检查和监督。</w:t>
      </w:r>
    </w:p>
    <w:p w14:paraId="2702E06D">
      <w:pPr>
        <w:pStyle w:val="6"/>
        <w:spacing w:before="159"/>
        <w:rPr>
          <w:color w:val="auto"/>
          <w:highlight w:val="none"/>
        </w:rPr>
      </w:pPr>
      <w:bookmarkStart w:id="2053" w:name="_Toc3499"/>
      <w:bookmarkStart w:id="2054" w:name="_Toc147"/>
      <w:bookmarkStart w:id="2055" w:name="_Toc28783"/>
      <w:bookmarkStart w:id="2056" w:name="_Toc24644"/>
      <w:bookmarkStart w:id="2057" w:name="_Toc300835103"/>
      <w:bookmarkStart w:id="2058" w:name="_Toc7603"/>
      <w:bookmarkStart w:id="2059" w:name="_Toc519085448"/>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4</w:t>
      </w:r>
      <w:bookmarkEnd w:id="2053"/>
      <w:bookmarkEnd w:id="2054"/>
      <w:r>
        <w:rPr>
          <w:color w:val="auto"/>
          <w:highlight w:val="none"/>
        </w:rPr>
        <w:t xml:space="preserve"> </w:t>
      </w:r>
      <w:r>
        <w:rPr>
          <w:rStyle w:val="79"/>
          <w:color w:val="auto"/>
          <w:highlight w:val="none"/>
        </w:rPr>
        <w:t>超大件和超重件的运输</w:t>
      </w:r>
      <w:bookmarkEnd w:id="2055"/>
      <w:bookmarkEnd w:id="2056"/>
      <w:bookmarkEnd w:id="2057"/>
      <w:bookmarkEnd w:id="2058"/>
      <w:bookmarkEnd w:id="2059"/>
    </w:p>
    <w:p w14:paraId="54B0B974">
      <w:pPr>
        <w:spacing w:line="360" w:lineRule="auto"/>
        <w:ind w:firstLine="420" w:firstLineChars="200"/>
        <w:rPr>
          <w:color w:val="auto"/>
          <w:szCs w:val="21"/>
          <w:highlight w:val="none"/>
        </w:rPr>
      </w:pPr>
      <w:r>
        <w:rPr>
          <w:rFonts w:hAnsi="宋体"/>
          <w:color w:val="auto"/>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725436C6">
      <w:pPr>
        <w:pStyle w:val="6"/>
        <w:spacing w:before="159"/>
        <w:rPr>
          <w:color w:val="auto"/>
          <w:highlight w:val="none"/>
        </w:rPr>
      </w:pPr>
      <w:bookmarkStart w:id="2060" w:name="_Toc3754"/>
      <w:bookmarkStart w:id="2061" w:name="_Toc5880"/>
      <w:bookmarkStart w:id="2062" w:name="_Toc300835104"/>
      <w:bookmarkStart w:id="2063" w:name="_Toc7030"/>
      <w:bookmarkStart w:id="2064" w:name="_Toc4052"/>
      <w:bookmarkStart w:id="2065" w:name="_Toc519085449"/>
      <w:bookmarkStart w:id="2066" w:name="_Toc14432"/>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5</w:t>
      </w:r>
      <w:bookmarkEnd w:id="2060"/>
      <w:bookmarkEnd w:id="2061"/>
      <w:r>
        <w:rPr>
          <w:color w:val="auto"/>
          <w:highlight w:val="none"/>
        </w:rPr>
        <w:t xml:space="preserve"> </w:t>
      </w:r>
      <w:r>
        <w:rPr>
          <w:rStyle w:val="79"/>
          <w:color w:val="auto"/>
          <w:highlight w:val="none"/>
        </w:rPr>
        <w:t>道路和桥梁的损坏责任</w:t>
      </w:r>
      <w:bookmarkEnd w:id="2062"/>
      <w:bookmarkEnd w:id="2063"/>
      <w:bookmarkEnd w:id="2064"/>
      <w:bookmarkEnd w:id="2065"/>
      <w:bookmarkEnd w:id="2066"/>
    </w:p>
    <w:p w14:paraId="5DC196EA">
      <w:pPr>
        <w:spacing w:line="360" w:lineRule="auto"/>
        <w:ind w:firstLine="420" w:firstLineChars="200"/>
        <w:rPr>
          <w:color w:val="auto"/>
          <w:szCs w:val="21"/>
          <w:highlight w:val="none"/>
        </w:rPr>
      </w:pPr>
      <w:r>
        <w:rPr>
          <w:rFonts w:hAnsi="宋体"/>
          <w:color w:val="auto"/>
          <w:szCs w:val="21"/>
          <w:highlight w:val="none"/>
        </w:rPr>
        <w:t>因承包人运输造成施工场地内外公共道路和桥梁损坏的，由承包人承担修复损坏的全部费用和可能引起的赔偿。</w:t>
      </w:r>
    </w:p>
    <w:p w14:paraId="70F487E2">
      <w:pPr>
        <w:pStyle w:val="6"/>
        <w:spacing w:before="159"/>
        <w:rPr>
          <w:color w:val="auto"/>
          <w:highlight w:val="none"/>
        </w:rPr>
      </w:pPr>
      <w:bookmarkStart w:id="2067" w:name="_Toc26206"/>
      <w:bookmarkStart w:id="2068" w:name="_Toc6502"/>
      <w:bookmarkStart w:id="2069" w:name="_Toc1570"/>
      <w:bookmarkStart w:id="2070" w:name="_Toc12494"/>
      <w:bookmarkStart w:id="2071" w:name="_Toc23885"/>
      <w:bookmarkStart w:id="2072" w:name="_Toc300835105"/>
      <w:bookmarkStart w:id="2073" w:name="_Toc519085450"/>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6</w:t>
      </w:r>
      <w:bookmarkEnd w:id="2067"/>
      <w:bookmarkEnd w:id="2068"/>
      <w:r>
        <w:rPr>
          <w:color w:val="auto"/>
          <w:highlight w:val="none"/>
        </w:rPr>
        <w:t xml:space="preserve"> </w:t>
      </w:r>
      <w:r>
        <w:rPr>
          <w:rStyle w:val="79"/>
          <w:color w:val="auto"/>
          <w:highlight w:val="none"/>
        </w:rPr>
        <w:t>水路和航空运输</w:t>
      </w:r>
      <w:bookmarkEnd w:id="2069"/>
      <w:bookmarkEnd w:id="2070"/>
      <w:bookmarkEnd w:id="2071"/>
      <w:bookmarkEnd w:id="2072"/>
      <w:bookmarkEnd w:id="2073"/>
    </w:p>
    <w:p w14:paraId="5ADBD082">
      <w:pPr>
        <w:spacing w:line="360" w:lineRule="auto"/>
        <w:ind w:firstLine="420" w:firstLineChars="200"/>
        <w:rPr>
          <w:color w:val="auto"/>
          <w:szCs w:val="21"/>
          <w:highlight w:val="none"/>
        </w:rPr>
      </w:pPr>
      <w:r>
        <w:rPr>
          <w:rFonts w:hAnsi="宋体"/>
          <w:color w:val="auto"/>
          <w:szCs w:val="21"/>
          <w:highlight w:val="none"/>
        </w:rPr>
        <w:t>本条上述各款的内容适用于水路运输和航空运输，其中</w:t>
      </w:r>
      <w:r>
        <w:rPr>
          <w:color w:val="auto"/>
          <w:szCs w:val="21"/>
          <w:highlight w:val="none"/>
        </w:rPr>
        <w:t>“</w:t>
      </w:r>
      <w:r>
        <w:rPr>
          <w:rFonts w:hAnsi="宋体"/>
          <w:color w:val="auto"/>
          <w:szCs w:val="21"/>
          <w:highlight w:val="none"/>
        </w:rPr>
        <w:t>道路</w:t>
      </w:r>
      <w:r>
        <w:rPr>
          <w:color w:val="auto"/>
          <w:szCs w:val="21"/>
          <w:highlight w:val="none"/>
        </w:rPr>
        <w:t>”</w:t>
      </w:r>
      <w:r>
        <w:rPr>
          <w:rFonts w:hAnsi="宋体"/>
          <w:color w:val="auto"/>
          <w:szCs w:val="21"/>
          <w:highlight w:val="none"/>
        </w:rPr>
        <w:t>一词的涵义包括河道、航线、船闸、机场、码头、堤防以及水路或航空运输中其他相似结构物；</w:t>
      </w:r>
      <w:r>
        <w:rPr>
          <w:color w:val="auto"/>
          <w:szCs w:val="21"/>
          <w:highlight w:val="none"/>
        </w:rPr>
        <w:t>“</w:t>
      </w:r>
      <w:r>
        <w:rPr>
          <w:rFonts w:hAnsi="宋体"/>
          <w:color w:val="auto"/>
          <w:szCs w:val="21"/>
          <w:highlight w:val="none"/>
        </w:rPr>
        <w:t>车辆</w:t>
      </w:r>
      <w:r>
        <w:rPr>
          <w:color w:val="auto"/>
          <w:szCs w:val="21"/>
          <w:highlight w:val="none"/>
        </w:rPr>
        <w:t>”</w:t>
      </w:r>
      <w:r>
        <w:rPr>
          <w:rFonts w:hAnsi="宋体"/>
          <w:color w:val="auto"/>
          <w:szCs w:val="21"/>
          <w:highlight w:val="none"/>
        </w:rPr>
        <w:t>一词的涵义包括船舶和飞机等。</w:t>
      </w:r>
    </w:p>
    <w:p w14:paraId="461A6BEF">
      <w:pPr>
        <w:pStyle w:val="5"/>
        <w:spacing w:before="159"/>
        <w:rPr>
          <w:rFonts w:ascii="Times New Roman" w:hAnsi="Times New Roman" w:eastAsia="宋体"/>
          <w:color w:val="auto"/>
          <w:highlight w:val="none"/>
        </w:rPr>
      </w:pPr>
      <w:bookmarkStart w:id="2074" w:name="_Toc19103"/>
      <w:bookmarkStart w:id="2075" w:name="_Toc1667"/>
      <w:bookmarkStart w:id="2076" w:name="_Toc23694"/>
      <w:bookmarkStart w:id="2077" w:name="_Toc300835106"/>
      <w:bookmarkStart w:id="2078" w:name="_Toc28171"/>
      <w:bookmarkStart w:id="2079" w:name="_Toc519085451"/>
      <w:bookmarkStart w:id="2080" w:name="_Toc12680"/>
      <w:bookmarkStart w:id="2081" w:name="_Toc2984_WPSOffice_Level1"/>
      <w:r>
        <w:rPr>
          <w:rFonts w:ascii="Times New Roman" w:hAnsi="Times New Roman" w:eastAsia="宋体"/>
          <w:color w:val="auto"/>
          <w:highlight w:val="none"/>
        </w:rPr>
        <w:t xml:space="preserve">9. </w:t>
      </w:r>
      <w:r>
        <w:rPr>
          <w:rStyle w:val="65"/>
          <w:color w:val="auto"/>
          <w:highlight w:val="none"/>
        </w:rPr>
        <w:t>测量放线</w:t>
      </w:r>
      <w:bookmarkEnd w:id="2074"/>
      <w:bookmarkEnd w:id="2075"/>
      <w:bookmarkEnd w:id="2076"/>
      <w:bookmarkEnd w:id="2077"/>
      <w:bookmarkEnd w:id="2078"/>
      <w:bookmarkEnd w:id="2079"/>
      <w:bookmarkEnd w:id="2080"/>
      <w:bookmarkEnd w:id="2081"/>
    </w:p>
    <w:p w14:paraId="7020F6EC">
      <w:pPr>
        <w:pStyle w:val="6"/>
        <w:spacing w:before="159"/>
        <w:rPr>
          <w:color w:val="auto"/>
          <w:highlight w:val="none"/>
        </w:rPr>
      </w:pPr>
      <w:bookmarkStart w:id="2082" w:name="_Toc11998"/>
      <w:bookmarkStart w:id="2083" w:name="_Toc4261"/>
      <w:bookmarkStart w:id="2084" w:name="_Toc15609"/>
      <w:bookmarkStart w:id="2085" w:name="_Toc300835107"/>
      <w:bookmarkStart w:id="2086" w:name="_Toc32138"/>
      <w:bookmarkStart w:id="2087" w:name="_Toc8327_WPSOffice_Level2"/>
      <w:bookmarkStart w:id="2088" w:name="_Toc519085452"/>
      <w:bookmarkStart w:id="2089" w:name="_Toc5173"/>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1</w:t>
      </w:r>
      <w:bookmarkEnd w:id="2082"/>
      <w:bookmarkEnd w:id="2083"/>
      <w:r>
        <w:rPr>
          <w:color w:val="auto"/>
          <w:highlight w:val="none"/>
        </w:rPr>
        <w:t xml:space="preserve"> </w:t>
      </w:r>
      <w:r>
        <w:rPr>
          <w:rStyle w:val="79"/>
          <w:color w:val="auto"/>
          <w:highlight w:val="none"/>
        </w:rPr>
        <w:t>施工控制网</w:t>
      </w:r>
      <w:bookmarkEnd w:id="2084"/>
      <w:bookmarkEnd w:id="2085"/>
      <w:bookmarkEnd w:id="2086"/>
      <w:bookmarkEnd w:id="2087"/>
      <w:bookmarkEnd w:id="2088"/>
      <w:bookmarkEnd w:id="2089"/>
    </w:p>
    <w:p w14:paraId="76094115">
      <w:pPr>
        <w:spacing w:line="360" w:lineRule="auto"/>
        <w:ind w:firstLine="420" w:firstLineChars="200"/>
        <w:rPr>
          <w:color w:val="auto"/>
          <w:szCs w:val="21"/>
          <w:highlight w:val="none"/>
        </w:rPr>
      </w:pPr>
      <w:r>
        <w:rPr>
          <w:color w:val="auto"/>
          <w:highlight w:val="none"/>
        </w:rPr>
        <w:t xml:space="preserve">9.1.1 </w:t>
      </w:r>
      <w:r>
        <w:rPr>
          <w:rFonts w:hAnsi="宋体"/>
          <w:color w:val="auto"/>
          <w:szCs w:val="21"/>
          <w:highlight w:val="none"/>
        </w:rPr>
        <w:t>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批准。</w:t>
      </w:r>
    </w:p>
    <w:p w14:paraId="453E2DCA">
      <w:pPr>
        <w:spacing w:line="360" w:lineRule="auto"/>
        <w:ind w:firstLine="420" w:firstLineChars="200"/>
        <w:rPr>
          <w:color w:val="auto"/>
          <w:szCs w:val="21"/>
          <w:highlight w:val="none"/>
        </w:rPr>
      </w:pPr>
      <w:r>
        <w:rPr>
          <w:color w:val="auto"/>
          <w:highlight w:val="none"/>
        </w:rPr>
        <w:t>9.1.2</w:t>
      </w:r>
      <w:r>
        <w:rPr>
          <w:color w:val="auto"/>
          <w:szCs w:val="21"/>
          <w:highlight w:val="none"/>
        </w:rPr>
        <w:t xml:space="preserve"> </w:t>
      </w:r>
      <w:r>
        <w:rPr>
          <w:rFonts w:hAnsi="宋体"/>
          <w:color w:val="auto"/>
          <w:szCs w:val="21"/>
          <w:highlight w:val="none"/>
        </w:rPr>
        <w:t>承包人应负责管理施工控制网点。施工控制网点丢失或损坏的，承包人应及时修复。承包人应承担施工控制网点的管理与修复费用，并在工程竣工后将施工控制网点移交发包人。</w:t>
      </w:r>
    </w:p>
    <w:p w14:paraId="7C0A259A">
      <w:pPr>
        <w:pStyle w:val="6"/>
        <w:spacing w:before="159"/>
        <w:rPr>
          <w:color w:val="auto"/>
          <w:highlight w:val="none"/>
        </w:rPr>
      </w:pPr>
      <w:bookmarkStart w:id="2090" w:name="_Toc19248"/>
      <w:bookmarkStart w:id="2091" w:name="_Toc25321"/>
      <w:bookmarkStart w:id="2092" w:name="_Toc300835108"/>
      <w:bookmarkStart w:id="2093" w:name="_Toc18357"/>
      <w:bookmarkStart w:id="2094" w:name="_Toc15913_WPSOffice_Level2"/>
      <w:bookmarkStart w:id="2095" w:name="_Toc225"/>
      <w:bookmarkStart w:id="2096" w:name="_Toc519085453"/>
      <w:bookmarkStart w:id="2097" w:name="_Toc1683"/>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2</w:t>
      </w:r>
      <w:bookmarkEnd w:id="2090"/>
      <w:bookmarkEnd w:id="2091"/>
      <w:r>
        <w:rPr>
          <w:color w:val="auto"/>
          <w:highlight w:val="none"/>
        </w:rPr>
        <w:t xml:space="preserve"> </w:t>
      </w:r>
      <w:r>
        <w:rPr>
          <w:rStyle w:val="79"/>
          <w:color w:val="auto"/>
          <w:highlight w:val="none"/>
        </w:rPr>
        <w:t>施工测量</w:t>
      </w:r>
      <w:bookmarkEnd w:id="2092"/>
      <w:bookmarkEnd w:id="2093"/>
      <w:bookmarkEnd w:id="2094"/>
      <w:bookmarkEnd w:id="2095"/>
      <w:bookmarkEnd w:id="2096"/>
      <w:bookmarkEnd w:id="2097"/>
    </w:p>
    <w:p w14:paraId="74DA3508">
      <w:pPr>
        <w:spacing w:line="360" w:lineRule="auto"/>
        <w:ind w:firstLine="420" w:firstLineChars="200"/>
        <w:rPr>
          <w:color w:val="auto"/>
          <w:szCs w:val="21"/>
          <w:highlight w:val="none"/>
        </w:rPr>
      </w:pPr>
      <w:r>
        <w:rPr>
          <w:color w:val="auto"/>
          <w:highlight w:val="none"/>
        </w:rPr>
        <w:t xml:space="preserve">9.2.1 </w:t>
      </w:r>
      <w:r>
        <w:rPr>
          <w:rFonts w:hAnsi="宋体"/>
          <w:color w:val="auto"/>
          <w:szCs w:val="21"/>
          <w:highlight w:val="none"/>
        </w:rPr>
        <w:t>承包人应负责施工过程中的全部施工测量放线工作，并配置合格的人员、仪器、设备和其他物品。</w:t>
      </w:r>
    </w:p>
    <w:p w14:paraId="43251295">
      <w:pPr>
        <w:spacing w:line="360" w:lineRule="auto"/>
        <w:ind w:firstLine="420" w:firstLineChars="200"/>
        <w:rPr>
          <w:color w:val="auto"/>
          <w:szCs w:val="21"/>
          <w:highlight w:val="none"/>
        </w:rPr>
      </w:pPr>
      <w:r>
        <w:rPr>
          <w:color w:val="auto"/>
          <w:highlight w:val="none"/>
        </w:rPr>
        <w:t xml:space="preserve">9.2.2 </w:t>
      </w:r>
      <w:r>
        <w:rPr>
          <w:rFonts w:hAnsi="宋体"/>
          <w:color w:val="auto"/>
          <w:szCs w:val="21"/>
          <w:highlight w:val="none"/>
        </w:rPr>
        <w:t>监理人可以指示承包人进行抽样复测，当复测中发现错误或出现超过合同约定的误差时，承包人应按监理人指示进行修正或补测，并承担相应的复测费用。</w:t>
      </w:r>
    </w:p>
    <w:p w14:paraId="00FF962A">
      <w:pPr>
        <w:pStyle w:val="6"/>
        <w:spacing w:before="159"/>
        <w:rPr>
          <w:color w:val="auto"/>
          <w:highlight w:val="none"/>
        </w:rPr>
      </w:pPr>
      <w:bookmarkStart w:id="2098" w:name="_Toc2787"/>
      <w:bookmarkStart w:id="2099" w:name="_Toc1757"/>
      <w:bookmarkStart w:id="2100" w:name="_Toc3785"/>
      <w:bookmarkStart w:id="2101" w:name="_Toc300835109"/>
      <w:bookmarkStart w:id="2102" w:name="_Toc5375"/>
      <w:bookmarkStart w:id="2103" w:name="_Toc15431"/>
      <w:bookmarkStart w:id="2104" w:name="_Toc19953_WPSOffice_Level2"/>
      <w:bookmarkStart w:id="2105" w:name="_Toc519085454"/>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3</w:t>
      </w:r>
      <w:bookmarkEnd w:id="2098"/>
      <w:bookmarkEnd w:id="2099"/>
      <w:r>
        <w:rPr>
          <w:color w:val="auto"/>
          <w:highlight w:val="none"/>
        </w:rPr>
        <w:t xml:space="preserve"> </w:t>
      </w:r>
      <w:r>
        <w:rPr>
          <w:rStyle w:val="79"/>
          <w:color w:val="auto"/>
          <w:highlight w:val="none"/>
        </w:rPr>
        <w:t>基准资料错误的责任</w:t>
      </w:r>
      <w:bookmarkEnd w:id="2100"/>
      <w:bookmarkEnd w:id="2101"/>
      <w:bookmarkEnd w:id="2102"/>
      <w:bookmarkEnd w:id="2103"/>
      <w:bookmarkEnd w:id="2104"/>
      <w:bookmarkEnd w:id="2105"/>
    </w:p>
    <w:p w14:paraId="62C4EAFB">
      <w:pPr>
        <w:spacing w:line="360" w:lineRule="auto"/>
        <w:ind w:firstLine="420" w:firstLineChars="200"/>
        <w:rPr>
          <w:color w:val="auto"/>
          <w:szCs w:val="21"/>
          <w:highlight w:val="none"/>
        </w:rPr>
      </w:pPr>
      <w:r>
        <w:rPr>
          <w:rFonts w:hAnsi="宋体"/>
          <w:color w:val="auto"/>
          <w:szCs w:val="21"/>
          <w:highlight w:val="none"/>
        </w:rPr>
        <w:t>发包人应对其提供的测量基准点、基准线和水准点及其书面资料的真实性、准确性和完整性负责，对其提供上述基准资料错误导致承包人损失的，发包人应当承担由此增加的费用和（或）工期延误，并向承包人支付合理利润。承包人应在设计或施工中对上述资料的准确性进行核实，发现存在明显错误或疏忽的，应及时通知监理人。</w:t>
      </w:r>
    </w:p>
    <w:p w14:paraId="5231A79D">
      <w:pPr>
        <w:pStyle w:val="6"/>
        <w:spacing w:before="159"/>
        <w:rPr>
          <w:color w:val="auto"/>
          <w:highlight w:val="none"/>
        </w:rPr>
      </w:pPr>
      <w:bookmarkStart w:id="2106" w:name="_Toc9297"/>
      <w:bookmarkStart w:id="2107" w:name="_Toc30998"/>
      <w:bookmarkStart w:id="2108" w:name="_Toc25163"/>
      <w:bookmarkStart w:id="2109" w:name="_Toc300835110"/>
      <w:bookmarkStart w:id="2110" w:name="_Toc5645"/>
      <w:bookmarkStart w:id="2111" w:name="_Toc11327_WPSOffice_Level2"/>
      <w:bookmarkStart w:id="2112" w:name="_Toc9046"/>
      <w:bookmarkStart w:id="2113" w:name="_Toc519085455"/>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4</w:t>
      </w:r>
      <w:bookmarkEnd w:id="2106"/>
      <w:bookmarkEnd w:id="2107"/>
      <w:r>
        <w:rPr>
          <w:color w:val="auto"/>
          <w:highlight w:val="none"/>
        </w:rPr>
        <w:t xml:space="preserve"> </w:t>
      </w:r>
      <w:r>
        <w:rPr>
          <w:rStyle w:val="79"/>
          <w:color w:val="auto"/>
          <w:highlight w:val="none"/>
        </w:rPr>
        <w:t>监理人使用施工控制网</w:t>
      </w:r>
      <w:bookmarkEnd w:id="2108"/>
      <w:bookmarkEnd w:id="2109"/>
      <w:bookmarkEnd w:id="2110"/>
      <w:bookmarkEnd w:id="2111"/>
      <w:bookmarkEnd w:id="2112"/>
      <w:bookmarkEnd w:id="2113"/>
    </w:p>
    <w:p w14:paraId="062055F0">
      <w:pPr>
        <w:spacing w:line="360" w:lineRule="auto"/>
        <w:ind w:firstLine="420" w:firstLineChars="200"/>
        <w:rPr>
          <w:color w:val="auto"/>
          <w:szCs w:val="21"/>
          <w:highlight w:val="none"/>
        </w:rPr>
      </w:pPr>
      <w:r>
        <w:rPr>
          <w:rFonts w:hAnsi="宋体"/>
          <w:color w:val="auto"/>
          <w:szCs w:val="21"/>
          <w:highlight w:val="none"/>
        </w:rPr>
        <w:t>监理人需要使用施工控制网的，承包人应提供必要的协助，发包人不再为此支付费用。</w:t>
      </w:r>
    </w:p>
    <w:p w14:paraId="3B2F1665">
      <w:pPr>
        <w:pStyle w:val="5"/>
        <w:spacing w:before="159"/>
        <w:rPr>
          <w:rFonts w:ascii="Times New Roman" w:hAnsi="Times New Roman" w:eastAsia="宋体"/>
          <w:color w:val="auto"/>
          <w:highlight w:val="none"/>
        </w:rPr>
      </w:pPr>
      <w:bookmarkStart w:id="2114" w:name="_Toc6574"/>
      <w:bookmarkStart w:id="2115" w:name="_Toc29751"/>
      <w:bookmarkStart w:id="2116" w:name="_Toc22690"/>
      <w:bookmarkStart w:id="2117" w:name="_Toc300835111"/>
      <w:bookmarkStart w:id="2118" w:name="_Toc519085456"/>
      <w:bookmarkStart w:id="2119" w:name="_Toc20821_WPSOffice_Level1"/>
      <w:bookmarkStart w:id="2120" w:name="_Toc19169"/>
      <w:bookmarkStart w:id="2121" w:name="_Toc15645"/>
      <w:r>
        <w:rPr>
          <w:rFonts w:ascii="Times New Roman" w:hAnsi="Times New Roman" w:eastAsia="宋体"/>
          <w:color w:val="auto"/>
          <w:highlight w:val="none"/>
        </w:rPr>
        <w:t xml:space="preserve">10. </w:t>
      </w:r>
      <w:r>
        <w:rPr>
          <w:rStyle w:val="65"/>
          <w:color w:val="auto"/>
          <w:highlight w:val="none"/>
        </w:rPr>
        <w:t>安全、治安保卫和环境保护</w:t>
      </w:r>
      <w:bookmarkEnd w:id="2114"/>
      <w:bookmarkEnd w:id="2115"/>
      <w:bookmarkEnd w:id="2116"/>
      <w:bookmarkEnd w:id="2117"/>
      <w:bookmarkEnd w:id="2118"/>
      <w:bookmarkEnd w:id="2119"/>
      <w:bookmarkEnd w:id="2120"/>
      <w:bookmarkEnd w:id="2121"/>
    </w:p>
    <w:p w14:paraId="798FFEA2">
      <w:pPr>
        <w:pStyle w:val="6"/>
        <w:spacing w:before="159"/>
        <w:rPr>
          <w:color w:val="auto"/>
          <w:highlight w:val="none"/>
        </w:rPr>
      </w:pPr>
      <w:bookmarkStart w:id="2122" w:name="_Toc16805"/>
      <w:bookmarkStart w:id="2123" w:name="_Toc18904"/>
      <w:bookmarkStart w:id="2124" w:name="_Toc300835112"/>
      <w:bookmarkStart w:id="2125" w:name="_Toc3652"/>
      <w:bookmarkStart w:id="2126" w:name="_Toc8424"/>
      <w:bookmarkStart w:id="2127" w:name="_Toc519085457"/>
      <w:bookmarkStart w:id="2128" w:name="_Toc8563"/>
      <w:bookmarkStart w:id="2129" w:name="_Toc10053_WPSOffice_Level2"/>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1</w:t>
      </w:r>
      <w:bookmarkEnd w:id="2122"/>
      <w:bookmarkEnd w:id="2123"/>
      <w:r>
        <w:rPr>
          <w:color w:val="auto"/>
          <w:highlight w:val="none"/>
        </w:rPr>
        <w:t xml:space="preserve"> </w:t>
      </w:r>
      <w:r>
        <w:rPr>
          <w:rStyle w:val="79"/>
          <w:color w:val="auto"/>
          <w:highlight w:val="none"/>
        </w:rPr>
        <w:t>发包人的安全责任</w:t>
      </w:r>
      <w:bookmarkEnd w:id="2124"/>
      <w:bookmarkEnd w:id="2125"/>
      <w:bookmarkEnd w:id="2126"/>
      <w:bookmarkEnd w:id="2127"/>
      <w:bookmarkEnd w:id="2128"/>
      <w:bookmarkEnd w:id="2129"/>
    </w:p>
    <w:p w14:paraId="481A1D77">
      <w:pPr>
        <w:spacing w:line="360" w:lineRule="auto"/>
        <w:ind w:firstLine="420" w:firstLineChars="200"/>
        <w:rPr>
          <w:color w:val="auto"/>
          <w:szCs w:val="21"/>
          <w:highlight w:val="none"/>
        </w:rPr>
      </w:pPr>
      <w:r>
        <w:rPr>
          <w:color w:val="auto"/>
          <w:highlight w:val="none"/>
        </w:rPr>
        <w:t>10.1.1</w:t>
      </w:r>
      <w:r>
        <w:rPr>
          <w:color w:val="auto"/>
          <w:szCs w:val="21"/>
          <w:highlight w:val="none"/>
        </w:rPr>
        <w:t xml:space="preserve"> </w:t>
      </w:r>
      <w:r>
        <w:rPr>
          <w:rFonts w:hAnsi="宋体"/>
          <w:color w:val="auto"/>
          <w:szCs w:val="21"/>
          <w:highlight w:val="none"/>
        </w:rPr>
        <w:t>发包人应按合同约定履行安全职责，授权监理人按合同约定的安全工作内容监督、检查承包人安全工作的实施，组织承包人和有关单位进行安全检查。</w:t>
      </w:r>
    </w:p>
    <w:p w14:paraId="339DE726">
      <w:pPr>
        <w:spacing w:line="360" w:lineRule="auto"/>
        <w:ind w:firstLine="420" w:firstLineChars="200"/>
        <w:rPr>
          <w:color w:val="auto"/>
          <w:szCs w:val="21"/>
          <w:highlight w:val="none"/>
        </w:rPr>
      </w:pPr>
      <w:r>
        <w:rPr>
          <w:color w:val="auto"/>
          <w:highlight w:val="none"/>
        </w:rPr>
        <w:t>10.1.2</w:t>
      </w:r>
      <w:r>
        <w:rPr>
          <w:color w:val="auto"/>
          <w:szCs w:val="21"/>
          <w:highlight w:val="none"/>
        </w:rPr>
        <w:t xml:space="preserve"> </w:t>
      </w:r>
      <w:r>
        <w:rPr>
          <w:rFonts w:hAnsi="宋体"/>
          <w:color w:val="auto"/>
          <w:szCs w:val="21"/>
          <w:highlight w:val="none"/>
        </w:rPr>
        <w:t>发包人应对其现场机构雇佣的全部人员的工伤事故承担责任，但由于承包人原因造成发包人人员工伤的，应由承包人承担责任。</w:t>
      </w:r>
    </w:p>
    <w:p w14:paraId="50CE1B66">
      <w:pPr>
        <w:spacing w:line="360" w:lineRule="auto"/>
        <w:ind w:firstLine="420" w:firstLineChars="200"/>
        <w:rPr>
          <w:color w:val="auto"/>
          <w:szCs w:val="21"/>
          <w:highlight w:val="none"/>
        </w:rPr>
      </w:pPr>
      <w:r>
        <w:rPr>
          <w:color w:val="auto"/>
          <w:highlight w:val="none"/>
        </w:rPr>
        <w:t>10.1.3</w:t>
      </w:r>
      <w:r>
        <w:rPr>
          <w:color w:val="auto"/>
          <w:szCs w:val="21"/>
          <w:highlight w:val="none"/>
        </w:rPr>
        <w:t xml:space="preserve"> </w:t>
      </w:r>
      <w:r>
        <w:rPr>
          <w:rFonts w:hAnsi="宋体"/>
          <w:color w:val="auto"/>
          <w:szCs w:val="21"/>
          <w:highlight w:val="none"/>
        </w:rPr>
        <w:t>发包人应负责赔偿以下各种情况造成的第三者人身伤亡和财产损失：</w:t>
      </w:r>
    </w:p>
    <w:p w14:paraId="1114DAC6">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）工程或工程的任何部分对土地的占用所造成的第三者财产损失；</w:t>
      </w:r>
    </w:p>
    <w:p w14:paraId="648C1DA3">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）由于发包人原</w:t>
      </w:r>
      <w:r>
        <w:rPr>
          <w:rFonts w:hAnsi="宋体"/>
          <w:color w:val="auto"/>
          <w:szCs w:val="21"/>
          <w:highlight w:val="none"/>
        </w:rPr>
        <w:t>因在施工场地及其毗邻地带、履行合同工作中造成的第三者人身伤亡和财产损失。</w:t>
      </w:r>
    </w:p>
    <w:p w14:paraId="68C340A7">
      <w:pPr>
        <w:pStyle w:val="6"/>
        <w:spacing w:before="159"/>
        <w:rPr>
          <w:color w:val="auto"/>
          <w:highlight w:val="none"/>
        </w:rPr>
      </w:pPr>
      <w:bookmarkStart w:id="2130" w:name="_Toc21364"/>
      <w:bookmarkStart w:id="2131" w:name="_Toc8226"/>
      <w:bookmarkStart w:id="2132" w:name="_Toc300835113"/>
      <w:bookmarkStart w:id="2133" w:name="_Toc519085458"/>
      <w:bookmarkStart w:id="2134" w:name="_Toc18211"/>
      <w:bookmarkStart w:id="2135" w:name="_Toc1615_WPSOffice_Level2"/>
      <w:bookmarkStart w:id="2136" w:name="_Toc13973"/>
      <w:bookmarkStart w:id="2137" w:name="_Toc25604"/>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2</w:t>
      </w:r>
      <w:bookmarkEnd w:id="2130"/>
      <w:bookmarkEnd w:id="2131"/>
      <w:r>
        <w:rPr>
          <w:color w:val="auto"/>
          <w:highlight w:val="none"/>
        </w:rPr>
        <w:t xml:space="preserve"> </w:t>
      </w:r>
      <w:r>
        <w:rPr>
          <w:rStyle w:val="79"/>
          <w:color w:val="auto"/>
          <w:highlight w:val="none"/>
        </w:rPr>
        <w:t>承包人的安全责任</w:t>
      </w:r>
      <w:bookmarkEnd w:id="2132"/>
      <w:bookmarkEnd w:id="2133"/>
      <w:bookmarkEnd w:id="2134"/>
      <w:bookmarkEnd w:id="2135"/>
      <w:bookmarkEnd w:id="2136"/>
      <w:bookmarkEnd w:id="2137"/>
    </w:p>
    <w:p w14:paraId="0FE5664F">
      <w:pPr>
        <w:spacing w:line="360" w:lineRule="auto"/>
        <w:ind w:firstLine="420" w:firstLineChars="200"/>
        <w:rPr>
          <w:color w:val="auto"/>
          <w:szCs w:val="21"/>
          <w:highlight w:val="none"/>
        </w:rPr>
      </w:pPr>
      <w:r>
        <w:rPr>
          <w:color w:val="auto"/>
          <w:highlight w:val="none"/>
        </w:rPr>
        <w:t>10.2.1</w:t>
      </w:r>
      <w:r>
        <w:rPr>
          <w:color w:val="auto"/>
          <w:szCs w:val="21"/>
          <w:highlight w:val="none"/>
        </w:rPr>
        <w:t xml:space="preserve"> </w:t>
      </w:r>
      <w:r>
        <w:rPr>
          <w:rFonts w:hAnsi="宋体"/>
          <w:color w:val="auto"/>
          <w:szCs w:val="21"/>
          <w:highlight w:val="none"/>
        </w:rPr>
        <w:t>承包人应按合同约定履行安全职责，执行监理人有关安全工作的指示，并在专用合同条款约定的期限内，按合同约定的安全工作内容，编制安全措施计划报送监理人批准。</w:t>
      </w:r>
    </w:p>
    <w:p w14:paraId="7AF927A6">
      <w:pPr>
        <w:spacing w:line="360" w:lineRule="auto"/>
        <w:ind w:firstLine="420" w:firstLineChars="200"/>
        <w:rPr>
          <w:color w:val="auto"/>
          <w:szCs w:val="21"/>
          <w:highlight w:val="none"/>
        </w:rPr>
      </w:pPr>
      <w:r>
        <w:rPr>
          <w:color w:val="auto"/>
          <w:highlight w:val="none"/>
        </w:rPr>
        <w:t>10.2.2</w:t>
      </w:r>
      <w:r>
        <w:rPr>
          <w:color w:val="auto"/>
          <w:szCs w:val="21"/>
          <w:highlight w:val="none"/>
        </w:rPr>
        <w:t xml:space="preserve"> </w:t>
      </w:r>
      <w:r>
        <w:rPr>
          <w:rFonts w:hAnsi="宋体"/>
          <w:color w:val="auto"/>
          <w:szCs w:val="21"/>
          <w:highlight w:val="none"/>
        </w:rPr>
        <w:t>承包人按照合同约定需要进行勘察的，应严格执行操作规程，采取措施保证各类管线、设施和周边建筑物、构筑物的安全。</w:t>
      </w:r>
    </w:p>
    <w:p w14:paraId="31BED2FC">
      <w:pPr>
        <w:spacing w:line="360" w:lineRule="auto"/>
        <w:ind w:firstLine="420" w:firstLineChars="200"/>
        <w:rPr>
          <w:color w:val="auto"/>
          <w:szCs w:val="21"/>
          <w:highlight w:val="none"/>
        </w:rPr>
      </w:pPr>
      <w:r>
        <w:rPr>
          <w:color w:val="auto"/>
          <w:highlight w:val="none"/>
        </w:rPr>
        <w:t>10.2.3</w:t>
      </w:r>
      <w:r>
        <w:rPr>
          <w:color w:val="auto"/>
          <w:szCs w:val="21"/>
          <w:highlight w:val="none"/>
        </w:rPr>
        <w:t xml:space="preserve"> </w:t>
      </w:r>
      <w:r>
        <w:rPr>
          <w:rFonts w:hAnsi="宋体"/>
          <w:color w:val="auto"/>
          <w:szCs w:val="21"/>
          <w:highlight w:val="none"/>
        </w:rPr>
        <w:t>承包人应当按照法律、法规和工程建设强制性标准进行设计，在设计文件中注明涉及施工安全的重点部位和环节，提出保障施工作业人员和预防安全事故的措施建议，防止因设计不合理导致生产安全事故的发生。</w:t>
      </w:r>
    </w:p>
    <w:p w14:paraId="5B3386DF">
      <w:pPr>
        <w:spacing w:line="360" w:lineRule="auto"/>
        <w:ind w:firstLine="420" w:firstLineChars="200"/>
        <w:rPr>
          <w:color w:val="auto"/>
          <w:szCs w:val="21"/>
          <w:highlight w:val="none"/>
        </w:rPr>
      </w:pPr>
      <w:r>
        <w:rPr>
          <w:color w:val="auto"/>
          <w:highlight w:val="none"/>
        </w:rPr>
        <w:t>10.2.4</w:t>
      </w:r>
      <w:r>
        <w:rPr>
          <w:color w:val="auto"/>
          <w:szCs w:val="21"/>
          <w:highlight w:val="none"/>
        </w:rPr>
        <w:t xml:space="preserve"> </w:t>
      </w:r>
      <w:r>
        <w:rPr>
          <w:rFonts w:hAnsi="宋体"/>
          <w:color w:val="auto"/>
          <w:szCs w:val="21"/>
          <w:highlight w:val="none"/>
        </w:rPr>
        <w:t>承包人应加强施工作业安全管理，特别应加强易燃、易爆材料、火工器材、有毒与腐蚀性材料和其他危险品的管理，以及对爆破作业和地下工程施工等危险作业的管理。</w:t>
      </w:r>
    </w:p>
    <w:p w14:paraId="4393AC2A">
      <w:pPr>
        <w:spacing w:line="360" w:lineRule="auto"/>
        <w:ind w:firstLine="420" w:firstLineChars="200"/>
        <w:rPr>
          <w:color w:val="auto"/>
          <w:szCs w:val="21"/>
          <w:highlight w:val="none"/>
        </w:rPr>
      </w:pPr>
      <w:r>
        <w:rPr>
          <w:color w:val="auto"/>
          <w:highlight w:val="none"/>
        </w:rPr>
        <w:t>10.2.5</w:t>
      </w:r>
      <w:r>
        <w:rPr>
          <w:color w:val="auto"/>
          <w:szCs w:val="21"/>
          <w:highlight w:val="none"/>
        </w:rPr>
        <w:t xml:space="preserve"> </w:t>
      </w:r>
      <w:r>
        <w:rPr>
          <w:rFonts w:hAnsi="宋体"/>
          <w:color w:val="auto"/>
          <w:szCs w:val="21"/>
          <w:highlight w:val="none"/>
        </w:rPr>
        <w:t>承包人应严格按照国家安全标准制定施工安全操作规程，配备必要的安全生产和劳动保护设施，加强对承包人人员的安全教育，并发放安全工作手册和劳动保护用具。</w:t>
      </w:r>
    </w:p>
    <w:p w14:paraId="0630DDB2">
      <w:pPr>
        <w:spacing w:line="360" w:lineRule="auto"/>
        <w:ind w:firstLine="420" w:firstLineChars="200"/>
        <w:rPr>
          <w:color w:val="auto"/>
          <w:szCs w:val="21"/>
          <w:highlight w:val="none"/>
        </w:rPr>
      </w:pPr>
      <w:r>
        <w:rPr>
          <w:color w:val="auto"/>
          <w:highlight w:val="none"/>
        </w:rPr>
        <w:t>10.2.6</w:t>
      </w:r>
      <w:r>
        <w:rPr>
          <w:color w:val="auto"/>
          <w:szCs w:val="21"/>
          <w:highlight w:val="none"/>
        </w:rPr>
        <w:t xml:space="preserve"> </w:t>
      </w:r>
      <w:r>
        <w:rPr>
          <w:rFonts w:hAnsi="宋体"/>
          <w:color w:val="auto"/>
          <w:szCs w:val="21"/>
          <w:highlight w:val="none"/>
        </w:rPr>
        <w:t>承包人应按监理人的指示制定应对灾害的紧急预案，报送监理人批准。承包人还应按预案做好安全检查，配置必要的救助物资和器材，切实保护好有关人员的人身和财产安全。</w:t>
      </w:r>
    </w:p>
    <w:p w14:paraId="4E82E9EE">
      <w:pPr>
        <w:spacing w:line="360" w:lineRule="auto"/>
        <w:ind w:firstLine="420" w:firstLineChars="200"/>
        <w:rPr>
          <w:color w:val="auto"/>
          <w:szCs w:val="21"/>
          <w:highlight w:val="none"/>
        </w:rPr>
      </w:pPr>
      <w:r>
        <w:rPr>
          <w:color w:val="auto"/>
          <w:highlight w:val="none"/>
        </w:rPr>
        <w:t>10.2.7</w:t>
      </w:r>
      <w:r>
        <w:rPr>
          <w:color w:val="auto"/>
          <w:szCs w:val="21"/>
          <w:highlight w:val="none"/>
        </w:rPr>
        <w:t xml:space="preserve"> </w:t>
      </w:r>
      <w:r>
        <w:rPr>
          <w:rFonts w:hAnsi="宋体"/>
          <w:color w:val="auto"/>
          <w:szCs w:val="21"/>
          <w:highlight w:val="none"/>
        </w:rPr>
        <w:t>合同约定的安全作业环境及安全施工措施所需费用应遵守有关规定，并包括在相关工作的合同价格中。因采取合同未约定的安全作业环境及安全施工措施增加的费用，由监理人按第</w:t>
      </w:r>
      <w:r>
        <w:rPr>
          <w:color w:val="auto"/>
          <w:szCs w:val="21"/>
          <w:highlight w:val="none"/>
        </w:rPr>
        <w:t xml:space="preserve">3.5 </w:t>
      </w:r>
      <w:r>
        <w:rPr>
          <w:rFonts w:hAnsi="宋体"/>
          <w:color w:val="auto"/>
          <w:szCs w:val="21"/>
          <w:highlight w:val="none"/>
        </w:rPr>
        <w:t>款商定或确定。</w:t>
      </w:r>
    </w:p>
    <w:p w14:paraId="29E8AF56">
      <w:pPr>
        <w:spacing w:line="360" w:lineRule="auto"/>
        <w:ind w:firstLine="420" w:firstLineChars="200"/>
        <w:rPr>
          <w:color w:val="auto"/>
          <w:szCs w:val="21"/>
          <w:highlight w:val="none"/>
        </w:rPr>
      </w:pPr>
      <w:r>
        <w:rPr>
          <w:color w:val="auto"/>
          <w:highlight w:val="none"/>
        </w:rPr>
        <w:t>10.2.8</w:t>
      </w:r>
      <w:r>
        <w:rPr>
          <w:color w:val="auto"/>
          <w:szCs w:val="21"/>
          <w:highlight w:val="none"/>
        </w:rPr>
        <w:t xml:space="preserve"> </w:t>
      </w:r>
      <w:r>
        <w:rPr>
          <w:rFonts w:hAnsi="宋体"/>
          <w:color w:val="auto"/>
          <w:szCs w:val="21"/>
          <w:highlight w:val="none"/>
        </w:rPr>
        <w:t>承包人应对其履行合同所雇佣的全部人员，包括分包人人员的工伤事故承担责任，但由于发包人原因造成承包人人员工伤事故的，应由发包人承担责任。</w:t>
      </w:r>
    </w:p>
    <w:p w14:paraId="22E9B02F">
      <w:pPr>
        <w:spacing w:line="360" w:lineRule="auto"/>
        <w:ind w:firstLine="420" w:firstLineChars="200"/>
        <w:rPr>
          <w:color w:val="auto"/>
          <w:szCs w:val="21"/>
          <w:highlight w:val="none"/>
        </w:rPr>
      </w:pPr>
      <w:r>
        <w:rPr>
          <w:color w:val="auto"/>
          <w:highlight w:val="none"/>
        </w:rPr>
        <w:t>10.2.9</w:t>
      </w:r>
      <w:r>
        <w:rPr>
          <w:color w:val="auto"/>
          <w:szCs w:val="21"/>
          <w:highlight w:val="none"/>
        </w:rPr>
        <w:t xml:space="preserve"> </w:t>
      </w:r>
      <w:r>
        <w:rPr>
          <w:rFonts w:hAnsi="宋体"/>
          <w:color w:val="auto"/>
          <w:szCs w:val="21"/>
          <w:highlight w:val="none"/>
        </w:rPr>
        <w:t>由于承包人原因在施工场地内及其毗邻地带造成的第三者人员伤亡和财产损失，由承包人负责赔偿。</w:t>
      </w:r>
    </w:p>
    <w:p w14:paraId="4FDAD783">
      <w:pPr>
        <w:pStyle w:val="6"/>
        <w:spacing w:before="159"/>
        <w:rPr>
          <w:color w:val="auto"/>
          <w:highlight w:val="none"/>
        </w:rPr>
      </w:pPr>
      <w:bookmarkStart w:id="2138" w:name="_Toc18378"/>
      <w:bookmarkStart w:id="2139" w:name="_Toc26271"/>
      <w:bookmarkStart w:id="2140" w:name="_Toc17556"/>
      <w:bookmarkStart w:id="2141" w:name="_Toc300835114"/>
      <w:bookmarkStart w:id="2142" w:name="_Toc30031_WPSOffice_Level2"/>
      <w:bookmarkStart w:id="2143" w:name="_Toc5243"/>
      <w:bookmarkStart w:id="2144" w:name="_Toc519085459"/>
      <w:bookmarkStart w:id="2145" w:name="_Toc6456"/>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3</w:t>
      </w:r>
      <w:bookmarkEnd w:id="2138"/>
      <w:bookmarkEnd w:id="2139"/>
      <w:r>
        <w:rPr>
          <w:color w:val="auto"/>
          <w:highlight w:val="none"/>
        </w:rPr>
        <w:t xml:space="preserve"> </w:t>
      </w:r>
      <w:r>
        <w:rPr>
          <w:rStyle w:val="79"/>
          <w:color w:val="auto"/>
          <w:highlight w:val="none"/>
        </w:rPr>
        <w:t>治安保卫</w:t>
      </w:r>
      <w:bookmarkEnd w:id="2140"/>
      <w:bookmarkEnd w:id="2141"/>
      <w:bookmarkEnd w:id="2142"/>
      <w:bookmarkEnd w:id="2143"/>
      <w:bookmarkEnd w:id="2144"/>
      <w:bookmarkEnd w:id="2145"/>
    </w:p>
    <w:p w14:paraId="77BC25A1">
      <w:pPr>
        <w:spacing w:line="360" w:lineRule="auto"/>
        <w:ind w:firstLine="420" w:firstLineChars="200"/>
        <w:rPr>
          <w:color w:val="auto"/>
          <w:szCs w:val="21"/>
          <w:highlight w:val="none"/>
        </w:rPr>
      </w:pPr>
      <w:r>
        <w:rPr>
          <w:color w:val="auto"/>
          <w:highlight w:val="none"/>
        </w:rPr>
        <w:t>10.3.1</w:t>
      </w:r>
      <w:r>
        <w:rPr>
          <w:color w:val="auto"/>
          <w:szCs w:val="21"/>
          <w:highlight w:val="none"/>
        </w:rPr>
        <w:t xml:space="preserve"> </w:t>
      </w:r>
      <w:r>
        <w:rPr>
          <w:rFonts w:hAnsi="宋体"/>
          <w:color w:val="auto"/>
          <w:szCs w:val="21"/>
          <w:highlight w:val="none"/>
        </w:rPr>
        <w:t>除合同另有约定外，承包人应与当地公安部门协商，在现场建立治安管理机构或联防组织，统一管理施工场地的治安保卫事项，履行合同工程的治安保卫职责。</w:t>
      </w:r>
    </w:p>
    <w:p w14:paraId="38BCA223">
      <w:pPr>
        <w:spacing w:line="360" w:lineRule="auto"/>
        <w:ind w:firstLine="420" w:firstLineChars="200"/>
        <w:rPr>
          <w:color w:val="auto"/>
          <w:szCs w:val="21"/>
          <w:highlight w:val="none"/>
        </w:rPr>
      </w:pPr>
      <w:r>
        <w:rPr>
          <w:color w:val="auto"/>
          <w:highlight w:val="none"/>
        </w:rPr>
        <w:t>10.3.2</w:t>
      </w:r>
      <w:r>
        <w:rPr>
          <w:color w:val="auto"/>
          <w:szCs w:val="21"/>
          <w:highlight w:val="none"/>
        </w:rPr>
        <w:t xml:space="preserve"> </w:t>
      </w:r>
      <w:r>
        <w:rPr>
          <w:rFonts w:hAnsi="宋体"/>
          <w:color w:val="auto"/>
          <w:szCs w:val="21"/>
          <w:highlight w:val="none"/>
        </w:rPr>
        <w:t>发包人和承包人除应协助现场治安管理机构或联防组织维护施工场地的社会治安外，还应做好包括生活区在内的各自管辖区的治安保卫工作。</w:t>
      </w:r>
    </w:p>
    <w:p w14:paraId="2A36F94A">
      <w:pPr>
        <w:spacing w:line="360" w:lineRule="auto"/>
        <w:ind w:firstLine="420" w:firstLineChars="200"/>
        <w:rPr>
          <w:color w:val="auto"/>
          <w:szCs w:val="21"/>
          <w:highlight w:val="none"/>
        </w:rPr>
      </w:pPr>
      <w:r>
        <w:rPr>
          <w:color w:val="auto"/>
          <w:highlight w:val="none"/>
        </w:rPr>
        <w:t>10.3.3</w:t>
      </w:r>
      <w:r>
        <w:rPr>
          <w:color w:val="auto"/>
          <w:szCs w:val="21"/>
          <w:highlight w:val="none"/>
        </w:rPr>
        <w:t xml:space="preserve"> </w:t>
      </w:r>
      <w:r>
        <w:rPr>
          <w:rFonts w:hAnsi="宋体"/>
          <w:color w:val="auto"/>
          <w:szCs w:val="21"/>
          <w:highlight w:val="none"/>
        </w:rPr>
        <w:t>除合同另有约定外，承包人应编制施工场地治安管理计划，并制定应对突发治安事件的紧急预案，报监理人批准。自承包人进入施工现场，至发包人接收工程的期间，施工现场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74E02BB3">
      <w:pPr>
        <w:pStyle w:val="6"/>
        <w:spacing w:before="159"/>
        <w:rPr>
          <w:color w:val="auto"/>
          <w:highlight w:val="none"/>
        </w:rPr>
      </w:pPr>
      <w:bookmarkStart w:id="2146" w:name="_Toc2356"/>
      <w:bookmarkStart w:id="2147" w:name="_Toc15035"/>
      <w:bookmarkStart w:id="2148" w:name="_Toc519085460"/>
      <w:bookmarkStart w:id="2149" w:name="_Toc12247"/>
      <w:bookmarkStart w:id="2150" w:name="_Toc31279"/>
      <w:bookmarkStart w:id="2151" w:name="_Toc29899"/>
      <w:bookmarkStart w:id="2152" w:name="_Toc14315_WPSOffice_Level2"/>
      <w:bookmarkStart w:id="2153" w:name="_Toc300835115"/>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4</w:t>
      </w:r>
      <w:bookmarkEnd w:id="2146"/>
      <w:bookmarkEnd w:id="2147"/>
      <w:r>
        <w:rPr>
          <w:color w:val="auto"/>
          <w:highlight w:val="none"/>
        </w:rPr>
        <w:t xml:space="preserve"> </w:t>
      </w:r>
      <w:r>
        <w:rPr>
          <w:rStyle w:val="79"/>
          <w:color w:val="auto"/>
          <w:highlight w:val="none"/>
        </w:rPr>
        <w:t>环境保护</w:t>
      </w:r>
      <w:bookmarkEnd w:id="2148"/>
      <w:bookmarkEnd w:id="2149"/>
      <w:bookmarkEnd w:id="2150"/>
      <w:bookmarkEnd w:id="2151"/>
      <w:bookmarkEnd w:id="2152"/>
      <w:bookmarkEnd w:id="2153"/>
    </w:p>
    <w:p w14:paraId="13FCD7A8">
      <w:pPr>
        <w:spacing w:line="360" w:lineRule="auto"/>
        <w:ind w:firstLine="420" w:firstLineChars="200"/>
        <w:rPr>
          <w:color w:val="auto"/>
          <w:szCs w:val="21"/>
          <w:highlight w:val="none"/>
        </w:rPr>
      </w:pPr>
      <w:r>
        <w:rPr>
          <w:color w:val="auto"/>
          <w:highlight w:val="none"/>
        </w:rPr>
        <w:t>10.4.1</w:t>
      </w:r>
      <w:r>
        <w:rPr>
          <w:color w:val="auto"/>
          <w:szCs w:val="21"/>
          <w:highlight w:val="none"/>
        </w:rPr>
        <w:t xml:space="preserve"> </w:t>
      </w:r>
      <w:r>
        <w:rPr>
          <w:rFonts w:hAnsi="宋体"/>
          <w:color w:val="auto"/>
          <w:szCs w:val="21"/>
          <w:highlight w:val="none"/>
        </w:rPr>
        <w:t>承包人在履行合同过程中，应遵守有关环境保护的法律，履行合同约定的环境保护义务，并对违反法律和合同约定义务所造成的环境破坏、人身伤害和财产损失负责。</w:t>
      </w:r>
    </w:p>
    <w:p w14:paraId="58AFCF3A">
      <w:pPr>
        <w:spacing w:line="360" w:lineRule="auto"/>
        <w:ind w:firstLine="420" w:firstLineChars="200"/>
        <w:rPr>
          <w:color w:val="auto"/>
          <w:szCs w:val="21"/>
          <w:highlight w:val="none"/>
        </w:rPr>
      </w:pPr>
      <w:r>
        <w:rPr>
          <w:color w:val="auto"/>
          <w:highlight w:val="none"/>
        </w:rPr>
        <w:t>10.4.2</w:t>
      </w:r>
      <w:r>
        <w:rPr>
          <w:color w:val="auto"/>
          <w:szCs w:val="21"/>
          <w:highlight w:val="none"/>
        </w:rPr>
        <w:t xml:space="preserve"> </w:t>
      </w:r>
      <w:r>
        <w:rPr>
          <w:rFonts w:hAnsi="宋体"/>
          <w:color w:val="auto"/>
          <w:szCs w:val="21"/>
          <w:highlight w:val="none"/>
        </w:rPr>
        <w:t>承包人应按合同约定的环保工作内容，编制环保措施计划，报送监理人批准。</w:t>
      </w:r>
    </w:p>
    <w:p w14:paraId="27E0D123">
      <w:pPr>
        <w:spacing w:line="360" w:lineRule="auto"/>
        <w:ind w:firstLine="420" w:firstLineChars="200"/>
        <w:rPr>
          <w:color w:val="auto"/>
          <w:szCs w:val="21"/>
          <w:highlight w:val="none"/>
        </w:rPr>
      </w:pPr>
      <w:r>
        <w:rPr>
          <w:color w:val="auto"/>
          <w:highlight w:val="none"/>
        </w:rPr>
        <w:t xml:space="preserve">10.4.3 </w:t>
      </w:r>
      <w:r>
        <w:rPr>
          <w:rFonts w:hAnsi="宋体"/>
          <w:color w:val="auto"/>
          <w:szCs w:val="21"/>
          <w:highlight w:val="none"/>
        </w:rPr>
        <w:t>承包人应确保施工过程中产生的气体排放物、</w:t>
      </w:r>
      <w:r>
        <w:rPr>
          <w:rFonts w:hAnsi="宋体"/>
          <w:color w:val="auto"/>
          <w:highlight w:val="none"/>
        </w:rPr>
        <w:t>粉尘、噪声、</w:t>
      </w:r>
      <w:r>
        <w:rPr>
          <w:rFonts w:hAnsi="宋体"/>
          <w:color w:val="auto"/>
          <w:szCs w:val="21"/>
          <w:highlight w:val="none"/>
        </w:rPr>
        <w:t>地面排水及排污等，符合法律规定和发包人要求。</w:t>
      </w:r>
    </w:p>
    <w:p w14:paraId="6965BBBD">
      <w:pPr>
        <w:pStyle w:val="6"/>
        <w:spacing w:before="159"/>
        <w:rPr>
          <w:color w:val="auto"/>
          <w:highlight w:val="none"/>
        </w:rPr>
      </w:pPr>
      <w:bookmarkStart w:id="2154" w:name="_Toc8031"/>
      <w:bookmarkStart w:id="2155" w:name="_Toc13280"/>
      <w:bookmarkStart w:id="2156" w:name="_Toc519085461"/>
      <w:bookmarkStart w:id="2157" w:name="_Toc628"/>
      <w:bookmarkStart w:id="2158" w:name="_Toc32369"/>
      <w:bookmarkStart w:id="2159" w:name="_Toc7492"/>
      <w:bookmarkStart w:id="2160" w:name="_Toc300835116"/>
      <w:bookmarkStart w:id="2161" w:name="_Toc25972_WPSOffice_Level2"/>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5</w:t>
      </w:r>
      <w:bookmarkEnd w:id="2154"/>
      <w:bookmarkEnd w:id="2155"/>
      <w:r>
        <w:rPr>
          <w:color w:val="auto"/>
          <w:highlight w:val="none"/>
        </w:rPr>
        <w:t xml:space="preserve"> </w:t>
      </w:r>
      <w:r>
        <w:rPr>
          <w:rStyle w:val="79"/>
          <w:color w:val="auto"/>
          <w:highlight w:val="none"/>
        </w:rPr>
        <w:t>事故处理</w:t>
      </w:r>
      <w:bookmarkEnd w:id="2156"/>
      <w:bookmarkEnd w:id="2157"/>
      <w:bookmarkEnd w:id="2158"/>
      <w:bookmarkEnd w:id="2159"/>
      <w:bookmarkEnd w:id="2160"/>
      <w:bookmarkEnd w:id="2161"/>
    </w:p>
    <w:p w14:paraId="146FAECC">
      <w:pPr>
        <w:spacing w:line="360" w:lineRule="auto"/>
        <w:ind w:firstLine="420" w:firstLineChars="200"/>
        <w:rPr>
          <w:color w:val="auto"/>
          <w:szCs w:val="21"/>
          <w:highlight w:val="none"/>
        </w:rPr>
      </w:pPr>
      <w:r>
        <w:rPr>
          <w:rFonts w:hAnsi="宋体"/>
          <w:color w:val="auto"/>
          <w:szCs w:val="21"/>
          <w:highlight w:val="none"/>
        </w:rPr>
        <w:t>合同履行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954B73B">
      <w:pPr>
        <w:pStyle w:val="5"/>
        <w:spacing w:before="159"/>
        <w:rPr>
          <w:rFonts w:ascii="Times New Roman" w:hAnsi="Times New Roman" w:eastAsia="宋体"/>
          <w:color w:val="auto"/>
          <w:highlight w:val="none"/>
        </w:rPr>
      </w:pPr>
      <w:bookmarkStart w:id="2162" w:name="_Toc18577"/>
      <w:bookmarkStart w:id="2163" w:name="_Toc519085462"/>
      <w:bookmarkStart w:id="2164" w:name="_Toc300835117"/>
      <w:bookmarkStart w:id="2165" w:name="_Toc70"/>
      <w:bookmarkStart w:id="2166" w:name="_Toc1911"/>
      <w:bookmarkStart w:id="2167" w:name="_Toc6825"/>
      <w:bookmarkStart w:id="2168" w:name="_Toc20525_WPSOffice_Level1"/>
      <w:bookmarkStart w:id="2169" w:name="_Toc23455"/>
      <w:r>
        <w:rPr>
          <w:rFonts w:ascii="Times New Roman" w:hAnsi="Times New Roman" w:eastAsia="宋体"/>
          <w:color w:val="auto"/>
          <w:highlight w:val="none"/>
        </w:rPr>
        <w:t xml:space="preserve">11. </w:t>
      </w:r>
      <w:r>
        <w:rPr>
          <w:rStyle w:val="65"/>
          <w:color w:val="auto"/>
          <w:highlight w:val="none"/>
        </w:rPr>
        <w:t>开始工作和竣工</w:t>
      </w:r>
      <w:bookmarkEnd w:id="2162"/>
      <w:bookmarkEnd w:id="2163"/>
      <w:bookmarkEnd w:id="2164"/>
      <w:bookmarkEnd w:id="2165"/>
      <w:bookmarkEnd w:id="2166"/>
      <w:bookmarkEnd w:id="2167"/>
      <w:bookmarkEnd w:id="2168"/>
      <w:bookmarkEnd w:id="2169"/>
    </w:p>
    <w:p w14:paraId="06A116BD">
      <w:pPr>
        <w:pStyle w:val="6"/>
        <w:spacing w:before="159"/>
        <w:rPr>
          <w:color w:val="auto"/>
          <w:highlight w:val="none"/>
        </w:rPr>
      </w:pPr>
      <w:bookmarkStart w:id="2170" w:name="_Toc26644"/>
      <w:bookmarkStart w:id="2171" w:name="_Toc8787"/>
      <w:bookmarkStart w:id="2172" w:name="_Toc27310"/>
      <w:bookmarkStart w:id="2173" w:name="_Toc24523"/>
      <w:bookmarkStart w:id="2174" w:name="_Toc31666_WPSOffice_Level2"/>
      <w:bookmarkStart w:id="2175" w:name="_Toc300835118"/>
      <w:bookmarkStart w:id="2176" w:name="_Toc519085463"/>
      <w:bookmarkStart w:id="2177" w:name="_Toc22581"/>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1</w:t>
      </w:r>
      <w:bookmarkEnd w:id="2170"/>
      <w:bookmarkEnd w:id="2171"/>
      <w:r>
        <w:rPr>
          <w:color w:val="auto"/>
          <w:highlight w:val="none"/>
        </w:rPr>
        <w:t xml:space="preserve"> </w:t>
      </w:r>
      <w:r>
        <w:rPr>
          <w:rStyle w:val="79"/>
          <w:color w:val="auto"/>
          <w:highlight w:val="none"/>
        </w:rPr>
        <w:t>开始工作</w:t>
      </w:r>
      <w:bookmarkEnd w:id="2172"/>
      <w:bookmarkEnd w:id="2173"/>
      <w:bookmarkEnd w:id="2174"/>
      <w:bookmarkEnd w:id="2175"/>
      <w:bookmarkEnd w:id="2176"/>
      <w:bookmarkEnd w:id="2177"/>
    </w:p>
    <w:p w14:paraId="04F4DE09">
      <w:pPr>
        <w:spacing w:line="360" w:lineRule="auto"/>
        <w:ind w:firstLine="420" w:firstLineChars="200"/>
        <w:rPr>
          <w:color w:val="auto"/>
          <w:szCs w:val="21"/>
          <w:highlight w:val="none"/>
        </w:rPr>
      </w:pPr>
      <w:r>
        <w:rPr>
          <w:rFonts w:hAnsi="宋体"/>
          <w:color w:val="auto"/>
          <w:szCs w:val="21"/>
          <w:highlight w:val="none"/>
        </w:rPr>
        <w:t>符合专用合同条款约定的开始工作的条件的，监理人应提前</w:t>
      </w:r>
      <w:r>
        <w:rPr>
          <w:color w:val="auto"/>
          <w:szCs w:val="21"/>
          <w:highlight w:val="none"/>
        </w:rPr>
        <w:t>7</w:t>
      </w:r>
      <w:r>
        <w:rPr>
          <w:rFonts w:hAnsi="宋体"/>
          <w:color w:val="auto"/>
          <w:szCs w:val="21"/>
          <w:highlight w:val="none"/>
        </w:rPr>
        <w:t>天向承包人发出开始工作通知。监理人在发出开始工作通知前应获得发包人同意。工期自开始工作通知中载明的开始工作日期起计算。除专用合同条款另有约定外，因发包人原因造成监理人未能在合同签订之日起</w:t>
      </w:r>
      <w:r>
        <w:rPr>
          <w:color w:val="auto"/>
          <w:szCs w:val="21"/>
          <w:highlight w:val="none"/>
        </w:rPr>
        <w:t>90</w:t>
      </w:r>
      <w:r>
        <w:rPr>
          <w:rFonts w:hAnsi="宋体"/>
          <w:color w:val="auto"/>
          <w:szCs w:val="21"/>
          <w:highlight w:val="none"/>
        </w:rPr>
        <w:t>天内发出开始工作通知的，承包人有权提出价格调整要求，或者解除合同。发包人应当承担由此增加的费用和（或）工期延误，并向承包人支付合理利润。</w:t>
      </w:r>
    </w:p>
    <w:p w14:paraId="3239F7EA">
      <w:pPr>
        <w:pStyle w:val="6"/>
        <w:spacing w:before="159"/>
        <w:rPr>
          <w:color w:val="auto"/>
          <w:highlight w:val="none"/>
        </w:rPr>
      </w:pPr>
      <w:bookmarkStart w:id="2178" w:name="_Toc22719"/>
      <w:bookmarkStart w:id="2179" w:name="_Toc23991"/>
      <w:bookmarkStart w:id="2180" w:name="_Toc18586"/>
      <w:bookmarkStart w:id="2181" w:name="_Toc9893"/>
      <w:bookmarkStart w:id="2182" w:name="_Toc519085464"/>
      <w:bookmarkStart w:id="2183" w:name="_Toc23600"/>
      <w:bookmarkStart w:id="2184" w:name="_Toc300835119"/>
      <w:bookmarkStart w:id="2185" w:name="_Toc9479_WPSOffice_Level2"/>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2</w:t>
      </w:r>
      <w:bookmarkEnd w:id="2178"/>
      <w:bookmarkEnd w:id="2179"/>
      <w:r>
        <w:rPr>
          <w:color w:val="auto"/>
          <w:highlight w:val="none"/>
        </w:rPr>
        <w:t xml:space="preserve"> </w:t>
      </w:r>
      <w:r>
        <w:rPr>
          <w:rStyle w:val="79"/>
          <w:color w:val="auto"/>
          <w:highlight w:val="none"/>
        </w:rPr>
        <w:t>竣工</w:t>
      </w:r>
      <w:bookmarkEnd w:id="2180"/>
      <w:bookmarkEnd w:id="2181"/>
      <w:bookmarkEnd w:id="2182"/>
      <w:bookmarkEnd w:id="2183"/>
      <w:bookmarkEnd w:id="2184"/>
      <w:bookmarkEnd w:id="2185"/>
    </w:p>
    <w:p w14:paraId="74F99447">
      <w:pPr>
        <w:spacing w:line="360" w:lineRule="auto"/>
        <w:ind w:firstLine="420" w:firstLineChars="200"/>
        <w:rPr>
          <w:color w:val="auto"/>
          <w:szCs w:val="21"/>
          <w:highlight w:val="none"/>
        </w:rPr>
      </w:pPr>
      <w:r>
        <w:rPr>
          <w:rFonts w:hAnsi="宋体"/>
          <w:color w:val="auto"/>
          <w:szCs w:val="21"/>
          <w:highlight w:val="none"/>
        </w:rPr>
        <w:t>承包人应在第</w:t>
      </w:r>
      <w:r>
        <w:rPr>
          <w:color w:val="auto"/>
          <w:highlight w:val="none"/>
        </w:rPr>
        <w:t xml:space="preserve">1.1.4.3 </w:t>
      </w:r>
      <w:r>
        <w:rPr>
          <w:rFonts w:hAnsi="宋体"/>
          <w:color w:val="auto"/>
          <w:szCs w:val="21"/>
          <w:highlight w:val="none"/>
        </w:rPr>
        <w:t>目约定的期限内完成合同工作。实际竣工日</w:t>
      </w:r>
      <w:r>
        <w:rPr>
          <w:rFonts w:hAnsi="宋体"/>
          <w:color w:val="auto"/>
          <w:highlight w:val="none"/>
        </w:rPr>
        <w:t>期按第</w:t>
      </w:r>
      <w:r>
        <w:rPr>
          <w:color w:val="auto"/>
          <w:highlight w:val="none"/>
        </w:rPr>
        <w:t>18.3</w:t>
      </w:r>
      <w:r>
        <w:rPr>
          <w:rFonts w:hAnsi="宋体"/>
          <w:color w:val="auto"/>
          <w:szCs w:val="21"/>
          <w:highlight w:val="none"/>
        </w:rPr>
        <w:t>款约定确定，并在工程接收证书中载明。</w:t>
      </w:r>
    </w:p>
    <w:p w14:paraId="78A64AE1">
      <w:pPr>
        <w:pStyle w:val="6"/>
        <w:spacing w:before="159"/>
        <w:rPr>
          <w:color w:val="auto"/>
          <w:highlight w:val="none"/>
        </w:rPr>
      </w:pPr>
      <w:bookmarkStart w:id="2186" w:name="_Toc6286_WPSOffice_Level2"/>
      <w:bookmarkStart w:id="2187" w:name="_Toc4383"/>
      <w:bookmarkStart w:id="2188" w:name="_Toc31096"/>
      <w:bookmarkStart w:id="2189" w:name="_Toc300835120"/>
      <w:bookmarkStart w:id="2190" w:name="_Toc11527"/>
      <w:bookmarkStart w:id="2191" w:name="_Toc24364"/>
      <w:bookmarkStart w:id="2192" w:name="_Toc25719"/>
      <w:bookmarkStart w:id="2193" w:name="_Toc519085465"/>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3</w:t>
      </w:r>
      <w:r>
        <w:rPr>
          <w:rStyle w:val="68"/>
          <w:color w:val="auto"/>
          <w:highlight w:val="none"/>
        </w:rPr>
        <w:t xml:space="preserve"> </w:t>
      </w:r>
      <w:r>
        <w:rPr>
          <w:rStyle w:val="79"/>
          <w:color w:val="auto"/>
          <w:highlight w:val="none"/>
        </w:rPr>
        <w:t>发包人引起的工期延误</w:t>
      </w:r>
      <w:bookmarkEnd w:id="2186"/>
      <w:bookmarkEnd w:id="2187"/>
      <w:bookmarkEnd w:id="2188"/>
      <w:bookmarkEnd w:id="2189"/>
      <w:bookmarkEnd w:id="2190"/>
      <w:bookmarkEnd w:id="2191"/>
      <w:bookmarkEnd w:id="2192"/>
      <w:bookmarkEnd w:id="2193"/>
    </w:p>
    <w:p w14:paraId="1E6000F1">
      <w:pPr>
        <w:spacing w:line="360" w:lineRule="auto"/>
        <w:ind w:firstLine="420" w:firstLineChars="200"/>
        <w:rPr>
          <w:color w:val="auto"/>
          <w:szCs w:val="21"/>
          <w:highlight w:val="none"/>
        </w:rPr>
      </w:pPr>
      <w:r>
        <w:rPr>
          <w:rFonts w:hAnsi="宋体"/>
          <w:color w:val="auto"/>
          <w:szCs w:val="21"/>
          <w:highlight w:val="none"/>
        </w:rPr>
        <w:t>在履行合同过程中，由于发包人的下列原因造成工期延误的，承包人有权要求发包人延长工期和（或）增加费用，并支付合理利润。需要修订合同进度计划的，按照</w:t>
      </w:r>
      <w:r>
        <w:rPr>
          <w:rFonts w:hAnsi="宋体"/>
          <w:color w:val="auto"/>
          <w:highlight w:val="none"/>
        </w:rPr>
        <w:t>第</w:t>
      </w:r>
      <w:r>
        <w:rPr>
          <w:color w:val="auto"/>
          <w:highlight w:val="none"/>
        </w:rPr>
        <w:t>4.12.2</w:t>
      </w:r>
      <w:r>
        <w:rPr>
          <w:rFonts w:hAnsi="宋体"/>
          <w:color w:val="auto"/>
          <w:highlight w:val="none"/>
        </w:rPr>
        <w:t>项</w:t>
      </w:r>
      <w:r>
        <w:rPr>
          <w:rFonts w:hAnsi="宋体"/>
          <w:color w:val="auto"/>
          <w:szCs w:val="21"/>
          <w:highlight w:val="none"/>
        </w:rPr>
        <w:t>的约定执行。</w:t>
      </w:r>
    </w:p>
    <w:p w14:paraId="446E8C91">
      <w:pPr>
        <w:spacing w:line="360" w:lineRule="auto"/>
        <w:ind w:firstLine="420" w:firstLineChars="200"/>
        <w:rPr>
          <w:color w:val="auto"/>
          <w:highlight w:val="none"/>
        </w:rPr>
      </w:pPr>
      <w:r>
        <w:rPr>
          <w:rFonts w:hAnsi="宋体"/>
          <w:color w:val="auto"/>
          <w:highlight w:val="none"/>
        </w:rPr>
        <w:t>（</w:t>
      </w:r>
      <w:r>
        <w:rPr>
          <w:color w:val="auto"/>
          <w:highlight w:val="none"/>
        </w:rPr>
        <w:t>l</w:t>
      </w:r>
      <w:r>
        <w:rPr>
          <w:rFonts w:hAnsi="宋体"/>
          <w:color w:val="auto"/>
          <w:highlight w:val="none"/>
        </w:rPr>
        <w:t>）变更；</w:t>
      </w:r>
    </w:p>
    <w:p w14:paraId="75580509">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）未能按照合同要求的期限对承包人文件进行审查；</w:t>
      </w:r>
    </w:p>
    <w:p w14:paraId="3FD1558B">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）因发包人原因导致的暂停施工；</w:t>
      </w:r>
      <w:r>
        <w:rPr>
          <w:color w:val="auto"/>
          <w:highlight w:val="none"/>
        </w:rPr>
        <w:t xml:space="preserve"> </w:t>
      </w:r>
    </w:p>
    <w:p w14:paraId="17B34751">
      <w:pPr>
        <w:spacing w:line="360" w:lineRule="auto"/>
        <w:ind w:firstLine="420" w:firstLineChars="200"/>
        <w:rPr>
          <w:color w:val="auto"/>
          <w:highlight w:val="none"/>
        </w:rPr>
      </w:pPr>
      <w:r>
        <w:rPr>
          <w:rFonts w:hAnsi="宋体"/>
          <w:color w:val="auto"/>
          <w:highlight w:val="none"/>
        </w:rPr>
        <w:t>（</w:t>
      </w:r>
      <w:r>
        <w:rPr>
          <w:color w:val="auto"/>
          <w:highlight w:val="none"/>
        </w:rPr>
        <w:t xml:space="preserve">4) </w:t>
      </w:r>
      <w:r>
        <w:rPr>
          <w:rFonts w:hAnsi="宋体"/>
          <w:color w:val="auto"/>
          <w:highlight w:val="none"/>
        </w:rPr>
        <w:t>未按合同约定及时支付预付款、进度款；</w:t>
      </w:r>
    </w:p>
    <w:p w14:paraId="79869990">
      <w:pPr>
        <w:spacing w:line="360" w:lineRule="auto"/>
        <w:ind w:firstLine="420" w:firstLineChars="200"/>
        <w:rPr>
          <w:color w:val="auto"/>
          <w:highlight w:val="none"/>
        </w:rPr>
      </w:pPr>
      <w:r>
        <w:rPr>
          <w:rFonts w:hAnsi="宋体"/>
          <w:color w:val="auto"/>
          <w:highlight w:val="none"/>
        </w:rPr>
        <w:t>（</w:t>
      </w:r>
      <w:r>
        <w:rPr>
          <w:color w:val="auto"/>
          <w:highlight w:val="none"/>
        </w:rPr>
        <w:t xml:space="preserve">5) </w:t>
      </w:r>
      <w:r>
        <w:rPr>
          <w:rFonts w:hAnsi="宋体"/>
          <w:color w:val="auto"/>
          <w:highlight w:val="none"/>
        </w:rPr>
        <w:t>发包人按第</w:t>
      </w:r>
      <w:r>
        <w:rPr>
          <w:color w:val="auto"/>
          <w:highlight w:val="none"/>
        </w:rPr>
        <w:t>9.3</w:t>
      </w:r>
      <w:r>
        <w:rPr>
          <w:rFonts w:hAnsi="宋体"/>
          <w:color w:val="auto"/>
          <w:highlight w:val="none"/>
        </w:rPr>
        <w:t>款提供的基准资料错误；</w:t>
      </w:r>
    </w:p>
    <w:p w14:paraId="453134E3">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）发包人按第</w:t>
      </w:r>
      <w:r>
        <w:rPr>
          <w:color w:val="auto"/>
          <w:highlight w:val="none"/>
        </w:rPr>
        <w:t>6.2</w:t>
      </w:r>
      <w:r>
        <w:rPr>
          <w:rFonts w:hAnsi="宋体"/>
          <w:color w:val="auto"/>
          <w:highlight w:val="none"/>
        </w:rPr>
        <w:t>款迟延提供材料、工程设备或变更交货地点的；</w:t>
      </w:r>
    </w:p>
    <w:p w14:paraId="77211838">
      <w:pPr>
        <w:spacing w:line="360" w:lineRule="auto"/>
        <w:ind w:firstLine="420" w:firstLineChars="200"/>
        <w:rPr>
          <w:color w:val="auto"/>
          <w:highlight w:val="none"/>
        </w:rPr>
      </w:pPr>
      <w:r>
        <w:rPr>
          <w:rFonts w:hAnsi="宋体"/>
          <w:color w:val="auto"/>
          <w:highlight w:val="none"/>
        </w:rPr>
        <w:t>（</w:t>
      </w:r>
      <w:r>
        <w:rPr>
          <w:color w:val="auto"/>
          <w:highlight w:val="none"/>
        </w:rPr>
        <w:t>7</w:t>
      </w:r>
      <w:r>
        <w:rPr>
          <w:rFonts w:hAnsi="宋体"/>
          <w:color w:val="auto"/>
          <w:highlight w:val="none"/>
        </w:rPr>
        <w:t>）发包人未及时按照</w:t>
      </w:r>
      <w:r>
        <w:rPr>
          <w:color w:val="auto"/>
          <w:highlight w:val="none"/>
        </w:rPr>
        <w:t>“</w:t>
      </w:r>
      <w:r>
        <w:rPr>
          <w:rFonts w:hAnsi="宋体"/>
          <w:color w:val="auto"/>
          <w:highlight w:val="none"/>
        </w:rPr>
        <w:t>发包人要求</w:t>
      </w:r>
      <w:r>
        <w:rPr>
          <w:color w:val="auto"/>
          <w:highlight w:val="none"/>
        </w:rPr>
        <w:t>”</w:t>
      </w:r>
      <w:r>
        <w:rPr>
          <w:rFonts w:hAnsi="宋体"/>
          <w:color w:val="auto"/>
          <w:highlight w:val="none"/>
        </w:rPr>
        <w:t>履行相关义务；</w:t>
      </w:r>
    </w:p>
    <w:p w14:paraId="32BA8673">
      <w:pPr>
        <w:spacing w:line="360" w:lineRule="auto"/>
        <w:ind w:firstLine="420" w:firstLineChars="200"/>
        <w:rPr>
          <w:color w:val="auto"/>
          <w:szCs w:val="21"/>
          <w:highlight w:val="none"/>
        </w:rPr>
      </w:pPr>
      <w:r>
        <w:rPr>
          <w:rFonts w:hAnsi="宋体"/>
          <w:color w:val="auto"/>
          <w:highlight w:val="none"/>
        </w:rPr>
        <w:t>（</w:t>
      </w:r>
      <w:r>
        <w:rPr>
          <w:color w:val="auto"/>
          <w:highlight w:val="none"/>
        </w:rPr>
        <w:t>8</w:t>
      </w:r>
      <w:r>
        <w:rPr>
          <w:rFonts w:hAnsi="宋体"/>
          <w:color w:val="auto"/>
          <w:highlight w:val="none"/>
        </w:rPr>
        <w:t>）发包人造成</w:t>
      </w:r>
      <w:r>
        <w:rPr>
          <w:rFonts w:hAnsi="宋体"/>
          <w:color w:val="auto"/>
          <w:szCs w:val="21"/>
          <w:highlight w:val="none"/>
        </w:rPr>
        <w:t>工期延误的其他原因。</w:t>
      </w:r>
    </w:p>
    <w:p w14:paraId="1219BCCD">
      <w:pPr>
        <w:pStyle w:val="6"/>
        <w:spacing w:before="159"/>
        <w:rPr>
          <w:color w:val="auto"/>
          <w:highlight w:val="none"/>
        </w:rPr>
      </w:pPr>
      <w:bookmarkStart w:id="2194" w:name="_Toc21189"/>
      <w:bookmarkStart w:id="2195" w:name="_Toc1190"/>
      <w:bookmarkStart w:id="2196" w:name="_Toc25393"/>
      <w:bookmarkStart w:id="2197" w:name="_Toc519085466"/>
      <w:bookmarkStart w:id="2198" w:name="_Toc300835121"/>
      <w:bookmarkStart w:id="2199" w:name="_Toc9127"/>
      <w:bookmarkStart w:id="2200" w:name="_Toc21971_WPSOffice_Level2"/>
      <w:bookmarkStart w:id="2201" w:name="_Toc19117"/>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4</w:t>
      </w:r>
      <w:bookmarkEnd w:id="2194"/>
      <w:bookmarkEnd w:id="2195"/>
      <w:r>
        <w:rPr>
          <w:color w:val="auto"/>
          <w:highlight w:val="none"/>
        </w:rPr>
        <w:t xml:space="preserve"> </w:t>
      </w:r>
      <w:r>
        <w:rPr>
          <w:rStyle w:val="79"/>
          <w:color w:val="auto"/>
          <w:highlight w:val="none"/>
        </w:rPr>
        <w:t>异常恶劣的气候条件</w:t>
      </w:r>
      <w:bookmarkEnd w:id="2196"/>
      <w:bookmarkEnd w:id="2197"/>
      <w:bookmarkEnd w:id="2198"/>
      <w:bookmarkEnd w:id="2199"/>
      <w:bookmarkEnd w:id="2200"/>
      <w:bookmarkEnd w:id="2201"/>
    </w:p>
    <w:p w14:paraId="3A241778">
      <w:pPr>
        <w:spacing w:line="360" w:lineRule="auto"/>
        <w:ind w:firstLine="420" w:firstLineChars="200"/>
        <w:rPr>
          <w:color w:val="auto"/>
          <w:szCs w:val="21"/>
          <w:highlight w:val="none"/>
        </w:rPr>
      </w:pPr>
      <w:r>
        <w:rPr>
          <w:rFonts w:hAnsi="宋体"/>
          <w:color w:val="auto"/>
          <w:szCs w:val="21"/>
          <w:highlight w:val="none"/>
        </w:rPr>
        <w:t>由于出现专用合同条款规定的异常恶劣气候的条件导致工期延误的，承包人有权要求发包人延长工期和（或）增加费用。</w:t>
      </w:r>
    </w:p>
    <w:p w14:paraId="4ED66BF3">
      <w:pPr>
        <w:pStyle w:val="6"/>
        <w:spacing w:before="159"/>
        <w:rPr>
          <w:color w:val="auto"/>
          <w:highlight w:val="none"/>
        </w:rPr>
      </w:pPr>
      <w:bookmarkStart w:id="2202" w:name="_Toc2683"/>
      <w:bookmarkStart w:id="2203" w:name="_Toc12867"/>
      <w:bookmarkStart w:id="2204" w:name="_Toc25378_WPSOffice_Level2"/>
      <w:bookmarkStart w:id="2205" w:name="_Toc12022"/>
      <w:bookmarkStart w:id="2206" w:name="_Toc300835122"/>
      <w:bookmarkStart w:id="2207" w:name="_Toc519085467"/>
      <w:bookmarkStart w:id="2208" w:name="_Toc23036"/>
      <w:bookmarkStart w:id="2209" w:name="_Toc29852"/>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5</w:t>
      </w:r>
      <w:bookmarkEnd w:id="2202"/>
      <w:bookmarkEnd w:id="2203"/>
      <w:r>
        <w:rPr>
          <w:color w:val="auto"/>
          <w:highlight w:val="none"/>
        </w:rPr>
        <w:t xml:space="preserve"> </w:t>
      </w:r>
      <w:r>
        <w:rPr>
          <w:rStyle w:val="79"/>
          <w:color w:val="auto"/>
          <w:highlight w:val="none"/>
        </w:rPr>
        <w:t>承包人引起的工期延误</w:t>
      </w:r>
      <w:bookmarkEnd w:id="2204"/>
      <w:bookmarkEnd w:id="2205"/>
      <w:bookmarkEnd w:id="2206"/>
      <w:bookmarkEnd w:id="2207"/>
      <w:bookmarkEnd w:id="2208"/>
      <w:bookmarkEnd w:id="2209"/>
    </w:p>
    <w:p w14:paraId="79304843">
      <w:pPr>
        <w:spacing w:line="360" w:lineRule="auto"/>
        <w:ind w:firstLine="420" w:firstLineChars="200"/>
        <w:rPr>
          <w:color w:val="auto"/>
          <w:szCs w:val="21"/>
          <w:highlight w:val="none"/>
        </w:rPr>
      </w:pPr>
      <w:r>
        <w:rPr>
          <w:rFonts w:hAnsi="宋体"/>
          <w:color w:val="auto"/>
          <w:szCs w:val="21"/>
          <w:highlight w:val="none"/>
        </w:rPr>
        <w:t>由于承包人原因，未能按合同进度计划完成工作，或监理人认为承包人工作进度不能满足合同工期要求的，承包人应采取措施加快进度，并承担加快进度所增加的费用。由于承包人原因造成工期延误，承包人应支付逾期竣工违约金。逾期竣工违约金的计算方法和最高限额在专用合同条款中约定。承包人支付逾期竣工违约金，不免除承包人完成工作及修补缺陷的义务。</w:t>
      </w:r>
    </w:p>
    <w:p w14:paraId="7D17DF83">
      <w:pPr>
        <w:pStyle w:val="6"/>
        <w:spacing w:before="159"/>
        <w:rPr>
          <w:color w:val="auto"/>
          <w:highlight w:val="none"/>
        </w:rPr>
      </w:pPr>
      <w:bookmarkStart w:id="2210" w:name="_Toc31444"/>
      <w:bookmarkStart w:id="2211" w:name="_Toc28085"/>
      <w:bookmarkStart w:id="2212" w:name="_Toc5134"/>
      <w:bookmarkStart w:id="2213" w:name="_Toc28355"/>
      <w:bookmarkStart w:id="2214" w:name="_Toc1484_WPSOffice_Level2"/>
      <w:bookmarkStart w:id="2215" w:name="_Toc13920"/>
      <w:bookmarkStart w:id="2216" w:name="_Toc300835123"/>
      <w:bookmarkStart w:id="2217" w:name="_Toc519085468"/>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6</w:t>
      </w:r>
      <w:bookmarkEnd w:id="2210"/>
      <w:bookmarkEnd w:id="2211"/>
      <w:r>
        <w:rPr>
          <w:color w:val="auto"/>
          <w:highlight w:val="none"/>
        </w:rPr>
        <w:t xml:space="preserve"> </w:t>
      </w:r>
      <w:r>
        <w:rPr>
          <w:rStyle w:val="79"/>
          <w:color w:val="auto"/>
          <w:highlight w:val="none"/>
        </w:rPr>
        <w:t>工期提前</w:t>
      </w:r>
      <w:bookmarkEnd w:id="2212"/>
      <w:bookmarkEnd w:id="2213"/>
      <w:bookmarkEnd w:id="2214"/>
      <w:bookmarkEnd w:id="2215"/>
      <w:bookmarkEnd w:id="2216"/>
      <w:bookmarkEnd w:id="2217"/>
    </w:p>
    <w:p w14:paraId="6AB10B3E">
      <w:pPr>
        <w:spacing w:line="360" w:lineRule="auto"/>
        <w:ind w:firstLine="420" w:firstLineChars="200"/>
        <w:rPr>
          <w:color w:val="auto"/>
          <w:szCs w:val="21"/>
          <w:highlight w:val="none"/>
        </w:rPr>
      </w:pPr>
      <w:r>
        <w:rPr>
          <w:rFonts w:hAnsi="宋体"/>
          <w:color w:val="auto"/>
          <w:szCs w:val="21"/>
          <w:highlight w:val="none"/>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p>
    <w:p w14:paraId="755879F1">
      <w:pPr>
        <w:pStyle w:val="6"/>
        <w:spacing w:before="159"/>
        <w:rPr>
          <w:color w:val="auto"/>
          <w:highlight w:val="none"/>
        </w:rPr>
      </w:pPr>
      <w:bookmarkStart w:id="2218" w:name="_Toc17756"/>
      <w:bookmarkStart w:id="2219" w:name="_Toc31856"/>
      <w:bookmarkStart w:id="2220" w:name="_Toc300835124"/>
      <w:bookmarkStart w:id="2221" w:name="_Toc1320"/>
      <w:bookmarkStart w:id="2222" w:name="_Toc2326"/>
      <w:bookmarkStart w:id="2223" w:name="_Toc12348_WPSOffice_Level2"/>
      <w:bookmarkStart w:id="2224" w:name="_Toc519085469"/>
      <w:bookmarkStart w:id="2225" w:name="_Toc19170"/>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7</w:t>
      </w:r>
      <w:bookmarkEnd w:id="2218"/>
      <w:bookmarkEnd w:id="2219"/>
      <w:r>
        <w:rPr>
          <w:color w:val="auto"/>
          <w:highlight w:val="none"/>
        </w:rPr>
        <w:t xml:space="preserve"> </w:t>
      </w:r>
      <w:r>
        <w:rPr>
          <w:rStyle w:val="79"/>
          <w:color w:val="auto"/>
          <w:highlight w:val="none"/>
        </w:rPr>
        <w:t>行政审批迟延</w:t>
      </w:r>
      <w:bookmarkEnd w:id="2220"/>
      <w:bookmarkEnd w:id="2221"/>
      <w:bookmarkEnd w:id="2222"/>
      <w:bookmarkEnd w:id="2223"/>
      <w:bookmarkEnd w:id="2224"/>
      <w:bookmarkEnd w:id="2225"/>
    </w:p>
    <w:p w14:paraId="0233A9C3">
      <w:pPr>
        <w:spacing w:line="360" w:lineRule="auto"/>
        <w:ind w:firstLine="420" w:firstLineChars="200"/>
        <w:rPr>
          <w:color w:val="auto"/>
          <w:szCs w:val="21"/>
          <w:highlight w:val="none"/>
        </w:rPr>
      </w:pPr>
      <w:r>
        <w:rPr>
          <w:rFonts w:hAnsi="宋体"/>
          <w:color w:val="auto"/>
          <w:szCs w:val="21"/>
          <w:highlight w:val="none"/>
        </w:rPr>
        <w:t>合同约定范围内的工作需国家有关部门审批的，发包人和（或）承包人应按照合同约定的职责分工完成行政审批报送。因国家有关部门审批迟延造成费用增加和（或）工期延误的，由发包人承担。</w:t>
      </w:r>
    </w:p>
    <w:p w14:paraId="5A902C84">
      <w:pPr>
        <w:pStyle w:val="5"/>
        <w:spacing w:before="159"/>
        <w:rPr>
          <w:rFonts w:ascii="Times New Roman" w:hAnsi="Times New Roman" w:eastAsia="宋体"/>
          <w:color w:val="auto"/>
          <w:highlight w:val="none"/>
        </w:rPr>
      </w:pPr>
      <w:bookmarkStart w:id="2226" w:name="_Toc14102"/>
      <w:bookmarkStart w:id="2227" w:name="_Toc17425"/>
      <w:bookmarkStart w:id="2228" w:name="_Toc25368_WPSOffice_Level1"/>
      <w:bookmarkStart w:id="2229" w:name="_Toc300835125"/>
      <w:bookmarkStart w:id="2230" w:name="_Toc22245"/>
      <w:bookmarkStart w:id="2231" w:name="_Toc3579"/>
      <w:bookmarkStart w:id="2232" w:name="_Toc25057"/>
      <w:bookmarkStart w:id="2233" w:name="_Toc519085470"/>
      <w:r>
        <w:rPr>
          <w:rFonts w:ascii="Times New Roman" w:hAnsi="Times New Roman" w:eastAsia="宋体"/>
          <w:color w:val="auto"/>
          <w:highlight w:val="none"/>
        </w:rPr>
        <w:t xml:space="preserve">12. </w:t>
      </w:r>
      <w:r>
        <w:rPr>
          <w:rStyle w:val="65"/>
          <w:color w:val="auto"/>
          <w:highlight w:val="none"/>
        </w:rPr>
        <w:t>暂停工作</w:t>
      </w:r>
      <w:bookmarkEnd w:id="2226"/>
      <w:bookmarkEnd w:id="2227"/>
      <w:bookmarkEnd w:id="2228"/>
      <w:bookmarkEnd w:id="2229"/>
      <w:bookmarkEnd w:id="2230"/>
      <w:bookmarkEnd w:id="2231"/>
      <w:bookmarkEnd w:id="2232"/>
      <w:bookmarkEnd w:id="2233"/>
    </w:p>
    <w:p w14:paraId="68613049">
      <w:pPr>
        <w:pStyle w:val="6"/>
        <w:spacing w:before="159"/>
        <w:rPr>
          <w:color w:val="auto"/>
          <w:highlight w:val="none"/>
        </w:rPr>
      </w:pPr>
      <w:bookmarkStart w:id="2234" w:name="_Toc30075"/>
      <w:bookmarkStart w:id="2235" w:name="_Toc24831"/>
      <w:bookmarkStart w:id="2236" w:name="_Toc519085471"/>
      <w:bookmarkStart w:id="2237" w:name="_Toc14253_WPSOffice_Level2"/>
      <w:bookmarkStart w:id="2238" w:name="_Toc31267"/>
      <w:bookmarkStart w:id="2239" w:name="_Toc300835126"/>
      <w:bookmarkStart w:id="2240" w:name="_Toc16337"/>
      <w:bookmarkStart w:id="2241" w:name="_Toc25189"/>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1</w:t>
      </w:r>
      <w:r>
        <w:rPr>
          <w:rStyle w:val="68"/>
          <w:color w:val="auto"/>
          <w:highlight w:val="none"/>
        </w:rPr>
        <w:t xml:space="preserve"> </w:t>
      </w:r>
      <w:r>
        <w:rPr>
          <w:rStyle w:val="79"/>
          <w:color w:val="auto"/>
          <w:highlight w:val="none"/>
        </w:rPr>
        <w:t>由发包人暂停工作</w:t>
      </w:r>
      <w:bookmarkEnd w:id="2234"/>
      <w:bookmarkEnd w:id="2235"/>
      <w:bookmarkEnd w:id="2236"/>
      <w:bookmarkEnd w:id="2237"/>
      <w:bookmarkEnd w:id="2238"/>
      <w:bookmarkEnd w:id="2239"/>
      <w:bookmarkEnd w:id="2240"/>
      <w:bookmarkEnd w:id="2241"/>
    </w:p>
    <w:p w14:paraId="15A81D89">
      <w:pPr>
        <w:spacing w:line="360" w:lineRule="auto"/>
        <w:ind w:firstLine="420" w:firstLineChars="200"/>
        <w:rPr>
          <w:color w:val="auto"/>
          <w:szCs w:val="21"/>
          <w:highlight w:val="none"/>
        </w:rPr>
      </w:pPr>
      <w:r>
        <w:rPr>
          <w:color w:val="auto"/>
          <w:highlight w:val="none"/>
        </w:rPr>
        <w:t xml:space="preserve">12.1.1 </w:t>
      </w:r>
      <w:r>
        <w:rPr>
          <w:rFonts w:hAnsi="宋体"/>
          <w:color w:val="auto"/>
          <w:highlight w:val="none"/>
        </w:rPr>
        <w:t>发包人</w:t>
      </w:r>
      <w:r>
        <w:rPr>
          <w:rFonts w:hAnsi="宋体"/>
          <w:color w:val="auto"/>
          <w:szCs w:val="21"/>
          <w:highlight w:val="none"/>
        </w:rPr>
        <w:t>认为必要时，可通过监理人向承包人发出暂停工作的指示，承包人应按监理人指示暂停工作。由于发包人原因引起的暂停工作造成工期延误的，承包人有权要求发包人延长工期和（或）增加费用，并支付合理利润。</w:t>
      </w:r>
    </w:p>
    <w:p w14:paraId="577E024C">
      <w:pPr>
        <w:spacing w:line="360" w:lineRule="auto"/>
        <w:ind w:firstLine="420" w:firstLineChars="200"/>
        <w:rPr>
          <w:color w:val="auto"/>
          <w:szCs w:val="21"/>
          <w:highlight w:val="none"/>
        </w:rPr>
      </w:pPr>
      <w:r>
        <w:rPr>
          <w:color w:val="auto"/>
          <w:highlight w:val="none"/>
        </w:rPr>
        <w:t xml:space="preserve">12.1.2 </w:t>
      </w:r>
      <w:r>
        <w:rPr>
          <w:rFonts w:hAnsi="宋体"/>
          <w:color w:val="auto"/>
          <w:highlight w:val="none"/>
        </w:rPr>
        <w:t>由于承包人</w:t>
      </w:r>
      <w:r>
        <w:rPr>
          <w:rFonts w:hAnsi="宋体"/>
          <w:color w:val="auto"/>
          <w:szCs w:val="21"/>
          <w:highlight w:val="none"/>
        </w:rPr>
        <w:t>下列原因造成发包人暂停工作的，由此造成费用的增加和（或）工期延误由承包人承担：</w:t>
      </w:r>
    </w:p>
    <w:p w14:paraId="0DB3539E">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）承包人违约；</w:t>
      </w:r>
    </w:p>
    <w:p w14:paraId="490A60D0">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）承包人擅自暂停工作；</w:t>
      </w:r>
    </w:p>
    <w:p w14:paraId="235EDAFE">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）合同约</w:t>
      </w:r>
      <w:r>
        <w:rPr>
          <w:rFonts w:hAnsi="宋体"/>
          <w:color w:val="auto"/>
          <w:szCs w:val="21"/>
          <w:highlight w:val="none"/>
        </w:rPr>
        <w:t>定由承包人承担责任的其他暂停工作。</w:t>
      </w:r>
    </w:p>
    <w:p w14:paraId="6FB79346">
      <w:pPr>
        <w:pStyle w:val="6"/>
        <w:spacing w:before="159"/>
        <w:rPr>
          <w:color w:val="auto"/>
          <w:highlight w:val="none"/>
        </w:rPr>
      </w:pPr>
      <w:bookmarkStart w:id="2242" w:name="_Toc300835127"/>
      <w:bookmarkStart w:id="2243" w:name="_Toc10084_WPSOffice_Level2"/>
      <w:bookmarkStart w:id="2244" w:name="_Toc519085472"/>
      <w:bookmarkStart w:id="2245" w:name="_Toc1217"/>
      <w:bookmarkStart w:id="2246" w:name="_Toc6926"/>
      <w:bookmarkStart w:id="2247" w:name="_Toc16806"/>
      <w:bookmarkStart w:id="2248" w:name="_Toc25427"/>
      <w:bookmarkStart w:id="2249" w:name="_Toc2580"/>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2</w:t>
      </w:r>
      <w:r>
        <w:rPr>
          <w:rStyle w:val="68"/>
          <w:color w:val="auto"/>
          <w:highlight w:val="none"/>
        </w:rPr>
        <w:t xml:space="preserve"> </w:t>
      </w:r>
      <w:r>
        <w:rPr>
          <w:rStyle w:val="79"/>
          <w:color w:val="auto"/>
          <w:highlight w:val="none"/>
        </w:rPr>
        <w:t>由承包人暂停工作</w:t>
      </w:r>
      <w:bookmarkEnd w:id="2242"/>
      <w:bookmarkEnd w:id="2243"/>
      <w:bookmarkEnd w:id="2244"/>
      <w:bookmarkEnd w:id="2245"/>
      <w:bookmarkEnd w:id="2246"/>
      <w:bookmarkEnd w:id="2247"/>
      <w:bookmarkEnd w:id="2248"/>
      <w:bookmarkEnd w:id="2249"/>
    </w:p>
    <w:p w14:paraId="74BA74AD">
      <w:pPr>
        <w:spacing w:line="360" w:lineRule="auto"/>
        <w:ind w:firstLine="420" w:firstLineChars="200"/>
        <w:rPr>
          <w:color w:val="auto"/>
          <w:szCs w:val="21"/>
          <w:highlight w:val="none"/>
        </w:rPr>
      </w:pPr>
      <w:r>
        <w:rPr>
          <w:color w:val="auto"/>
          <w:highlight w:val="none"/>
        </w:rPr>
        <w:t xml:space="preserve">12.2.1 </w:t>
      </w:r>
      <w:r>
        <w:rPr>
          <w:rFonts w:hAnsi="宋体"/>
          <w:color w:val="auto"/>
          <w:szCs w:val="21"/>
          <w:highlight w:val="none"/>
        </w:rPr>
        <w:t>合同履行过程中发生下列情形之一的，承包人可向发包人发出通知，要求发包人采取有效措施予以纠正。发包人收到承包人通知后的</w:t>
      </w:r>
      <w:r>
        <w:rPr>
          <w:color w:val="auto"/>
          <w:szCs w:val="21"/>
          <w:highlight w:val="none"/>
        </w:rPr>
        <w:t>28</w:t>
      </w:r>
      <w:r>
        <w:rPr>
          <w:rFonts w:hAnsi="宋体"/>
          <w:color w:val="auto"/>
          <w:szCs w:val="21"/>
          <w:highlight w:val="none"/>
        </w:rPr>
        <w:t>天内仍不履行合同义务，承包人有权暂停施工，并通知监理人，发包人应承担由此增加的费用和（或）工期延误责任，并支付承包人合理利润。</w:t>
      </w:r>
    </w:p>
    <w:p w14:paraId="5423434A">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）发包人未能按合同约定支付价款，或拖延、拒绝批准付款申请和支付证书，导致付款延误的；</w:t>
      </w:r>
    </w:p>
    <w:p w14:paraId="3113AADF">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）监理人无正当理由没有在约定期限内发出复工指示，导致承包人无法复工的；</w:t>
      </w:r>
    </w:p>
    <w:p w14:paraId="2BAF67E7">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）发包人无法继续履行或明确表示不履行或实质上已停止履行合同的；</w:t>
      </w:r>
    </w:p>
    <w:p w14:paraId="613DC62E">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）发包人</w:t>
      </w:r>
      <w:r>
        <w:rPr>
          <w:rFonts w:hAnsi="宋体"/>
          <w:color w:val="auto"/>
          <w:szCs w:val="21"/>
          <w:highlight w:val="none"/>
        </w:rPr>
        <w:t>不履行合同约定其他义务的。</w:t>
      </w:r>
    </w:p>
    <w:p w14:paraId="647736E9">
      <w:pPr>
        <w:spacing w:line="360" w:lineRule="auto"/>
        <w:ind w:firstLine="420" w:firstLineChars="200"/>
        <w:rPr>
          <w:color w:val="auto"/>
          <w:szCs w:val="21"/>
          <w:highlight w:val="none"/>
        </w:rPr>
      </w:pPr>
      <w:r>
        <w:rPr>
          <w:color w:val="auto"/>
          <w:highlight w:val="none"/>
        </w:rPr>
        <w:t xml:space="preserve">12.2.2 </w:t>
      </w:r>
      <w:r>
        <w:rPr>
          <w:rFonts w:hAnsi="宋体"/>
          <w:color w:val="auto"/>
          <w:szCs w:val="21"/>
          <w:highlight w:val="none"/>
        </w:rPr>
        <w:t>由于发包人的原因发生暂停施工的紧急情况，且监理人未及时下达暂停工作指示的，承包人可先暂停施工，并及时向监理人提出暂停工作的书面请求。监理人应在收到书面请求后的</w:t>
      </w:r>
      <w:r>
        <w:rPr>
          <w:color w:val="auto"/>
          <w:szCs w:val="21"/>
          <w:highlight w:val="none"/>
        </w:rPr>
        <w:t>24</w:t>
      </w:r>
      <w:r>
        <w:rPr>
          <w:rFonts w:hAnsi="宋体"/>
          <w:color w:val="auto"/>
          <w:szCs w:val="21"/>
          <w:highlight w:val="none"/>
        </w:rPr>
        <w:t>小时内予以答复，逾期未答复的，视为同意承包人的暂停工作请求。</w:t>
      </w:r>
    </w:p>
    <w:p w14:paraId="72C90563">
      <w:pPr>
        <w:pStyle w:val="6"/>
        <w:spacing w:before="159"/>
        <w:rPr>
          <w:color w:val="auto"/>
          <w:highlight w:val="none"/>
        </w:rPr>
      </w:pPr>
      <w:bookmarkStart w:id="2250" w:name="_Toc18813"/>
      <w:bookmarkStart w:id="2251" w:name="_Toc26498"/>
      <w:bookmarkStart w:id="2252" w:name="_Toc13297"/>
      <w:bookmarkStart w:id="2253" w:name="_Toc12554_WPSOffice_Level2"/>
      <w:bookmarkStart w:id="2254" w:name="_Toc300835128"/>
      <w:bookmarkStart w:id="2255" w:name="_Toc9045"/>
      <w:bookmarkStart w:id="2256" w:name="_Toc11740"/>
      <w:bookmarkStart w:id="2257" w:name="_Toc519085473"/>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3</w:t>
      </w:r>
      <w:bookmarkEnd w:id="2250"/>
      <w:bookmarkEnd w:id="2251"/>
      <w:r>
        <w:rPr>
          <w:color w:val="auto"/>
          <w:highlight w:val="none"/>
        </w:rPr>
        <w:t xml:space="preserve"> </w:t>
      </w:r>
      <w:r>
        <w:rPr>
          <w:rStyle w:val="79"/>
          <w:color w:val="auto"/>
          <w:highlight w:val="none"/>
        </w:rPr>
        <w:t>暂停工作后的照管</w:t>
      </w:r>
      <w:bookmarkEnd w:id="2252"/>
      <w:bookmarkEnd w:id="2253"/>
      <w:bookmarkEnd w:id="2254"/>
      <w:bookmarkEnd w:id="2255"/>
      <w:bookmarkEnd w:id="2256"/>
      <w:bookmarkEnd w:id="2257"/>
    </w:p>
    <w:p w14:paraId="365AC78B">
      <w:pPr>
        <w:spacing w:line="360" w:lineRule="auto"/>
        <w:ind w:firstLine="420" w:firstLineChars="200"/>
        <w:rPr>
          <w:color w:val="auto"/>
          <w:szCs w:val="21"/>
          <w:highlight w:val="none"/>
        </w:rPr>
      </w:pPr>
      <w:r>
        <w:rPr>
          <w:rFonts w:hAnsi="宋体"/>
          <w:color w:val="auto"/>
          <w:szCs w:val="21"/>
          <w:highlight w:val="none"/>
        </w:rPr>
        <w:t>不论由于何种原因引起暂停工作的，暂停工作期间，承包人应负责妥善保护工程并提供安全保障，由此增加的费用由责任方承担。</w:t>
      </w:r>
    </w:p>
    <w:p w14:paraId="706DCFA7">
      <w:pPr>
        <w:pStyle w:val="6"/>
        <w:spacing w:before="159"/>
        <w:rPr>
          <w:color w:val="auto"/>
          <w:highlight w:val="none"/>
        </w:rPr>
      </w:pPr>
      <w:bookmarkStart w:id="2258" w:name="_Toc13695"/>
      <w:bookmarkStart w:id="2259" w:name="_Toc26149_WPSOffice_Level2"/>
      <w:bookmarkStart w:id="2260" w:name="_Toc20056"/>
      <w:bookmarkStart w:id="2261" w:name="_Toc1723"/>
      <w:bookmarkStart w:id="2262" w:name="_Toc519085474"/>
      <w:bookmarkStart w:id="2263" w:name="_Toc17666"/>
      <w:bookmarkStart w:id="2264" w:name="_Toc300835129"/>
      <w:bookmarkStart w:id="2265" w:name="_Toc7703"/>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4</w:t>
      </w:r>
      <w:r>
        <w:rPr>
          <w:rStyle w:val="68"/>
          <w:color w:val="auto"/>
          <w:highlight w:val="none"/>
        </w:rPr>
        <w:t xml:space="preserve"> </w:t>
      </w:r>
      <w:r>
        <w:rPr>
          <w:rStyle w:val="79"/>
          <w:color w:val="auto"/>
          <w:highlight w:val="none"/>
        </w:rPr>
        <w:t>暂停工作后的复工</w:t>
      </w:r>
      <w:bookmarkEnd w:id="2258"/>
      <w:bookmarkEnd w:id="2259"/>
      <w:bookmarkEnd w:id="2260"/>
      <w:bookmarkEnd w:id="2261"/>
      <w:bookmarkEnd w:id="2262"/>
      <w:bookmarkEnd w:id="2263"/>
      <w:bookmarkEnd w:id="2264"/>
      <w:bookmarkEnd w:id="2265"/>
    </w:p>
    <w:p w14:paraId="2849E236">
      <w:pPr>
        <w:spacing w:line="360" w:lineRule="auto"/>
        <w:ind w:firstLine="420" w:firstLineChars="200"/>
        <w:rPr>
          <w:color w:val="auto"/>
          <w:szCs w:val="21"/>
          <w:highlight w:val="none"/>
        </w:rPr>
      </w:pPr>
      <w:r>
        <w:rPr>
          <w:color w:val="auto"/>
          <w:highlight w:val="none"/>
        </w:rPr>
        <w:t>12.4.1</w:t>
      </w:r>
      <w:r>
        <w:rPr>
          <w:rFonts w:hAnsi="宋体"/>
          <w:color w:val="auto"/>
          <w:szCs w:val="21"/>
          <w:highlight w:val="none"/>
        </w:rPr>
        <w:t>暂停工作后，监理人应与发包人和承包人协商，采取有效措施积极消除暂停工作的影响。当工程具备复工条件时，监理人应立即向承包人发出复工通知。承包人收到复工通知后，应在监理人指定的期限内复工。</w:t>
      </w:r>
    </w:p>
    <w:p w14:paraId="0A431392">
      <w:pPr>
        <w:spacing w:line="360" w:lineRule="auto"/>
        <w:ind w:firstLine="420" w:firstLineChars="200"/>
        <w:rPr>
          <w:color w:val="auto"/>
          <w:szCs w:val="21"/>
          <w:highlight w:val="none"/>
        </w:rPr>
      </w:pPr>
      <w:r>
        <w:rPr>
          <w:color w:val="auto"/>
          <w:highlight w:val="none"/>
        </w:rPr>
        <w:t>12.4.2</w:t>
      </w:r>
      <w:r>
        <w:rPr>
          <w:rFonts w:hAnsi="宋体"/>
          <w:color w:val="auto"/>
          <w:szCs w:val="21"/>
          <w:highlight w:val="none"/>
        </w:rPr>
        <w:t>承包人无故拖延和拒绝复工的，由此增加的费用和工期延误由承包人承担；因发包人原因无法按时复工的，承包人有权要求发包人延长工期和（或）增加费用，并支付合理利润。</w:t>
      </w:r>
    </w:p>
    <w:p w14:paraId="50A7923A">
      <w:pPr>
        <w:pStyle w:val="6"/>
        <w:spacing w:before="159"/>
        <w:rPr>
          <w:color w:val="auto"/>
          <w:highlight w:val="none"/>
        </w:rPr>
      </w:pPr>
      <w:bookmarkStart w:id="2266" w:name="_Toc28540"/>
      <w:bookmarkStart w:id="2267" w:name="_Toc11656"/>
      <w:bookmarkStart w:id="2268" w:name="_Toc22751"/>
      <w:bookmarkStart w:id="2269" w:name="_Toc31587_WPSOffice_Level2"/>
      <w:bookmarkStart w:id="2270" w:name="_Toc519085475"/>
      <w:bookmarkStart w:id="2271" w:name="_Toc25424"/>
      <w:bookmarkStart w:id="2272" w:name="_Toc300835130"/>
      <w:bookmarkStart w:id="2273" w:name="_Toc20145"/>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5</w:t>
      </w:r>
      <w:r>
        <w:rPr>
          <w:rStyle w:val="68"/>
          <w:color w:val="auto"/>
          <w:highlight w:val="none"/>
        </w:rPr>
        <w:t xml:space="preserve"> </w:t>
      </w:r>
      <w:r>
        <w:rPr>
          <w:rStyle w:val="79"/>
          <w:color w:val="auto"/>
          <w:highlight w:val="none"/>
        </w:rPr>
        <w:t>暂停工作</w:t>
      </w:r>
      <w:bookmarkEnd w:id="2266"/>
      <w:bookmarkEnd w:id="2267"/>
      <w:r>
        <w:rPr>
          <w:color w:val="auto"/>
          <w:highlight w:val="none"/>
        </w:rPr>
        <w:t>56</w:t>
      </w:r>
      <w:r>
        <w:rPr>
          <w:rStyle w:val="79"/>
          <w:color w:val="auto"/>
          <w:highlight w:val="none"/>
        </w:rPr>
        <w:t>天以上</w:t>
      </w:r>
      <w:bookmarkEnd w:id="2268"/>
      <w:bookmarkEnd w:id="2269"/>
      <w:bookmarkEnd w:id="2270"/>
      <w:bookmarkEnd w:id="2271"/>
      <w:bookmarkEnd w:id="2272"/>
      <w:bookmarkEnd w:id="2273"/>
    </w:p>
    <w:p w14:paraId="33A135B7">
      <w:pPr>
        <w:spacing w:line="360" w:lineRule="auto"/>
        <w:ind w:firstLine="420" w:firstLineChars="200"/>
        <w:rPr>
          <w:color w:val="auto"/>
          <w:szCs w:val="21"/>
          <w:highlight w:val="none"/>
        </w:rPr>
      </w:pPr>
      <w:r>
        <w:rPr>
          <w:color w:val="auto"/>
          <w:highlight w:val="none"/>
        </w:rPr>
        <w:t>12.5.1</w:t>
      </w:r>
      <w:r>
        <w:rPr>
          <w:rFonts w:hAnsi="宋体"/>
          <w:color w:val="auto"/>
          <w:szCs w:val="21"/>
          <w:highlight w:val="none"/>
        </w:rPr>
        <w:t>监理人发出暂停工作指示后</w:t>
      </w:r>
      <w:r>
        <w:rPr>
          <w:color w:val="auto"/>
          <w:szCs w:val="21"/>
          <w:highlight w:val="none"/>
        </w:rPr>
        <w:t xml:space="preserve">56 </w:t>
      </w:r>
      <w:r>
        <w:rPr>
          <w:rFonts w:hAnsi="宋体"/>
          <w:color w:val="auto"/>
          <w:szCs w:val="21"/>
          <w:highlight w:val="none"/>
        </w:rPr>
        <w:t>天内未向承包人发出复工通知的，除该项暂停由于承包人违约造成之外，承包人可向监理人提交书面通知，要求监理人在收到书面通知后</w:t>
      </w:r>
      <w:r>
        <w:rPr>
          <w:color w:val="auto"/>
          <w:szCs w:val="21"/>
          <w:highlight w:val="none"/>
        </w:rPr>
        <w:t>28</w:t>
      </w:r>
      <w:r>
        <w:rPr>
          <w:rFonts w:hAnsi="宋体"/>
          <w:color w:val="auto"/>
          <w:szCs w:val="21"/>
          <w:highlight w:val="none"/>
        </w:rPr>
        <w:t>天内准许已暂停工作的全部或部分继续工作。如监理人逾期不予批准，则承包人可以通知监理人，将工程受影响的部分按第</w:t>
      </w:r>
      <w:r>
        <w:rPr>
          <w:color w:val="auto"/>
          <w:szCs w:val="21"/>
          <w:highlight w:val="none"/>
        </w:rPr>
        <w:t>15</w:t>
      </w:r>
      <w:r>
        <w:rPr>
          <w:rFonts w:hAnsi="宋体"/>
          <w:color w:val="auto"/>
          <w:szCs w:val="21"/>
          <w:highlight w:val="none"/>
        </w:rPr>
        <w:t>条的约定作为可取消工作的变更处理。暂停工作影响到整个工程的，视为发包人违约，应按第</w:t>
      </w:r>
      <w:r>
        <w:rPr>
          <w:color w:val="auto"/>
          <w:highlight w:val="none"/>
        </w:rPr>
        <w:t>12.2.1</w:t>
      </w:r>
      <w:r>
        <w:rPr>
          <w:rFonts w:hAnsi="宋体"/>
          <w:color w:val="auto"/>
          <w:highlight w:val="none"/>
        </w:rPr>
        <w:t>项</w:t>
      </w:r>
      <w:r>
        <w:rPr>
          <w:rFonts w:hAnsi="宋体"/>
          <w:color w:val="auto"/>
          <w:szCs w:val="21"/>
          <w:highlight w:val="none"/>
        </w:rPr>
        <w:t>的约定执行，同时承包人有权解除合同。</w:t>
      </w:r>
    </w:p>
    <w:p w14:paraId="57CDB948">
      <w:pPr>
        <w:spacing w:line="360" w:lineRule="auto"/>
        <w:ind w:firstLine="420" w:firstLineChars="200"/>
        <w:rPr>
          <w:color w:val="auto"/>
          <w:highlight w:val="none"/>
        </w:rPr>
      </w:pPr>
      <w:r>
        <w:rPr>
          <w:color w:val="auto"/>
          <w:highlight w:val="none"/>
        </w:rPr>
        <w:t>12.5.2</w:t>
      </w:r>
      <w:r>
        <w:rPr>
          <w:rFonts w:hAnsi="宋体"/>
          <w:color w:val="auto"/>
          <w:highlight w:val="none"/>
        </w:rPr>
        <w:t>由于</w:t>
      </w:r>
      <w:r>
        <w:rPr>
          <w:rFonts w:hAnsi="宋体"/>
          <w:color w:val="auto"/>
          <w:szCs w:val="21"/>
          <w:highlight w:val="none"/>
        </w:rPr>
        <w:t>承包人原因引起暂停工作的，如承包人在收到监理人暂停工作指示后</w:t>
      </w:r>
      <w:r>
        <w:rPr>
          <w:color w:val="auto"/>
          <w:szCs w:val="21"/>
          <w:highlight w:val="none"/>
        </w:rPr>
        <w:t xml:space="preserve">56 </w:t>
      </w:r>
      <w:r>
        <w:rPr>
          <w:rFonts w:hAnsi="宋体"/>
          <w:color w:val="auto"/>
          <w:szCs w:val="21"/>
          <w:highlight w:val="none"/>
        </w:rPr>
        <w:t>天内不采取有效的复工措施，造成工期延误的，视为承包人违约，应按第</w:t>
      </w:r>
      <w:r>
        <w:rPr>
          <w:color w:val="auto"/>
          <w:highlight w:val="none"/>
        </w:rPr>
        <w:t xml:space="preserve">12.1.2 </w:t>
      </w:r>
      <w:r>
        <w:rPr>
          <w:rFonts w:hAnsi="宋体"/>
          <w:color w:val="auto"/>
          <w:szCs w:val="21"/>
          <w:highlight w:val="none"/>
        </w:rPr>
        <w:t>项的约定执行。</w:t>
      </w:r>
    </w:p>
    <w:p w14:paraId="57B65DA0">
      <w:pPr>
        <w:pStyle w:val="5"/>
        <w:spacing w:before="159"/>
        <w:rPr>
          <w:rFonts w:ascii="Times New Roman" w:hAnsi="Times New Roman" w:eastAsia="宋体"/>
          <w:color w:val="auto"/>
          <w:highlight w:val="none"/>
        </w:rPr>
      </w:pPr>
      <w:bookmarkStart w:id="2274" w:name="_Toc22748"/>
      <w:bookmarkStart w:id="2275" w:name="_Toc1274"/>
      <w:bookmarkStart w:id="2276" w:name="_Toc18605"/>
      <w:bookmarkStart w:id="2277" w:name="_Toc24043_WPSOffice_Level1"/>
      <w:bookmarkStart w:id="2278" w:name="_Toc519085476"/>
      <w:bookmarkStart w:id="2279" w:name="_Toc409"/>
      <w:bookmarkStart w:id="2280" w:name="_Toc300835131"/>
      <w:bookmarkStart w:id="2281" w:name="_Toc32097"/>
      <w:r>
        <w:rPr>
          <w:rFonts w:ascii="Times New Roman" w:hAnsi="Times New Roman" w:eastAsia="宋体"/>
          <w:color w:val="auto"/>
          <w:highlight w:val="none"/>
        </w:rPr>
        <w:t xml:space="preserve">13. </w:t>
      </w:r>
      <w:r>
        <w:rPr>
          <w:rStyle w:val="65"/>
          <w:color w:val="auto"/>
          <w:highlight w:val="none"/>
        </w:rPr>
        <w:t>工程质量</w:t>
      </w:r>
      <w:bookmarkEnd w:id="2274"/>
      <w:bookmarkEnd w:id="2275"/>
      <w:bookmarkEnd w:id="2276"/>
      <w:bookmarkEnd w:id="2277"/>
      <w:bookmarkEnd w:id="2278"/>
      <w:bookmarkEnd w:id="2279"/>
      <w:bookmarkEnd w:id="2280"/>
      <w:bookmarkEnd w:id="2281"/>
    </w:p>
    <w:p w14:paraId="3663E95D">
      <w:pPr>
        <w:pStyle w:val="6"/>
        <w:spacing w:before="159"/>
        <w:rPr>
          <w:color w:val="auto"/>
          <w:highlight w:val="none"/>
        </w:rPr>
      </w:pPr>
      <w:bookmarkStart w:id="2282" w:name="_Toc3115"/>
      <w:bookmarkStart w:id="2283" w:name="_Toc431"/>
      <w:bookmarkStart w:id="2284" w:name="_Toc20413_WPSOffice_Level2"/>
      <w:bookmarkStart w:id="2285" w:name="_Toc300835132"/>
      <w:bookmarkStart w:id="2286" w:name="_Toc8157"/>
      <w:bookmarkStart w:id="2287" w:name="_Toc12820"/>
      <w:bookmarkStart w:id="2288" w:name="_Toc519085477"/>
      <w:bookmarkStart w:id="2289" w:name="_Toc18514"/>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1</w:t>
      </w:r>
      <w:bookmarkEnd w:id="2282"/>
      <w:bookmarkEnd w:id="2283"/>
      <w:r>
        <w:rPr>
          <w:color w:val="auto"/>
          <w:highlight w:val="none"/>
        </w:rPr>
        <w:t xml:space="preserve"> </w:t>
      </w:r>
      <w:r>
        <w:rPr>
          <w:rStyle w:val="79"/>
          <w:color w:val="auto"/>
          <w:highlight w:val="none"/>
        </w:rPr>
        <w:t>工程质量要求</w:t>
      </w:r>
      <w:bookmarkEnd w:id="2284"/>
      <w:bookmarkEnd w:id="2285"/>
      <w:bookmarkEnd w:id="2286"/>
      <w:bookmarkEnd w:id="2287"/>
      <w:bookmarkEnd w:id="2288"/>
      <w:bookmarkEnd w:id="2289"/>
    </w:p>
    <w:p w14:paraId="7DB43DF6">
      <w:pPr>
        <w:spacing w:line="360" w:lineRule="auto"/>
        <w:ind w:firstLine="420" w:firstLineChars="200"/>
        <w:rPr>
          <w:color w:val="auto"/>
          <w:szCs w:val="21"/>
          <w:highlight w:val="none"/>
        </w:rPr>
      </w:pPr>
      <w:r>
        <w:rPr>
          <w:color w:val="auto"/>
          <w:highlight w:val="none"/>
        </w:rPr>
        <w:t xml:space="preserve">13.1.1 </w:t>
      </w:r>
      <w:r>
        <w:rPr>
          <w:rFonts w:hAnsi="宋体"/>
          <w:color w:val="auto"/>
          <w:szCs w:val="21"/>
          <w:highlight w:val="none"/>
        </w:rPr>
        <w:t>工程质量验收按法律规定和合同约定的验收标准执行。</w:t>
      </w:r>
    </w:p>
    <w:p w14:paraId="05019033">
      <w:pPr>
        <w:spacing w:line="360" w:lineRule="auto"/>
        <w:ind w:firstLine="420" w:firstLineChars="200"/>
        <w:rPr>
          <w:color w:val="auto"/>
          <w:szCs w:val="21"/>
          <w:highlight w:val="none"/>
        </w:rPr>
      </w:pPr>
      <w:r>
        <w:rPr>
          <w:color w:val="auto"/>
          <w:highlight w:val="none"/>
        </w:rPr>
        <w:t xml:space="preserve">13.1.2 </w:t>
      </w:r>
      <w:r>
        <w:rPr>
          <w:rFonts w:hAnsi="宋体"/>
          <w:color w:val="auto"/>
          <w:szCs w:val="21"/>
          <w:highlight w:val="none"/>
        </w:rPr>
        <w:t>因承包人原因造成工程质量不符合法律的规定和合同约定的，监理人有权要求承包人返工直至符合合同要求为止，由此造成的费用增加和（或）工期延误由承包人承担。</w:t>
      </w:r>
    </w:p>
    <w:p w14:paraId="4BBD824B">
      <w:pPr>
        <w:spacing w:line="360" w:lineRule="auto"/>
        <w:ind w:firstLine="420" w:firstLineChars="200"/>
        <w:rPr>
          <w:color w:val="auto"/>
          <w:szCs w:val="21"/>
          <w:highlight w:val="none"/>
        </w:rPr>
      </w:pPr>
      <w:r>
        <w:rPr>
          <w:color w:val="auto"/>
          <w:highlight w:val="none"/>
        </w:rPr>
        <w:t>13.1.3</w:t>
      </w:r>
      <w:r>
        <w:rPr>
          <w:color w:val="auto"/>
          <w:szCs w:val="21"/>
          <w:highlight w:val="none"/>
        </w:rPr>
        <w:t xml:space="preserve"> </w:t>
      </w:r>
      <w:r>
        <w:rPr>
          <w:rFonts w:hAnsi="宋体"/>
          <w:color w:val="auto"/>
          <w:szCs w:val="21"/>
          <w:highlight w:val="none"/>
        </w:rPr>
        <w:t>因发包人原因造成工程质量达不到合同约定验收标准的，发包人应承担由于承包人返工造成的费用增加和（或）工期延误，并支付承包人合理利润。</w:t>
      </w:r>
    </w:p>
    <w:p w14:paraId="672A7885">
      <w:pPr>
        <w:pStyle w:val="6"/>
        <w:spacing w:before="159"/>
        <w:rPr>
          <w:color w:val="auto"/>
          <w:highlight w:val="none"/>
        </w:rPr>
      </w:pPr>
      <w:bookmarkStart w:id="2290" w:name="_Toc12864"/>
      <w:bookmarkStart w:id="2291" w:name="_Toc3762"/>
      <w:bookmarkStart w:id="2292" w:name="_Toc28027_WPSOffice_Level2"/>
      <w:bookmarkStart w:id="2293" w:name="_Toc300835133"/>
      <w:bookmarkStart w:id="2294" w:name="_Toc519085478"/>
      <w:bookmarkStart w:id="2295" w:name="_Toc18658"/>
      <w:bookmarkStart w:id="2296" w:name="_Toc9354"/>
      <w:bookmarkStart w:id="2297" w:name="_Toc16146"/>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2</w:t>
      </w:r>
      <w:bookmarkEnd w:id="2290"/>
      <w:bookmarkEnd w:id="2291"/>
      <w:r>
        <w:rPr>
          <w:color w:val="auto"/>
          <w:highlight w:val="none"/>
        </w:rPr>
        <w:t xml:space="preserve"> </w:t>
      </w:r>
      <w:r>
        <w:rPr>
          <w:rStyle w:val="79"/>
          <w:color w:val="auto"/>
          <w:highlight w:val="none"/>
        </w:rPr>
        <w:t>承包人的质量检查</w:t>
      </w:r>
      <w:bookmarkEnd w:id="2292"/>
      <w:bookmarkEnd w:id="2293"/>
      <w:bookmarkEnd w:id="2294"/>
      <w:bookmarkEnd w:id="2295"/>
      <w:bookmarkEnd w:id="2296"/>
      <w:bookmarkEnd w:id="2297"/>
    </w:p>
    <w:p w14:paraId="33B3E94D">
      <w:pPr>
        <w:spacing w:line="360" w:lineRule="auto"/>
        <w:ind w:firstLine="420" w:firstLineChars="200"/>
        <w:rPr>
          <w:color w:val="auto"/>
          <w:szCs w:val="21"/>
          <w:highlight w:val="none"/>
        </w:rPr>
      </w:pPr>
      <w:r>
        <w:rPr>
          <w:rFonts w:hAnsi="宋体"/>
          <w:color w:val="auto"/>
          <w:szCs w:val="21"/>
          <w:highlight w:val="none"/>
        </w:rPr>
        <w:t>承包人应按合同约定对设计、材料、工程设备以及全部工程内容及其施工工艺进行全过程的质量检查和检验，并作详细记录，编制工程质量报表，报送监理人审查。</w:t>
      </w:r>
    </w:p>
    <w:p w14:paraId="125DE8F2">
      <w:pPr>
        <w:pStyle w:val="6"/>
        <w:spacing w:before="159"/>
        <w:rPr>
          <w:color w:val="auto"/>
          <w:highlight w:val="none"/>
        </w:rPr>
      </w:pPr>
      <w:bookmarkStart w:id="2298" w:name="_Toc8282"/>
      <w:bookmarkStart w:id="2299" w:name="_Toc28209"/>
      <w:bookmarkStart w:id="2300" w:name="_Toc519085479"/>
      <w:bookmarkStart w:id="2301" w:name="_Toc21148"/>
      <w:bookmarkStart w:id="2302" w:name="_Toc15442_WPSOffice_Level2"/>
      <w:bookmarkStart w:id="2303" w:name="_Toc300835134"/>
      <w:bookmarkStart w:id="2304" w:name="_Toc6890"/>
      <w:bookmarkStart w:id="2305" w:name="_Toc15223"/>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3</w:t>
      </w:r>
      <w:bookmarkEnd w:id="2298"/>
      <w:bookmarkEnd w:id="2299"/>
      <w:r>
        <w:rPr>
          <w:color w:val="auto"/>
          <w:highlight w:val="none"/>
        </w:rPr>
        <w:t xml:space="preserve"> </w:t>
      </w:r>
      <w:r>
        <w:rPr>
          <w:rStyle w:val="79"/>
          <w:color w:val="auto"/>
          <w:highlight w:val="none"/>
        </w:rPr>
        <w:t>监理人的质量检查</w:t>
      </w:r>
      <w:bookmarkEnd w:id="2300"/>
      <w:bookmarkEnd w:id="2301"/>
      <w:bookmarkEnd w:id="2302"/>
      <w:bookmarkEnd w:id="2303"/>
      <w:bookmarkEnd w:id="2304"/>
      <w:bookmarkEnd w:id="2305"/>
    </w:p>
    <w:p w14:paraId="2F0F454F">
      <w:pPr>
        <w:spacing w:line="360" w:lineRule="auto"/>
        <w:ind w:firstLine="420" w:firstLineChars="200"/>
        <w:rPr>
          <w:color w:val="auto"/>
          <w:szCs w:val="21"/>
          <w:highlight w:val="none"/>
        </w:rPr>
      </w:pPr>
      <w:r>
        <w:rPr>
          <w:rFonts w:hAnsi="宋体"/>
          <w:color w:val="auto"/>
          <w:szCs w:val="21"/>
          <w:highlight w:val="none"/>
        </w:rPr>
        <w:t>监理人有权对全部工程内容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3ABD00D1">
      <w:pPr>
        <w:pStyle w:val="6"/>
        <w:spacing w:before="159"/>
        <w:rPr>
          <w:color w:val="auto"/>
          <w:highlight w:val="none"/>
        </w:rPr>
      </w:pPr>
      <w:bookmarkStart w:id="2306" w:name="_Toc28142"/>
      <w:bookmarkStart w:id="2307" w:name="_Toc19537"/>
      <w:bookmarkStart w:id="2308" w:name="_Toc519085480"/>
      <w:bookmarkStart w:id="2309" w:name="_Toc300835135"/>
      <w:bookmarkStart w:id="2310" w:name="_Toc8216"/>
      <w:bookmarkStart w:id="2311" w:name="_Toc4744_WPSOffice_Level2"/>
      <w:bookmarkStart w:id="2312" w:name="_Toc10234"/>
      <w:bookmarkStart w:id="2313" w:name="_Toc17318"/>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4</w:t>
      </w:r>
      <w:bookmarkEnd w:id="2306"/>
      <w:bookmarkEnd w:id="2307"/>
      <w:r>
        <w:rPr>
          <w:color w:val="auto"/>
          <w:highlight w:val="none"/>
        </w:rPr>
        <w:t xml:space="preserve"> </w:t>
      </w:r>
      <w:r>
        <w:rPr>
          <w:rStyle w:val="79"/>
          <w:color w:val="auto"/>
          <w:highlight w:val="none"/>
        </w:rPr>
        <w:t>工程隐蔽部位覆盖前的检查</w:t>
      </w:r>
      <w:bookmarkEnd w:id="2308"/>
      <w:bookmarkEnd w:id="2309"/>
      <w:bookmarkEnd w:id="2310"/>
      <w:bookmarkEnd w:id="2311"/>
      <w:bookmarkEnd w:id="2312"/>
      <w:bookmarkEnd w:id="2313"/>
    </w:p>
    <w:p w14:paraId="50ED64B1">
      <w:pPr>
        <w:spacing w:line="360" w:lineRule="auto"/>
        <w:ind w:firstLine="420" w:firstLineChars="200"/>
        <w:rPr>
          <w:color w:val="auto"/>
          <w:szCs w:val="21"/>
          <w:highlight w:val="none"/>
        </w:rPr>
      </w:pPr>
      <w:r>
        <w:rPr>
          <w:color w:val="auto"/>
          <w:highlight w:val="none"/>
        </w:rPr>
        <w:t>13.4.1</w:t>
      </w:r>
      <w:r>
        <w:rPr>
          <w:color w:val="auto"/>
          <w:szCs w:val="21"/>
          <w:highlight w:val="none"/>
        </w:rPr>
        <w:t xml:space="preserve"> </w:t>
      </w:r>
      <w:r>
        <w:rPr>
          <w:rFonts w:hAnsi="宋体"/>
          <w:color w:val="auto"/>
          <w:szCs w:val="21"/>
          <w:highlight w:val="none"/>
        </w:rPr>
        <w:t>通知监理人检查</w:t>
      </w:r>
    </w:p>
    <w:p w14:paraId="17DC5371">
      <w:pPr>
        <w:spacing w:line="360" w:lineRule="auto"/>
        <w:ind w:firstLine="420" w:firstLineChars="200"/>
        <w:rPr>
          <w:color w:val="auto"/>
          <w:szCs w:val="21"/>
          <w:highlight w:val="none"/>
        </w:rPr>
      </w:pPr>
      <w:r>
        <w:rPr>
          <w:rFonts w:hAnsi="宋体"/>
          <w:color w:val="auto"/>
          <w:szCs w:val="21"/>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1EE54950">
      <w:pPr>
        <w:spacing w:line="360" w:lineRule="auto"/>
        <w:ind w:firstLine="420" w:firstLineChars="200"/>
        <w:rPr>
          <w:color w:val="auto"/>
          <w:szCs w:val="21"/>
          <w:highlight w:val="none"/>
        </w:rPr>
      </w:pPr>
      <w:r>
        <w:rPr>
          <w:color w:val="auto"/>
          <w:highlight w:val="none"/>
        </w:rPr>
        <w:t>13.4.2</w:t>
      </w:r>
      <w:r>
        <w:rPr>
          <w:color w:val="auto"/>
          <w:szCs w:val="21"/>
          <w:highlight w:val="none"/>
        </w:rPr>
        <w:t xml:space="preserve"> </w:t>
      </w:r>
      <w:r>
        <w:rPr>
          <w:rFonts w:hAnsi="宋体"/>
          <w:color w:val="auto"/>
          <w:szCs w:val="21"/>
          <w:highlight w:val="none"/>
        </w:rPr>
        <w:t>监理人未到场检查</w:t>
      </w:r>
    </w:p>
    <w:p w14:paraId="5592CCDB">
      <w:pPr>
        <w:spacing w:line="360" w:lineRule="auto"/>
        <w:ind w:firstLine="420" w:firstLineChars="200"/>
        <w:rPr>
          <w:color w:val="auto"/>
          <w:szCs w:val="21"/>
          <w:highlight w:val="none"/>
        </w:rPr>
      </w:pPr>
      <w:r>
        <w:rPr>
          <w:rFonts w:hAnsi="宋体"/>
          <w:color w:val="auto"/>
          <w:szCs w:val="21"/>
          <w:highlight w:val="none"/>
        </w:rPr>
        <w:t>监理人未按第</w:t>
      </w:r>
      <w:r>
        <w:rPr>
          <w:color w:val="auto"/>
          <w:highlight w:val="none"/>
        </w:rPr>
        <w:t xml:space="preserve">13.4.l </w:t>
      </w:r>
      <w:r>
        <w:rPr>
          <w:rFonts w:hAnsi="宋体"/>
          <w:color w:val="auto"/>
          <w:szCs w:val="21"/>
          <w:highlight w:val="none"/>
        </w:rPr>
        <w:t>项约定的时间进行检查的，除监理人另有指示外，承包人可自行完成覆盖工作，并作相应记录报送监理人，监理人应签字确认。监理人事后对检查记录有疑问的，可按第</w:t>
      </w:r>
      <w:r>
        <w:rPr>
          <w:color w:val="auto"/>
          <w:highlight w:val="none"/>
        </w:rPr>
        <w:t>13.4.3</w:t>
      </w:r>
      <w:r>
        <w:rPr>
          <w:color w:val="auto"/>
          <w:szCs w:val="21"/>
          <w:highlight w:val="none"/>
        </w:rPr>
        <w:t xml:space="preserve"> </w:t>
      </w:r>
      <w:r>
        <w:rPr>
          <w:rFonts w:hAnsi="宋体"/>
          <w:color w:val="auto"/>
          <w:szCs w:val="21"/>
          <w:highlight w:val="none"/>
        </w:rPr>
        <w:t>项的约定重新检查。</w:t>
      </w:r>
    </w:p>
    <w:p w14:paraId="7A7993F3">
      <w:pPr>
        <w:spacing w:line="360" w:lineRule="auto"/>
        <w:ind w:firstLine="420" w:firstLineChars="200"/>
        <w:rPr>
          <w:color w:val="auto"/>
          <w:szCs w:val="21"/>
          <w:highlight w:val="none"/>
        </w:rPr>
      </w:pPr>
      <w:r>
        <w:rPr>
          <w:color w:val="auto"/>
          <w:highlight w:val="none"/>
        </w:rPr>
        <w:t xml:space="preserve">13.4.3 </w:t>
      </w:r>
      <w:r>
        <w:rPr>
          <w:rFonts w:hAnsi="宋体"/>
          <w:color w:val="auto"/>
          <w:szCs w:val="21"/>
          <w:highlight w:val="none"/>
        </w:rPr>
        <w:t>监理人重新检查</w:t>
      </w:r>
    </w:p>
    <w:p w14:paraId="640143FB">
      <w:pPr>
        <w:spacing w:line="360" w:lineRule="auto"/>
        <w:ind w:firstLine="420" w:firstLineChars="200"/>
        <w:rPr>
          <w:color w:val="auto"/>
          <w:szCs w:val="21"/>
          <w:highlight w:val="none"/>
        </w:rPr>
      </w:pPr>
      <w:r>
        <w:rPr>
          <w:rFonts w:hAnsi="宋体"/>
          <w:color w:val="auto"/>
          <w:szCs w:val="21"/>
          <w:highlight w:val="none"/>
        </w:rPr>
        <w:t>承包人按第</w:t>
      </w:r>
      <w:r>
        <w:rPr>
          <w:color w:val="auto"/>
          <w:highlight w:val="none"/>
        </w:rPr>
        <w:t>13.4.1</w:t>
      </w:r>
      <w:r>
        <w:rPr>
          <w:color w:val="auto"/>
          <w:szCs w:val="21"/>
          <w:highlight w:val="none"/>
        </w:rPr>
        <w:t xml:space="preserve"> </w:t>
      </w:r>
      <w:r>
        <w:rPr>
          <w:rFonts w:hAnsi="宋体"/>
          <w:color w:val="auto"/>
          <w:szCs w:val="21"/>
          <w:highlight w:val="none"/>
        </w:rPr>
        <w:t>项或第</w:t>
      </w:r>
      <w:r>
        <w:rPr>
          <w:color w:val="auto"/>
          <w:highlight w:val="none"/>
        </w:rPr>
        <w:t xml:space="preserve">13.4.2 </w:t>
      </w:r>
      <w:r>
        <w:rPr>
          <w:rFonts w:hAnsi="宋体"/>
          <w:color w:val="auto"/>
          <w:szCs w:val="21"/>
          <w:highlight w:val="none"/>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2A6D0EE8">
      <w:pPr>
        <w:spacing w:line="360" w:lineRule="auto"/>
        <w:ind w:firstLine="420" w:firstLineChars="200"/>
        <w:rPr>
          <w:color w:val="auto"/>
          <w:szCs w:val="21"/>
          <w:highlight w:val="none"/>
        </w:rPr>
      </w:pPr>
      <w:r>
        <w:rPr>
          <w:color w:val="auto"/>
          <w:highlight w:val="none"/>
        </w:rPr>
        <w:t xml:space="preserve">13.4.4 </w:t>
      </w:r>
      <w:r>
        <w:rPr>
          <w:rFonts w:hAnsi="宋体"/>
          <w:color w:val="auto"/>
          <w:szCs w:val="21"/>
          <w:highlight w:val="none"/>
        </w:rPr>
        <w:t>承包人私自覆盖</w:t>
      </w:r>
    </w:p>
    <w:p w14:paraId="3EB76F18">
      <w:pPr>
        <w:spacing w:line="360" w:lineRule="auto"/>
        <w:ind w:firstLine="420" w:firstLineChars="200"/>
        <w:rPr>
          <w:color w:val="auto"/>
          <w:szCs w:val="21"/>
          <w:highlight w:val="none"/>
        </w:rPr>
      </w:pPr>
      <w:r>
        <w:rPr>
          <w:rFonts w:hAnsi="宋体"/>
          <w:color w:val="auto"/>
          <w:szCs w:val="21"/>
          <w:highlight w:val="none"/>
        </w:rPr>
        <w:t>承包人未通知监理人到场检查，私自将工程隐蔽部位覆盖的，监理人有权指示承包人钻孔探测或揭开检查，由此增加的费用和（或）工期延误由承包人承担。</w:t>
      </w:r>
    </w:p>
    <w:p w14:paraId="247A51E1">
      <w:pPr>
        <w:pStyle w:val="6"/>
        <w:spacing w:before="159"/>
        <w:rPr>
          <w:color w:val="auto"/>
          <w:highlight w:val="none"/>
        </w:rPr>
      </w:pPr>
      <w:bookmarkStart w:id="2314" w:name="_Toc21177"/>
      <w:bookmarkStart w:id="2315" w:name="_Toc19337"/>
      <w:bookmarkStart w:id="2316" w:name="_Toc519085481"/>
      <w:bookmarkStart w:id="2317" w:name="_Toc30720"/>
      <w:bookmarkStart w:id="2318" w:name="_Toc29812"/>
      <w:bookmarkStart w:id="2319" w:name="_Toc22246_WPSOffice_Level2"/>
      <w:bookmarkStart w:id="2320" w:name="_Toc22775"/>
      <w:bookmarkStart w:id="2321" w:name="_Toc300835136"/>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5</w:t>
      </w:r>
      <w:bookmarkEnd w:id="2314"/>
      <w:bookmarkEnd w:id="2315"/>
      <w:r>
        <w:rPr>
          <w:color w:val="auto"/>
          <w:highlight w:val="none"/>
        </w:rPr>
        <w:t xml:space="preserve"> </w:t>
      </w:r>
      <w:r>
        <w:rPr>
          <w:rStyle w:val="79"/>
          <w:color w:val="auto"/>
          <w:highlight w:val="none"/>
        </w:rPr>
        <w:t>清除不合格工程</w:t>
      </w:r>
      <w:bookmarkEnd w:id="2316"/>
      <w:bookmarkEnd w:id="2317"/>
      <w:bookmarkEnd w:id="2318"/>
      <w:bookmarkEnd w:id="2319"/>
      <w:bookmarkEnd w:id="2320"/>
      <w:bookmarkEnd w:id="2321"/>
    </w:p>
    <w:p w14:paraId="33B9AA2A">
      <w:pPr>
        <w:spacing w:line="360" w:lineRule="auto"/>
        <w:ind w:firstLine="420" w:firstLineChars="200"/>
        <w:rPr>
          <w:color w:val="auto"/>
          <w:szCs w:val="21"/>
          <w:highlight w:val="none"/>
        </w:rPr>
      </w:pPr>
      <w:r>
        <w:rPr>
          <w:color w:val="auto"/>
          <w:highlight w:val="none"/>
        </w:rPr>
        <w:t>13.5.1</w:t>
      </w:r>
      <w:r>
        <w:rPr>
          <w:color w:val="auto"/>
          <w:szCs w:val="21"/>
          <w:highlight w:val="none"/>
        </w:rPr>
        <w:t xml:space="preserve"> </w:t>
      </w:r>
      <w:r>
        <w:rPr>
          <w:rFonts w:hAnsi="宋体"/>
          <w:color w:val="auto"/>
          <w:szCs w:val="21"/>
          <w:highlight w:val="none"/>
        </w:rPr>
        <w:t>因承包人设计失误，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27DDCB68">
      <w:pPr>
        <w:spacing w:line="360" w:lineRule="auto"/>
        <w:ind w:firstLine="420" w:firstLineChars="200"/>
        <w:rPr>
          <w:color w:val="auto"/>
          <w:szCs w:val="21"/>
          <w:highlight w:val="none"/>
        </w:rPr>
      </w:pPr>
      <w:r>
        <w:rPr>
          <w:color w:val="auto"/>
          <w:highlight w:val="none"/>
        </w:rPr>
        <w:t xml:space="preserve">13.5.2 </w:t>
      </w:r>
      <w:r>
        <w:rPr>
          <w:rFonts w:hAnsi="宋体"/>
          <w:color w:val="auto"/>
          <w:szCs w:val="21"/>
          <w:highlight w:val="none"/>
        </w:rPr>
        <w:t>由于发包人提供的材料或工程设备不合格造成的工程不合格，需要承包人采取措施补救的，发包人应承担由此增加的费用和（或）工期延误，并支付承包人合理利润。</w:t>
      </w:r>
    </w:p>
    <w:p w14:paraId="0533D3C5">
      <w:pPr>
        <w:pStyle w:val="5"/>
        <w:spacing w:before="159"/>
        <w:rPr>
          <w:rFonts w:ascii="Times New Roman" w:hAnsi="Times New Roman" w:eastAsia="宋体"/>
          <w:color w:val="auto"/>
          <w:highlight w:val="none"/>
        </w:rPr>
      </w:pPr>
      <w:bookmarkStart w:id="2322" w:name="_Toc13625"/>
      <w:bookmarkStart w:id="2323" w:name="_Toc300835137"/>
      <w:bookmarkStart w:id="2324" w:name="_Toc519085482"/>
      <w:bookmarkStart w:id="2325" w:name="_Toc18232_WPSOffice_Level1"/>
      <w:bookmarkStart w:id="2326" w:name="_Toc23941"/>
      <w:bookmarkStart w:id="2327" w:name="_Toc24636"/>
      <w:bookmarkStart w:id="2328" w:name="_Toc15416"/>
      <w:bookmarkStart w:id="2329" w:name="_Toc4808"/>
      <w:r>
        <w:rPr>
          <w:rFonts w:ascii="Times New Roman" w:hAnsi="Times New Roman" w:eastAsia="宋体"/>
          <w:color w:val="auto"/>
          <w:highlight w:val="none"/>
        </w:rPr>
        <w:t xml:space="preserve">14. </w:t>
      </w:r>
      <w:r>
        <w:rPr>
          <w:rStyle w:val="65"/>
          <w:color w:val="auto"/>
          <w:highlight w:val="none"/>
        </w:rPr>
        <w:t>试验和检验</w:t>
      </w:r>
      <w:bookmarkEnd w:id="2322"/>
      <w:bookmarkEnd w:id="2323"/>
      <w:bookmarkEnd w:id="2324"/>
      <w:bookmarkEnd w:id="2325"/>
      <w:bookmarkEnd w:id="2326"/>
      <w:bookmarkEnd w:id="2327"/>
      <w:bookmarkEnd w:id="2328"/>
      <w:bookmarkEnd w:id="2329"/>
    </w:p>
    <w:p w14:paraId="3E146390">
      <w:pPr>
        <w:pStyle w:val="6"/>
        <w:spacing w:before="159"/>
        <w:rPr>
          <w:color w:val="auto"/>
          <w:highlight w:val="none"/>
        </w:rPr>
      </w:pPr>
      <w:bookmarkStart w:id="2330" w:name="_Toc30409"/>
      <w:bookmarkStart w:id="2331" w:name="_Toc31049"/>
      <w:bookmarkStart w:id="2332" w:name="_Toc7309"/>
      <w:bookmarkStart w:id="2333" w:name="_Toc22542"/>
      <w:bookmarkStart w:id="2334" w:name="_Toc519085483"/>
      <w:bookmarkStart w:id="2335" w:name="_Toc300835138"/>
      <w:bookmarkStart w:id="2336" w:name="_Toc18100_WPSOffice_Level2"/>
      <w:bookmarkStart w:id="2337" w:name="_Toc9428"/>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1</w:t>
      </w:r>
      <w:bookmarkEnd w:id="2330"/>
      <w:bookmarkEnd w:id="2331"/>
      <w:r>
        <w:rPr>
          <w:color w:val="auto"/>
          <w:highlight w:val="none"/>
        </w:rPr>
        <w:t xml:space="preserve"> </w:t>
      </w:r>
      <w:r>
        <w:rPr>
          <w:rStyle w:val="79"/>
          <w:color w:val="auto"/>
          <w:highlight w:val="none"/>
        </w:rPr>
        <w:t>材料、工程设备和工程的试验和检验</w:t>
      </w:r>
      <w:bookmarkEnd w:id="2332"/>
      <w:bookmarkEnd w:id="2333"/>
      <w:bookmarkEnd w:id="2334"/>
      <w:bookmarkEnd w:id="2335"/>
      <w:bookmarkEnd w:id="2336"/>
      <w:bookmarkEnd w:id="2337"/>
    </w:p>
    <w:p w14:paraId="31A66281">
      <w:pPr>
        <w:spacing w:line="360" w:lineRule="auto"/>
        <w:ind w:firstLine="420" w:firstLineChars="200"/>
        <w:rPr>
          <w:color w:val="auto"/>
          <w:szCs w:val="21"/>
          <w:highlight w:val="none"/>
        </w:rPr>
      </w:pPr>
      <w:r>
        <w:rPr>
          <w:color w:val="auto"/>
          <w:highlight w:val="none"/>
        </w:rPr>
        <w:t>14.1.1</w:t>
      </w:r>
      <w:r>
        <w:rPr>
          <w:color w:val="auto"/>
          <w:szCs w:val="21"/>
          <w:highlight w:val="none"/>
        </w:rPr>
        <w:t xml:space="preserve"> </w:t>
      </w:r>
      <w:r>
        <w:rPr>
          <w:rFonts w:hAnsi="宋体"/>
          <w:color w:val="auto"/>
          <w:szCs w:val="21"/>
          <w:highlight w:val="none"/>
        </w:rPr>
        <w:t>本款适用于竣工试验之前的试验和检验。</w:t>
      </w:r>
    </w:p>
    <w:p w14:paraId="15E99C4F">
      <w:pPr>
        <w:spacing w:line="360" w:lineRule="auto"/>
        <w:ind w:firstLine="420" w:firstLineChars="200"/>
        <w:rPr>
          <w:color w:val="auto"/>
          <w:szCs w:val="21"/>
          <w:highlight w:val="none"/>
        </w:rPr>
      </w:pPr>
      <w:r>
        <w:rPr>
          <w:color w:val="auto"/>
          <w:highlight w:val="none"/>
        </w:rPr>
        <w:t xml:space="preserve">14.1.2 </w:t>
      </w:r>
      <w:r>
        <w:rPr>
          <w:rFonts w:hAnsi="宋体"/>
          <w:color w:val="auto"/>
          <w:szCs w:val="21"/>
          <w:highlight w:val="none"/>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65475CC">
      <w:pPr>
        <w:spacing w:line="360" w:lineRule="auto"/>
        <w:ind w:firstLine="420" w:firstLineChars="200"/>
        <w:rPr>
          <w:color w:val="auto"/>
          <w:szCs w:val="21"/>
          <w:highlight w:val="none"/>
        </w:rPr>
      </w:pPr>
      <w:r>
        <w:rPr>
          <w:color w:val="auto"/>
          <w:highlight w:val="none"/>
        </w:rPr>
        <w:t>14.1.3</w:t>
      </w:r>
      <w:r>
        <w:rPr>
          <w:color w:val="auto"/>
          <w:szCs w:val="21"/>
          <w:highlight w:val="none"/>
        </w:rPr>
        <w:t xml:space="preserve"> </w:t>
      </w:r>
      <w:r>
        <w:rPr>
          <w:rFonts w:hAnsi="宋体"/>
          <w:color w:val="auto"/>
          <w:szCs w:val="21"/>
          <w:highlight w:val="none"/>
        </w:rPr>
        <w:t>监理人未按合同约定派员参加试验和检验的，除监理人另有指示外，承包人可自行试验和检验，并应立即将试验和检验结果报送监理人，监理人应签字确认。</w:t>
      </w:r>
    </w:p>
    <w:p w14:paraId="22C202DB">
      <w:pPr>
        <w:spacing w:line="360" w:lineRule="auto"/>
        <w:ind w:firstLine="420" w:firstLineChars="200"/>
        <w:rPr>
          <w:color w:val="auto"/>
          <w:szCs w:val="21"/>
          <w:highlight w:val="none"/>
        </w:rPr>
      </w:pPr>
      <w:r>
        <w:rPr>
          <w:color w:val="auto"/>
          <w:highlight w:val="none"/>
        </w:rPr>
        <w:t>14.1.4</w:t>
      </w:r>
      <w:r>
        <w:rPr>
          <w:color w:val="auto"/>
          <w:szCs w:val="21"/>
          <w:highlight w:val="none"/>
        </w:rPr>
        <w:t xml:space="preserve"> </w:t>
      </w:r>
      <w:r>
        <w:rPr>
          <w:rFonts w:hAnsi="宋体"/>
          <w:color w:val="auto"/>
          <w:szCs w:val="21"/>
          <w:highlight w:val="none"/>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DE3765C">
      <w:pPr>
        <w:pStyle w:val="6"/>
        <w:spacing w:before="159"/>
        <w:rPr>
          <w:color w:val="auto"/>
          <w:highlight w:val="none"/>
        </w:rPr>
      </w:pPr>
      <w:bookmarkStart w:id="2338" w:name="_Toc26069"/>
      <w:bookmarkStart w:id="2339" w:name="_Toc12348"/>
      <w:bookmarkStart w:id="2340" w:name="_Toc519085484"/>
      <w:bookmarkStart w:id="2341" w:name="_Toc3223"/>
      <w:bookmarkStart w:id="2342" w:name="_Toc20170"/>
      <w:bookmarkStart w:id="2343" w:name="_Toc300835139"/>
      <w:bookmarkStart w:id="2344" w:name="_Toc16408"/>
      <w:bookmarkStart w:id="2345" w:name="_Toc31965_WPSOffice_Level2"/>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2</w:t>
      </w:r>
      <w:bookmarkEnd w:id="2338"/>
      <w:bookmarkEnd w:id="2339"/>
      <w:r>
        <w:rPr>
          <w:color w:val="auto"/>
          <w:highlight w:val="none"/>
        </w:rPr>
        <w:t xml:space="preserve"> </w:t>
      </w:r>
      <w:r>
        <w:rPr>
          <w:rStyle w:val="79"/>
          <w:color w:val="auto"/>
          <w:highlight w:val="none"/>
        </w:rPr>
        <w:t>现场材料试验</w:t>
      </w:r>
      <w:bookmarkEnd w:id="2340"/>
      <w:bookmarkEnd w:id="2341"/>
      <w:bookmarkEnd w:id="2342"/>
      <w:bookmarkEnd w:id="2343"/>
      <w:bookmarkEnd w:id="2344"/>
      <w:bookmarkEnd w:id="2345"/>
    </w:p>
    <w:p w14:paraId="3C364542">
      <w:pPr>
        <w:spacing w:line="360" w:lineRule="auto"/>
        <w:ind w:firstLine="420" w:firstLineChars="200"/>
        <w:rPr>
          <w:color w:val="auto"/>
          <w:szCs w:val="21"/>
          <w:highlight w:val="none"/>
        </w:rPr>
      </w:pPr>
      <w:r>
        <w:rPr>
          <w:color w:val="auto"/>
          <w:szCs w:val="21"/>
          <w:highlight w:val="none"/>
        </w:rPr>
        <w:t xml:space="preserve">14.2.1 </w:t>
      </w:r>
      <w:r>
        <w:rPr>
          <w:rFonts w:hAnsi="宋体"/>
          <w:color w:val="auto"/>
          <w:szCs w:val="21"/>
          <w:highlight w:val="none"/>
        </w:rPr>
        <w:t>承包人根据合同约定或监理人指示进行的现场材料试验，应由承包人提供试验场所、试验人员、试验设备器材以及其他必要的试验条件。</w:t>
      </w:r>
    </w:p>
    <w:p w14:paraId="2AD3D7EA">
      <w:pPr>
        <w:spacing w:line="360" w:lineRule="auto"/>
        <w:ind w:firstLine="420" w:firstLineChars="200"/>
        <w:rPr>
          <w:color w:val="auto"/>
          <w:szCs w:val="21"/>
          <w:highlight w:val="none"/>
        </w:rPr>
      </w:pPr>
      <w:r>
        <w:rPr>
          <w:color w:val="auto"/>
          <w:szCs w:val="21"/>
          <w:highlight w:val="none"/>
        </w:rPr>
        <w:t xml:space="preserve">14.2.2 </w:t>
      </w:r>
      <w:r>
        <w:rPr>
          <w:rFonts w:hAnsi="宋体"/>
          <w:color w:val="auto"/>
          <w:szCs w:val="21"/>
          <w:highlight w:val="none"/>
        </w:rPr>
        <w:t>监理人在必要时可以使用承包人的试验场所、试验设备器材以及其他试验条件，进行以工程质量检查为目的的复核性材料试验，承包人应予以协助。</w:t>
      </w:r>
    </w:p>
    <w:p w14:paraId="306114C3">
      <w:pPr>
        <w:pStyle w:val="6"/>
        <w:spacing w:before="159"/>
        <w:rPr>
          <w:color w:val="auto"/>
          <w:highlight w:val="none"/>
        </w:rPr>
      </w:pPr>
      <w:bookmarkStart w:id="2346" w:name="_Toc28836"/>
      <w:bookmarkStart w:id="2347" w:name="_Toc11890"/>
      <w:bookmarkStart w:id="2348" w:name="_Toc2743_WPSOffice_Level2"/>
      <w:bookmarkStart w:id="2349" w:name="_Toc31422"/>
      <w:bookmarkStart w:id="2350" w:name="_Toc1424"/>
      <w:bookmarkStart w:id="2351" w:name="_Toc300835140"/>
      <w:bookmarkStart w:id="2352" w:name="_Toc519085485"/>
      <w:bookmarkStart w:id="2353" w:name="_Toc27743"/>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3</w:t>
      </w:r>
      <w:bookmarkEnd w:id="2346"/>
      <w:bookmarkEnd w:id="2347"/>
      <w:r>
        <w:rPr>
          <w:color w:val="auto"/>
          <w:highlight w:val="none"/>
        </w:rPr>
        <w:t xml:space="preserve"> </w:t>
      </w:r>
      <w:r>
        <w:rPr>
          <w:rStyle w:val="79"/>
          <w:color w:val="auto"/>
          <w:highlight w:val="none"/>
        </w:rPr>
        <w:t>现场工艺试验</w:t>
      </w:r>
      <w:bookmarkEnd w:id="2348"/>
      <w:bookmarkEnd w:id="2349"/>
      <w:bookmarkEnd w:id="2350"/>
      <w:bookmarkEnd w:id="2351"/>
      <w:bookmarkEnd w:id="2352"/>
      <w:bookmarkEnd w:id="2353"/>
    </w:p>
    <w:p w14:paraId="7C453EF5">
      <w:pPr>
        <w:spacing w:line="360" w:lineRule="auto"/>
        <w:ind w:firstLine="420" w:firstLineChars="200"/>
        <w:rPr>
          <w:color w:val="auto"/>
          <w:szCs w:val="21"/>
          <w:highlight w:val="none"/>
        </w:rPr>
      </w:pPr>
      <w:r>
        <w:rPr>
          <w:rFonts w:hAnsi="宋体"/>
          <w:color w:val="auto"/>
          <w:szCs w:val="21"/>
          <w:highlight w:val="none"/>
        </w:rPr>
        <w:t>承包人应按合同约定或监理人指示进行现场工艺试验。对大型的现场工艺试验，监理人认为必要时，应由承包人根据监理人提出的工艺试验要求，编制工艺试验措施计划，报送监理人批准。</w:t>
      </w:r>
    </w:p>
    <w:p w14:paraId="15BA8B52">
      <w:pPr>
        <w:pStyle w:val="5"/>
        <w:spacing w:before="159"/>
        <w:rPr>
          <w:rFonts w:ascii="Times New Roman" w:hAnsi="Times New Roman" w:eastAsia="宋体"/>
          <w:color w:val="auto"/>
          <w:highlight w:val="none"/>
        </w:rPr>
      </w:pPr>
      <w:bookmarkStart w:id="2354" w:name="_Toc25428"/>
      <w:bookmarkStart w:id="2355" w:name="_Toc15570"/>
      <w:bookmarkStart w:id="2356" w:name="_Toc8387"/>
      <w:bookmarkStart w:id="2357" w:name="_Toc11980"/>
      <w:bookmarkStart w:id="2358" w:name="_Toc300835141"/>
      <w:bookmarkStart w:id="2359" w:name="_Toc519085486"/>
      <w:bookmarkStart w:id="2360" w:name="_Toc9621_WPSOffice_Level1"/>
      <w:bookmarkStart w:id="2361" w:name="_Toc27601"/>
      <w:r>
        <w:rPr>
          <w:rFonts w:ascii="Times New Roman" w:hAnsi="Times New Roman" w:eastAsia="宋体"/>
          <w:color w:val="auto"/>
          <w:highlight w:val="none"/>
        </w:rPr>
        <w:t xml:space="preserve">15. </w:t>
      </w:r>
      <w:r>
        <w:rPr>
          <w:rStyle w:val="65"/>
          <w:color w:val="auto"/>
          <w:highlight w:val="none"/>
        </w:rPr>
        <w:t>变更</w:t>
      </w:r>
      <w:bookmarkEnd w:id="2354"/>
      <w:bookmarkEnd w:id="2355"/>
      <w:bookmarkEnd w:id="2356"/>
      <w:bookmarkEnd w:id="2357"/>
      <w:bookmarkEnd w:id="2358"/>
      <w:bookmarkEnd w:id="2359"/>
      <w:bookmarkEnd w:id="2360"/>
      <w:bookmarkEnd w:id="2361"/>
    </w:p>
    <w:p w14:paraId="71AA481A">
      <w:pPr>
        <w:pStyle w:val="6"/>
        <w:spacing w:before="159"/>
        <w:rPr>
          <w:color w:val="auto"/>
          <w:highlight w:val="none"/>
        </w:rPr>
      </w:pPr>
      <w:bookmarkStart w:id="2362" w:name="_Toc519085487"/>
      <w:bookmarkStart w:id="2363" w:name="_Toc32147"/>
      <w:bookmarkStart w:id="2364" w:name="_Toc18278_WPSOffice_Level2"/>
      <w:bookmarkStart w:id="2365" w:name="_Toc26719"/>
      <w:bookmarkStart w:id="2366" w:name="_Toc377"/>
      <w:bookmarkStart w:id="2367" w:name="_Toc300835142"/>
      <w:r>
        <w:rPr>
          <w:color w:val="auto"/>
          <w:highlight w:val="none"/>
        </w:rPr>
        <w:t>15</w:t>
      </w:r>
      <w:r>
        <w:rPr>
          <w:rStyle w:val="68"/>
          <w:color w:val="auto"/>
          <w:highlight w:val="none"/>
        </w:rPr>
        <w:t>.</w:t>
      </w:r>
      <w:r>
        <w:rPr>
          <w:color w:val="auto"/>
          <w:highlight w:val="none"/>
        </w:rPr>
        <w:t xml:space="preserve">1 </w:t>
      </w:r>
      <w:r>
        <w:rPr>
          <w:rStyle w:val="82"/>
          <w:bCs/>
          <w:color w:val="auto"/>
          <w:highlight w:val="none"/>
        </w:rPr>
        <w:t>变更权</w:t>
      </w:r>
      <w:bookmarkEnd w:id="2362"/>
      <w:bookmarkEnd w:id="2363"/>
      <w:bookmarkEnd w:id="2364"/>
      <w:bookmarkEnd w:id="2365"/>
      <w:bookmarkEnd w:id="2366"/>
      <w:bookmarkEnd w:id="2367"/>
    </w:p>
    <w:p w14:paraId="2D745871">
      <w:pPr>
        <w:spacing w:line="360" w:lineRule="auto"/>
        <w:ind w:firstLine="420" w:firstLineChars="200"/>
        <w:rPr>
          <w:color w:val="auto"/>
          <w:szCs w:val="21"/>
          <w:highlight w:val="none"/>
        </w:rPr>
      </w:pPr>
      <w:r>
        <w:rPr>
          <w:rFonts w:hAnsi="宋体"/>
          <w:color w:val="auto"/>
          <w:szCs w:val="21"/>
          <w:highlight w:val="none"/>
        </w:rPr>
        <w:t>在履行合同过程中，经发包人同意，监理人可按第</w:t>
      </w:r>
      <w:r>
        <w:rPr>
          <w:color w:val="auto"/>
          <w:highlight w:val="none"/>
        </w:rPr>
        <w:t xml:space="preserve">15.3 </w:t>
      </w:r>
      <w:r>
        <w:rPr>
          <w:rFonts w:hAnsi="宋体"/>
          <w:color w:val="auto"/>
          <w:szCs w:val="21"/>
          <w:highlight w:val="none"/>
        </w:rPr>
        <w:t>款约定的变更程序向承包人作出有关发包人要求改变的变更指示，承包人应遵照执行。变更应在相应内容实施前提出，否则发包人应承担承包人损失。没有监理人的变更指示，承包人不得擅自变更。</w:t>
      </w:r>
    </w:p>
    <w:p w14:paraId="13E31BE4">
      <w:pPr>
        <w:pStyle w:val="6"/>
        <w:spacing w:before="159"/>
        <w:rPr>
          <w:color w:val="auto"/>
          <w:highlight w:val="none"/>
        </w:rPr>
      </w:pPr>
      <w:bookmarkStart w:id="2368" w:name="_Toc11280"/>
      <w:bookmarkStart w:id="2369" w:name="_Toc32045"/>
      <w:bookmarkStart w:id="2370" w:name="_Toc519085488"/>
      <w:bookmarkStart w:id="2371" w:name="_Toc15566"/>
      <w:bookmarkStart w:id="2372" w:name="_Toc30014"/>
      <w:bookmarkStart w:id="2373" w:name="_Toc22938"/>
      <w:bookmarkStart w:id="2374" w:name="_Toc2978_WPSOffice_Level2"/>
      <w:bookmarkStart w:id="2375" w:name="_Toc300835143"/>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2</w:t>
      </w:r>
      <w:bookmarkEnd w:id="2368"/>
      <w:bookmarkEnd w:id="2369"/>
      <w:r>
        <w:rPr>
          <w:color w:val="auto"/>
          <w:highlight w:val="none"/>
        </w:rPr>
        <w:t xml:space="preserve"> </w:t>
      </w:r>
      <w:r>
        <w:rPr>
          <w:rStyle w:val="79"/>
          <w:color w:val="auto"/>
          <w:highlight w:val="none"/>
        </w:rPr>
        <w:t>承包人的合理化建议</w:t>
      </w:r>
      <w:bookmarkEnd w:id="2370"/>
      <w:bookmarkEnd w:id="2371"/>
      <w:bookmarkEnd w:id="2372"/>
      <w:bookmarkEnd w:id="2373"/>
      <w:bookmarkEnd w:id="2374"/>
      <w:bookmarkEnd w:id="2375"/>
    </w:p>
    <w:p w14:paraId="25A8C01C">
      <w:pPr>
        <w:spacing w:line="360" w:lineRule="auto"/>
        <w:ind w:firstLine="420" w:firstLineChars="200"/>
        <w:rPr>
          <w:color w:val="auto"/>
          <w:szCs w:val="21"/>
          <w:highlight w:val="none"/>
        </w:rPr>
      </w:pPr>
      <w:r>
        <w:rPr>
          <w:color w:val="auto"/>
          <w:highlight w:val="none"/>
        </w:rPr>
        <w:t>15.2.1</w:t>
      </w:r>
      <w:r>
        <w:rPr>
          <w:color w:val="auto"/>
          <w:szCs w:val="21"/>
          <w:highlight w:val="none"/>
        </w:rPr>
        <w:t xml:space="preserve"> </w:t>
      </w:r>
      <w:r>
        <w:rPr>
          <w:rFonts w:hAnsi="宋体"/>
          <w:color w:val="auto"/>
          <w:szCs w:val="21"/>
          <w:highlight w:val="none"/>
        </w:rPr>
        <w:t>在履行合同过程中，承包人对发包人要求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color w:val="auto"/>
          <w:highlight w:val="none"/>
        </w:rPr>
        <w:t>15.3</w:t>
      </w:r>
      <w:r>
        <w:rPr>
          <w:rFonts w:hAnsi="宋体"/>
          <w:color w:val="auto"/>
          <w:szCs w:val="21"/>
          <w:highlight w:val="none"/>
        </w:rPr>
        <w:t>款约定向承包人发出变更指示。</w:t>
      </w:r>
    </w:p>
    <w:p w14:paraId="340B696C">
      <w:pPr>
        <w:spacing w:line="360" w:lineRule="auto"/>
        <w:ind w:firstLine="420" w:firstLineChars="200"/>
        <w:rPr>
          <w:color w:val="auto"/>
          <w:szCs w:val="21"/>
          <w:highlight w:val="none"/>
        </w:rPr>
      </w:pPr>
      <w:r>
        <w:rPr>
          <w:color w:val="auto"/>
          <w:highlight w:val="none"/>
        </w:rPr>
        <w:t>15.2.2</w:t>
      </w:r>
      <w:r>
        <w:rPr>
          <w:color w:val="auto"/>
          <w:szCs w:val="21"/>
          <w:highlight w:val="none"/>
        </w:rPr>
        <w:t xml:space="preserve"> </w:t>
      </w:r>
      <w:r>
        <w:rPr>
          <w:rFonts w:hAnsi="宋体"/>
          <w:color w:val="auto"/>
          <w:szCs w:val="21"/>
          <w:highlight w:val="none"/>
        </w:rPr>
        <w:t>承包人提出的合理化建议降低了合同价格、缩短了工期或者提高了工程经济效益的，发包人可按国家有关规定在专用合同条款中约定给予奖励。</w:t>
      </w:r>
    </w:p>
    <w:p w14:paraId="362FBAF1">
      <w:pPr>
        <w:pStyle w:val="6"/>
        <w:spacing w:before="159"/>
        <w:rPr>
          <w:color w:val="auto"/>
          <w:highlight w:val="none"/>
        </w:rPr>
      </w:pPr>
      <w:bookmarkStart w:id="2376" w:name="_Toc32608"/>
      <w:bookmarkStart w:id="2377" w:name="_Toc31207"/>
      <w:bookmarkStart w:id="2378" w:name="_Toc21894"/>
      <w:bookmarkStart w:id="2379" w:name="_Toc300835144"/>
      <w:bookmarkStart w:id="2380" w:name="_Toc519085489"/>
      <w:bookmarkStart w:id="2381" w:name="_Toc3279"/>
      <w:bookmarkStart w:id="2382" w:name="_Toc12575"/>
      <w:bookmarkStart w:id="2383" w:name="_Toc32534_WPSOffice_Level2"/>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3</w:t>
      </w:r>
      <w:bookmarkEnd w:id="2376"/>
      <w:bookmarkEnd w:id="2377"/>
      <w:r>
        <w:rPr>
          <w:color w:val="auto"/>
          <w:highlight w:val="none"/>
        </w:rPr>
        <w:t xml:space="preserve"> </w:t>
      </w:r>
      <w:r>
        <w:rPr>
          <w:rStyle w:val="79"/>
          <w:color w:val="auto"/>
          <w:highlight w:val="none"/>
        </w:rPr>
        <w:t>变更程序</w:t>
      </w:r>
      <w:bookmarkEnd w:id="2378"/>
      <w:bookmarkEnd w:id="2379"/>
      <w:bookmarkEnd w:id="2380"/>
      <w:bookmarkEnd w:id="2381"/>
      <w:bookmarkEnd w:id="2382"/>
      <w:bookmarkEnd w:id="2383"/>
    </w:p>
    <w:p w14:paraId="16964148">
      <w:pPr>
        <w:spacing w:line="360" w:lineRule="auto"/>
        <w:ind w:firstLine="420" w:firstLineChars="200"/>
        <w:rPr>
          <w:color w:val="auto"/>
          <w:szCs w:val="21"/>
          <w:highlight w:val="none"/>
        </w:rPr>
      </w:pPr>
      <w:r>
        <w:rPr>
          <w:color w:val="auto"/>
          <w:highlight w:val="none"/>
        </w:rPr>
        <w:t xml:space="preserve">15.3.1 </w:t>
      </w:r>
      <w:r>
        <w:rPr>
          <w:rFonts w:hAnsi="宋体"/>
          <w:color w:val="auto"/>
          <w:szCs w:val="21"/>
          <w:highlight w:val="none"/>
        </w:rPr>
        <w:t>变更的提出</w:t>
      </w:r>
    </w:p>
    <w:p w14:paraId="7FD834D7">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在合同履行过程中，监理人可向承包人发出变更意向书。变更意向书应说明变更的具体内容和发包人对变更的时间要求，并附必要的相关资料。变更意向书应要求承包人提交包括拟实施变更工作的设计和计划、措施和竣工时间等内容的实施方案。发包人同意承包人根据变更意向书要求提交的变更实施方案的，由监理人按第</w:t>
      </w:r>
      <w:r>
        <w:rPr>
          <w:color w:val="auto"/>
          <w:highlight w:val="none"/>
        </w:rPr>
        <w:t xml:space="preserve">15.3.3 </w:t>
      </w:r>
      <w:r>
        <w:rPr>
          <w:rFonts w:hAnsi="宋体"/>
          <w:color w:val="auto"/>
          <w:highlight w:val="none"/>
        </w:rPr>
        <w:t>项约定发出变更指示。</w:t>
      </w:r>
    </w:p>
    <w:p w14:paraId="46921FFF">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收到监理人按合同约定发出的文件，经检查认为其中存在对发包人要求变更情形的，可向监理人提出书面变更建议。变更建议应阐明要求变更的依据，以及实施该变更工作对合同价款和工期的影响，并附必要的图纸和说明。监理人收到承包人书面建议后，应与发包人共同研究，确认存在变更的，应在收到承包人书面建议后的</w:t>
      </w:r>
      <w:r>
        <w:rPr>
          <w:color w:val="auto"/>
          <w:highlight w:val="none"/>
        </w:rPr>
        <w:t xml:space="preserve">14 </w:t>
      </w:r>
      <w:r>
        <w:rPr>
          <w:rFonts w:hAnsi="宋体"/>
          <w:color w:val="auto"/>
          <w:highlight w:val="none"/>
        </w:rPr>
        <w:t>天内作出变更指示。经研究后不同意作为变更的，应由监理人书面答复承包人。</w:t>
      </w:r>
    </w:p>
    <w:p w14:paraId="0E61B4F1">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）承包人</w:t>
      </w:r>
      <w:r>
        <w:rPr>
          <w:rFonts w:hAnsi="宋体"/>
          <w:color w:val="auto"/>
          <w:szCs w:val="21"/>
          <w:highlight w:val="none"/>
        </w:rPr>
        <w:t>收到监理人的变更意向书后认为难以实施此项变更的，应立即通知监理人，说明原因并附详细依据。监理人与承包人和发包人协商后确定撤销、改变或不改变原变更意向书。</w:t>
      </w:r>
    </w:p>
    <w:p w14:paraId="1E27EA3E">
      <w:pPr>
        <w:spacing w:line="360" w:lineRule="auto"/>
        <w:ind w:firstLine="420" w:firstLineChars="200"/>
        <w:rPr>
          <w:color w:val="auto"/>
          <w:szCs w:val="21"/>
          <w:highlight w:val="none"/>
        </w:rPr>
      </w:pPr>
      <w:r>
        <w:rPr>
          <w:color w:val="auto"/>
          <w:highlight w:val="none"/>
        </w:rPr>
        <w:t>15.3.2</w:t>
      </w:r>
      <w:r>
        <w:rPr>
          <w:color w:val="auto"/>
          <w:szCs w:val="21"/>
          <w:highlight w:val="none"/>
        </w:rPr>
        <w:t xml:space="preserve"> </w:t>
      </w:r>
      <w:r>
        <w:rPr>
          <w:rFonts w:hAnsi="宋体"/>
          <w:color w:val="auto"/>
          <w:szCs w:val="21"/>
          <w:highlight w:val="none"/>
        </w:rPr>
        <w:t>变更估价</w:t>
      </w:r>
    </w:p>
    <w:p w14:paraId="331B011E">
      <w:pPr>
        <w:spacing w:line="360" w:lineRule="auto"/>
        <w:ind w:firstLine="420" w:firstLineChars="200"/>
        <w:rPr>
          <w:color w:val="auto"/>
          <w:szCs w:val="21"/>
          <w:highlight w:val="none"/>
        </w:rPr>
      </w:pPr>
      <w:r>
        <w:rPr>
          <w:rFonts w:hAnsi="宋体"/>
          <w:color w:val="auto"/>
          <w:szCs w:val="21"/>
          <w:highlight w:val="none"/>
        </w:rPr>
        <w:t>监理人应按照</w:t>
      </w:r>
      <w:r>
        <w:rPr>
          <w:rFonts w:hAnsi="宋体"/>
          <w:color w:val="auto"/>
          <w:highlight w:val="none"/>
        </w:rPr>
        <w:t>第</w:t>
      </w:r>
      <w:r>
        <w:rPr>
          <w:color w:val="auto"/>
          <w:highlight w:val="none"/>
        </w:rPr>
        <w:t xml:space="preserve">3.5 </w:t>
      </w:r>
      <w:r>
        <w:rPr>
          <w:rFonts w:hAnsi="宋体"/>
          <w:color w:val="auto"/>
          <w:highlight w:val="none"/>
        </w:rPr>
        <w:t>款</w:t>
      </w:r>
      <w:r>
        <w:rPr>
          <w:rFonts w:hAnsi="宋体"/>
          <w:color w:val="auto"/>
          <w:szCs w:val="21"/>
          <w:highlight w:val="none"/>
        </w:rPr>
        <w:t>商定或确定变更价格。变更价格应包括合理的利润，并应考虑承包人根据第</w:t>
      </w:r>
      <w:r>
        <w:rPr>
          <w:color w:val="auto"/>
          <w:highlight w:val="none"/>
        </w:rPr>
        <w:t>15.2</w:t>
      </w:r>
      <w:r>
        <w:rPr>
          <w:rFonts w:hAnsi="宋体"/>
          <w:color w:val="auto"/>
          <w:szCs w:val="21"/>
          <w:highlight w:val="none"/>
        </w:rPr>
        <w:t>款提出的合理化建议。</w:t>
      </w:r>
    </w:p>
    <w:p w14:paraId="795EE00B">
      <w:pPr>
        <w:spacing w:line="360" w:lineRule="auto"/>
        <w:ind w:firstLine="420" w:firstLineChars="200"/>
        <w:rPr>
          <w:color w:val="auto"/>
          <w:szCs w:val="21"/>
          <w:highlight w:val="none"/>
        </w:rPr>
      </w:pPr>
      <w:r>
        <w:rPr>
          <w:color w:val="auto"/>
          <w:highlight w:val="none"/>
        </w:rPr>
        <w:t xml:space="preserve">15.3.3 </w:t>
      </w:r>
      <w:r>
        <w:rPr>
          <w:rFonts w:hAnsi="宋体"/>
          <w:color w:val="auto"/>
          <w:szCs w:val="21"/>
          <w:highlight w:val="none"/>
        </w:rPr>
        <w:t>变更指示</w:t>
      </w:r>
    </w:p>
    <w:p w14:paraId="14CFDFB5">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）变更指示只能由监理人发出。</w:t>
      </w:r>
    </w:p>
    <w:p w14:paraId="05434138">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）变更指示应说明变更的目的、范围、变更内容以及变更的工程量及其进度和技术要求，并附有关图纸和文件</w:t>
      </w:r>
      <w:r>
        <w:rPr>
          <w:rFonts w:hAnsi="宋体"/>
          <w:color w:val="auto"/>
          <w:szCs w:val="21"/>
          <w:highlight w:val="none"/>
        </w:rPr>
        <w:t>。承包人收到变更指示后，应按变更指示进行变更工作。</w:t>
      </w:r>
    </w:p>
    <w:p w14:paraId="5DA56621">
      <w:pPr>
        <w:pStyle w:val="6"/>
        <w:spacing w:before="159"/>
        <w:rPr>
          <w:color w:val="auto"/>
          <w:highlight w:val="none"/>
        </w:rPr>
      </w:pPr>
      <w:bookmarkStart w:id="2384" w:name="_Toc22817"/>
      <w:bookmarkStart w:id="2385" w:name="_Toc15794"/>
      <w:bookmarkStart w:id="2386" w:name="_Toc327"/>
      <w:bookmarkStart w:id="2387" w:name="_Toc23212"/>
      <w:bookmarkStart w:id="2388" w:name="_Toc27828_WPSOffice_Level2"/>
      <w:bookmarkStart w:id="2389" w:name="_Toc519085490"/>
      <w:bookmarkStart w:id="2390" w:name="_Toc17651"/>
      <w:bookmarkStart w:id="2391" w:name="_Toc300835145"/>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4</w:t>
      </w:r>
      <w:bookmarkEnd w:id="2384"/>
      <w:bookmarkEnd w:id="2385"/>
      <w:r>
        <w:rPr>
          <w:color w:val="auto"/>
          <w:highlight w:val="none"/>
        </w:rPr>
        <w:t xml:space="preserve"> </w:t>
      </w:r>
      <w:r>
        <w:rPr>
          <w:rStyle w:val="79"/>
          <w:color w:val="auto"/>
          <w:highlight w:val="none"/>
        </w:rPr>
        <w:t>暂列金额</w:t>
      </w:r>
      <w:bookmarkEnd w:id="2386"/>
      <w:bookmarkEnd w:id="2387"/>
      <w:bookmarkEnd w:id="2388"/>
      <w:bookmarkEnd w:id="2389"/>
      <w:bookmarkEnd w:id="2390"/>
      <w:bookmarkEnd w:id="2391"/>
    </w:p>
    <w:p w14:paraId="2DED2467">
      <w:pPr>
        <w:spacing w:line="360" w:lineRule="auto"/>
        <w:ind w:firstLine="420" w:firstLineChars="200"/>
        <w:rPr>
          <w:color w:val="auto"/>
          <w:szCs w:val="21"/>
          <w:highlight w:val="none"/>
        </w:rPr>
      </w:pPr>
      <w:r>
        <w:rPr>
          <w:rFonts w:hAnsi="宋体"/>
          <w:color w:val="auto"/>
          <w:szCs w:val="21"/>
          <w:highlight w:val="none"/>
        </w:rPr>
        <w:t>经发包人同意，承包人可使用暂列金额，但应按照</w:t>
      </w:r>
      <w:r>
        <w:rPr>
          <w:rFonts w:hAnsi="宋体"/>
          <w:color w:val="auto"/>
          <w:highlight w:val="none"/>
        </w:rPr>
        <w:t>第</w:t>
      </w:r>
      <w:r>
        <w:rPr>
          <w:color w:val="auto"/>
          <w:highlight w:val="none"/>
        </w:rPr>
        <w:t>15.6</w:t>
      </w:r>
      <w:r>
        <w:rPr>
          <w:rFonts w:hAnsi="宋体"/>
          <w:color w:val="auto"/>
          <w:szCs w:val="21"/>
          <w:highlight w:val="none"/>
        </w:rPr>
        <w:t>款规定的程序进行，并对合同价格进行相应调整。</w:t>
      </w:r>
    </w:p>
    <w:p w14:paraId="175D4522">
      <w:pPr>
        <w:pStyle w:val="6"/>
        <w:spacing w:before="159"/>
        <w:rPr>
          <w:rStyle w:val="71"/>
          <w:rFonts w:hAnsi="黑体"/>
          <w:bCs/>
          <w:color w:val="auto"/>
          <w:highlight w:val="none"/>
        </w:rPr>
      </w:pPr>
      <w:bookmarkStart w:id="2392" w:name="_Toc3529"/>
      <w:bookmarkStart w:id="2393" w:name="_Toc519085491"/>
      <w:bookmarkStart w:id="2394" w:name="_Toc29340_WPSOffice_Level2"/>
      <w:bookmarkStart w:id="2395" w:name="_Toc5908"/>
      <w:bookmarkStart w:id="2396" w:name="_Toc7730"/>
      <w:bookmarkStart w:id="2397" w:name="_Toc14863"/>
      <w:bookmarkStart w:id="2398" w:name="_Toc9595"/>
      <w:r>
        <w:rPr>
          <w:rStyle w:val="71"/>
          <w:rFonts w:ascii="Times New Roman" w:hAnsi="Times New Roman"/>
          <w:bCs/>
          <w:color w:val="auto"/>
          <w:highlight w:val="none"/>
        </w:rPr>
        <w:t>15</w:t>
      </w:r>
      <w:r>
        <w:rPr>
          <w:rStyle w:val="71"/>
          <w:rFonts w:hAnsi="黑体"/>
          <w:bCs/>
          <w:color w:val="auto"/>
          <w:highlight w:val="none"/>
        </w:rPr>
        <w:t>.</w:t>
      </w:r>
      <w:r>
        <w:rPr>
          <w:rStyle w:val="71"/>
          <w:rFonts w:ascii="Times New Roman" w:hAnsi="Times New Roman"/>
          <w:bCs/>
          <w:color w:val="auto"/>
          <w:highlight w:val="none"/>
        </w:rPr>
        <w:t>5</w:t>
      </w:r>
      <w:r>
        <w:rPr>
          <w:rStyle w:val="71"/>
          <w:rFonts w:hAnsi="黑体"/>
          <w:bCs/>
          <w:color w:val="auto"/>
          <w:highlight w:val="none"/>
        </w:rPr>
        <w:t xml:space="preserve"> 计日工（A）</w:t>
      </w:r>
      <w:bookmarkEnd w:id="2392"/>
      <w:bookmarkEnd w:id="2393"/>
      <w:bookmarkEnd w:id="2394"/>
      <w:bookmarkEnd w:id="2395"/>
      <w:bookmarkEnd w:id="2396"/>
    </w:p>
    <w:bookmarkEnd w:id="2397"/>
    <w:bookmarkEnd w:id="2398"/>
    <w:p w14:paraId="5DCE9FBF">
      <w:pPr>
        <w:spacing w:line="360" w:lineRule="auto"/>
        <w:ind w:firstLine="420" w:firstLineChars="200"/>
        <w:rPr>
          <w:color w:val="auto"/>
          <w:szCs w:val="21"/>
          <w:highlight w:val="none"/>
        </w:rPr>
      </w:pPr>
      <w:r>
        <w:rPr>
          <w:color w:val="auto"/>
          <w:highlight w:val="none"/>
        </w:rPr>
        <w:t>15.5.1</w:t>
      </w:r>
      <w:r>
        <w:rPr>
          <w:color w:val="auto"/>
          <w:szCs w:val="21"/>
          <w:highlight w:val="none"/>
        </w:rPr>
        <w:t xml:space="preserve"> </w:t>
      </w:r>
      <w:r>
        <w:rPr>
          <w:rFonts w:hAnsi="宋体"/>
          <w:color w:val="auto"/>
          <w:szCs w:val="21"/>
          <w:highlight w:val="none"/>
        </w:rPr>
        <w:t>发包人认为有必要时，由监理人通知承包人以计日工方式实施变更的零星工作。其价款按列入合同中的计日工计价子目及其单价进行计算。</w:t>
      </w:r>
    </w:p>
    <w:p w14:paraId="154F49A8">
      <w:pPr>
        <w:spacing w:line="360" w:lineRule="auto"/>
        <w:ind w:firstLine="420" w:firstLineChars="200"/>
        <w:rPr>
          <w:color w:val="auto"/>
          <w:szCs w:val="21"/>
          <w:highlight w:val="none"/>
        </w:rPr>
      </w:pPr>
      <w:r>
        <w:rPr>
          <w:color w:val="auto"/>
          <w:highlight w:val="none"/>
        </w:rPr>
        <w:t xml:space="preserve">15.5.2 </w:t>
      </w:r>
      <w:r>
        <w:rPr>
          <w:rFonts w:hAnsi="宋体"/>
          <w:color w:val="auto"/>
          <w:szCs w:val="21"/>
          <w:highlight w:val="none"/>
        </w:rPr>
        <w:t>采用计日工计价的任何一项变更工作，应从暂列金额中支付，承包人应在该项变更的实施过程中，每天提交以下报表和有关凭证报送监理人批准：</w:t>
      </w:r>
    </w:p>
    <w:p w14:paraId="1301984A">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）工作名称、内容和数量；</w:t>
      </w:r>
    </w:p>
    <w:p w14:paraId="09A81C07">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）投入该工作所有人员的姓名、专业</w:t>
      </w:r>
      <w:r>
        <w:rPr>
          <w:color w:val="auto"/>
          <w:highlight w:val="none"/>
        </w:rPr>
        <w:t>/</w:t>
      </w:r>
      <w:r>
        <w:rPr>
          <w:rFonts w:hAnsi="宋体"/>
          <w:color w:val="auto"/>
          <w:highlight w:val="none"/>
        </w:rPr>
        <w:t>工种、级别和耗用工时；</w:t>
      </w:r>
    </w:p>
    <w:p w14:paraId="473549B0">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）投入该工作的材料类别和数量；</w:t>
      </w:r>
    </w:p>
    <w:p w14:paraId="41BD0A2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）投入该工作的施工设备型号、台数和耗用台时；</w:t>
      </w:r>
    </w:p>
    <w:p w14:paraId="7350DACF">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）监理人要</w:t>
      </w:r>
      <w:r>
        <w:rPr>
          <w:rFonts w:hAnsi="宋体"/>
          <w:color w:val="auto"/>
          <w:szCs w:val="21"/>
          <w:highlight w:val="none"/>
        </w:rPr>
        <w:t>求提交的其他资料和凭证。</w:t>
      </w:r>
    </w:p>
    <w:p w14:paraId="44ED6998">
      <w:pPr>
        <w:spacing w:line="360" w:lineRule="auto"/>
        <w:ind w:firstLine="420" w:firstLineChars="200"/>
        <w:rPr>
          <w:color w:val="auto"/>
          <w:szCs w:val="21"/>
          <w:highlight w:val="none"/>
        </w:rPr>
      </w:pPr>
      <w:r>
        <w:rPr>
          <w:color w:val="auto"/>
          <w:highlight w:val="none"/>
        </w:rPr>
        <w:t>15.5.3</w:t>
      </w:r>
      <w:r>
        <w:rPr>
          <w:color w:val="auto"/>
          <w:szCs w:val="21"/>
          <w:highlight w:val="none"/>
        </w:rPr>
        <w:t xml:space="preserve"> </w:t>
      </w:r>
      <w:r>
        <w:rPr>
          <w:rFonts w:hAnsi="宋体"/>
          <w:color w:val="auto"/>
          <w:szCs w:val="21"/>
          <w:highlight w:val="none"/>
        </w:rPr>
        <w:t>计日工由承包人汇总后</w:t>
      </w:r>
      <w:r>
        <w:rPr>
          <w:rFonts w:hAnsi="宋体"/>
          <w:color w:val="auto"/>
          <w:highlight w:val="none"/>
        </w:rPr>
        <w:t>，按第</w:t>
      </w:r>
      <w:r>
        <w:rPr>
          <w:color w:val="auto"/>
          <w:highlight w:val="none"/>
        </w:rPr>
        <w:t xml:space="preserve">17.3.3 </w:t>
      </w:r>
      <w:r>
        <w:rPr>
          <w:rFonts w:hAnsi="宋体"/>
          <w:color w:val="auto"/>
          <w:highlight w:val="none"/>
        </w:rPr>
        <w:t>项的</w:t>
      </w:r>
      <w:r>
        <w:rPr>
          <w:rFonts w:hAnsi="宋体"/>
          <w:color w:val="auto"/>
          <w:szCs w:val="21"/>
          <w:highlight w:val="none"/>
        </w:rPr>
        <w:t>约定列入进度付款申请单，由监理人复核并经发包人同意后列入进度付款。</w:t>
      </w:r>
    </w:p>
    <w:p w14:paraId="27A2ACF3">
      <w:pPr>
        <w:pStyle w:val="6"/>
        <w:spacing w:before="159"/>
        <w:rPr>
          <w:rStyle w:val="71"/>
          <w:rFonts w:ascii="Times New Roman" w:hAnsi="Times New Roman"/>
          <w:bCs/>
          <w:color w:val="auto"/>
          <w:highlight w:val="none"/>
        </w:rPr>
      </w:pPr>
      <w:bookmarkStart w:id="2399" w:name="_Toc519085492"/>
      <w:bookmarkStart w:id="2400" w:name="_Toc11763"/>
      <w:bookmarkStart w:id="2401" w:name="_Toc3046"/>
      <w:bookmarkStart w:id="2402" w:name="_Toc22539"/>
      <w:bookmarkStart w:id="2403" w:name="_Toc11518"/>
      <w:bookmarkStart w:id="2404" w:name="_Toc16042"/>
      <w:r>
        <w:rPr>
          <w:rStyle w:val="71"/>
          <w:rFonts w:ascii="Times New Roman" w:hAnsi="Times New Roman"/>
          <w:bCs/>
          <w:color w:val="auto"/>
          <w:highlight w:val="none"/>
        </w:rPr>
        <w:t xml:space="preserve">15.5 </w:t>
      </w:r>
      <w:r>
        <w:rPr>
          <w:rStyle w:val="71"/>
          <w:rFonts w:hAnsi="黑体"/>
          <w:bCs/>
          <w:color w:val="auto"/>
          <w:highlight w:val="none"/>
        </w:rPr>
        <w:t>计日工（B）</w:t>
      </w:r>
      <w:bookmarkEnd w:id="2399"/>
      <w:bookmarkEnd w:id="2400"/>
      <w:bookmarkEnd w:id="2401"/>
      <w:bookmarkEnd w:id="2402"/>
    </w:p>
    <w:bookmarkEnd w:id="2403"/>
    <w:bookmarkEnd w:id="2404"/>
    <w:p w14:paraId="7E42CF8D">
      <w:pPr>
        <w:spacing w:line="360" w:lineRule="auto"/>
        <w:ind w:firstLine="420" w:firstLineChars="200"/>
        <w:rPr>
          <w:color w:val="auto"/>
          <w:szCs w:val="21"/>
          <w:highlight w:val="none"/>
        </w:rPr>
      </w:pPr>
      <w:r>
        <w:rPr>
          <w:rFonts w:hAnsi="宋体"/>
          <w:color w:val="auto"/>
          <w:szCs w:val="21"/>
          <w:highlight w:val="none"/>
        </w:rPr>
        <w:t>签约合同价包括计日工的，按合同约定进行支付。</w:t>
      </w:r>
    </w:p>
    <w:p w14:paraId="6CBC1666">
      <w:pPr>
        <w:pStyle w:val="6"/>
        <w:spacing w:before="159"/>
        <w:rPr>
          <w:rStyle w:val="71"/>
          <w:rFonts w:ascii="Times New Roman" w:hAnsi="Times New Roman"/>
          <w:bCs/>
          <w:color w:val="auto"/>
          <w:highlight w:val="none"/>
        </w:rPr>
      </w:pPr>
      <w:bookmarkStart w:id="2405" w:name="_Toc3698"/>
      <w:bookmarkStart w:id="2406" w:name="_Toc519085493"/>
      <w:bookmarkStart w:id="2407" w:name="_Toc18044"/>
      <w:bookmarkStart w:id="2408" w:name="_Toc12816"/>
      <w:bookmarkStart w:id="2409" w:name="_Toc31931"/>
      <w:bookmarkStart w:id="2410" w:name="_Toc4340"/>
      <w:r>
        <w:rPr>
          <w:rStyle w:val="71"/>
          <w:rFonts w:ascii="Times New Roman" w:hAnsi="Times New Roman"/>
          <w:bCs/>
          <w:color w:val="auto"/>
          <w:highlight w:val="none"/>
        </w:rPr>
        <w:t xml:space="preserve">15.6 </w:t>
      </w:r>
      <w:r>
        <w:rPr>
          <w:rStyle w:val="71"/>
          <w:rFonts w:hAnsi="黑体"/>
          <w:bCs/>
          <w:color w:val="auto"/>
          <w:highlight w:val="none"/>
        </w:rPr>
        <w:t>暂估价（A）</w:t>
      </w:r>
      <w:bookmarkEnd w:id="2405"/>
      <w:bookmarkEnd w:id="2406"/>
      <w:bookmarkEnd w:id="2407"/>
      <w:bookmarkEnd w:id="2408"/>
    </w:p>
    <w:bookmarkEnd w:id="2409"/>
    <w:bookmarkEnd w:id="2410"/>
    <w:p w14:paraId="21188CD7">
      <w:pPr>
        <w:spacing w:line="360" w:lineRule="auto"/>
        <w:ind w:firstLine="420" w:firstLineChars="200"/>
        <w:rPr>
          <w:color w:val="auto"/>
          <w:highlight w:val="none"/>
        </w:rPr>
      </w:pPr>
      <w:r>
        <w:rPr>
          <w:color w:val="auto"/>
          <w:highlight w:val="none"/>
        </w:rPr>
        <w:t xml:space="preserve">15.6.1 </w:t>
      </w:r>
      <w:r>
        <w:rPr>
          <w:rFonts w:hAnsi="宋体"/>
          <w:color w:val="auto"/>
          <w:szCs w:val="21"/>
          <w:highlight w:val="none"/>
        </w:rPr>
        <w:t>发包人在价格清单中给定暂估价的专业服务、材料、工程设备和专业工程属于依法必须招标的范围并达到规定的规模标准的，由发包人和承包人以招标的方式选择供应商或分包人。发包人和承包人的权利义务关系在专用合同条款中约定。中标金额与价格清单中所列的暂估价的金额差以及相应的税金等其他</w:t>
      </w:r>
      <w:r>
        <w:rPr>
          <w:rFonts w:hAnsi="宋体"/>
          <w:color w:val="auto"/>
          <w:highlight w:val="none"/>
        </w:rPr>
        <w:t>费用列入合同价格。</w:t>
      </w:r>
    </w:p>
    <w:p w14:paraId="485251F1">
      <w:pPr>
        <w:spacing w:line="360" w:lineRule="auto"/>
        <w:ind w:firstLine="420" w:firstLineChars="200"/>
        <w:rPr>
          <w:color w:val="auto"/>
          <w:szCs w:val="21"/>
          <w:highlight w:val="none"/>
        </w:rPr>
      </w:pPr>
      <w:r>
        <w:rPr>
          <w:color w:val="auto"/>
          <w:highlight w:val="none"/>
        </w:rPr>
        <w:t>15.6.2</w:t>
      </w:r>
      <w:r>
        <w:rPr>
          <w:color w:val="auto"/>
          <w:szCs w:val="21"/>
          <w:highlight w:val="none"/>
        </w:rPr>
        <w:t xml:space="preserve"> </w:t>
      </w:r>
      <w:r>
        <w:rPr>
          <w:rFonts w:hAnsi="宋体"/>
          <w:color w:val="auto"/>
          <w:szCs w:val="21"/>
          <w:highlight w:val="none"/>
        </w:rPr>
        <w:t>发包人在价格清单中给定暂估价的专业服务、材料和工程设备不属于依法必须招标的范围或未达到规定的规模标准的，应由承</w:t>
      </w:r>
      <w:r>
        <w:rPr>
          <w:rFonts w:hAnsi="宋体"/>
          <w:color w:val="auto"/>
          <w:highlight w:val="none"/>
        </w:rPr>
        <w:t>包人按第</w:t>
      </w:r>
      <w:r>
        <w:rPr>
          <w:color w:val="auto"/>
          <w:highlight w:val="none"/>
        </w:rPr>
        <w:t xml:space="preserve">6.1 </w:t>
      </w:r>
      <w:r>
        <w:rPr>
          <w:rFonts w:hAnsi="宋体"/>
          <w:color w:val="auto"/>
          <w:highlight w:val="none"/>
        </w:rPr>
        <w:t>款的约</w:t>
      </w:r>
      <w:r>
        <w:rPr>
          <w:rFonts w:hAnsi="宋体"/>
          <w:color w:val="auto"/>
          <w:szCs w:val="21"/>
          <w:highlight w:val="none"/>
        </w:rPr>
        <w:t>定提供。经监理人确认的专业服务、材料、工程设备的价格与价格清单中所列的暂估价的金额差以及相应的税金等其他费用列入合同价格。</w:t>
      </w:r>
    </w:p>
    <w:p w14:paraId="789DB122">
      <w:pPr>
        <w:spacing w:line="360" w:lineRule="auto"/>
        <w:ind w:firstLine="420" w:firstLineChars="200"/>
        <w:rPr>
          <w:color w:val="auto"/>
          <w:szCs w:val="21"/>
          <w:highlight w:val="none"/>
        </w:rPr>
      </w:pPr>
      <w:r>
        <w:rPr>
          <w:color w:val="auto"/>
          <w:highlight w:val="none"/>
        </w:rPr>
        <w:t xml:space="preserve">15.6.3 </w:t>
      </w:r>
      <w:r>
        <w:rPr>
          <w:rFonts w:hAnsi="宋体"/>
          <w:color w:val="auto"/>
          <w:szCs w:val="21"/>
          <w:highlight w:val="none"/>
        </w:rPr>
        <w:t>发包人在价格清单中给定暂估价的专业工程不属于依法必须招标的范围或未达到规定的规模标准的，由监理人按照</w:t>
      </w:r>
      <w:r>
        <w:rPr>
          <w:rFonts w:hAnsi="宋体"/>
          <w:color w:val="auto"/>
          <w:highlight w:val="none"/>
        </w:rPr>
        <w:t>第</w:t>
      </w:r>
      <w:r>
        <w:rPr>
          <w:color w:val="auto"/>
          <w:highlight w:val="none"/>
        </w:rPr>
        <w:t>15.3.2</w:t>
      </w:r>
      <w:r>
        <w:rPr>
          <w:rFonts w:hAnsi="宋体"/>
          <w:color w:val="auto"/>
          <w:highlight w:val="none"/>
        </w:rPr>
        <w:t>项进行</w:t>
      </w:r>
      <w:r>
        <w:rPr>
          <w:rFonts w:hAnsi="宋体"/>
          <w:color w:val="auto"/>
          <w:szCs w:val="21"/>
          <w:highlight w:val="none"/>
        </w:rPr>
        <w:t>估价，但专用合同条款另有约定的除外。经估价的专业工程与价格清单中所列的暂估价的金额差以及相应的税金等其他费用列入合同价格。</w:t>
      </w:r>
    </w:p>
    <w:p w14:paraId="64D3A667">
      <w:pPr>
        <w:pStyle w:val="6"/>
        <w:spacing w:before="159"/>
        <w:rPr>
          <w:rStyle w:val="71"/>
          <w:rFonts w:ascii="Times New Roman" w:hAnsi="Times New Roman"/>
          <w:bCs/>
          <w:color w:val="auto"/>
          <w:highlight w:val="none"/>
        </w:rPr>
      </w:pPr>
      <w:bookmarkStart w:id="2411" w:name="_Toc5849"/>
      <w:bookmarkStart w:id="2412" w:name="_Toc11226"/>
      <w:bookmarkStart w:id="2413" w:name="_Toc16524_WPSOffice_Level2"/>
      <w:bookmarkStart w:id="2414" w:name="_Toc31626"/>
      <w:bookmarkStart w:id="2415" w:name="_Toc519085494"/>
      <w:bookmarkStart w:id="2416" w:name="_Toc21045"/>
      <w:bookmarkStart w:id="2417" w:name="_Toc10469"/>
      <w:r>
        <w:rPr>
          <w:rStyle w:val="71"/>
          <w:rFonts w:ascii="Times New Roman" w:hAnsi="Times New Roman"/>
          <w:bCs/>
          <w:color w:val="auto"/>
          <w:highlight w:val="none"/>
        </w:rPr>
        <w:t xml:space="preserve">15.6 </w:t>
      </w:r>
      <w:r>
        <w:rPr>
          <w:rStyle w:val="71"/>
          <w:rFonts w:hAnsi="黑体"/>
          <w:bCs/>
          <w:color w:val="auto"/>
          <w:highlight w:val="none"/>
        </w:rPr>
        <w:t>暂估价（B）</w:t>
      </w:r>
      <w:bookmarkEnd w:id="2411"/>
      <w:bookmarkEnd w:id="2412"/>
      <w:bookmarkEnd w:id="2413"/>
      <w:bookmarkEnd w:id="2414"/>
      <w:bookmarkEnd w:id="2415"/>
    </w:p>
    <w:bookmarkEnd w:id="2416"/>
    <w:bookmarkEnd w:id="2417"/>
    <w:p w14:paraId="176834EC">
      <w:pPr>
        <w:spacing w:line="360" w:lineRule="auto"/>
        <w:ind w:firstLine="420" w:firstLineChars="200"/>
        <w:rPr>
          <w:color w:val="auto"/>
          <w:szCs w:val="21"/>
          <w:highlight w:val="none"/>
        </w:rPr>
      </w:pPr>
      <w:r>
        <w:rPr>
          <w:rFonts w:hAnsi="宋体"/>
          <w:color w:val="auto"/>
          <w:szCs w:val="21"/>
          <w:highlight w:val="none"/>
        </w:rPr>
        <w:t>签约合同价包括暂估价的，按合同约定进行支付。</w:t>
      </w:r>
    </w:p>
    <w:p w14:paraId="30FF3B53">
      <w:pPr>
        <w:pStyle w:val="5"/>
        <w:spacing w:before="159"/>
        <w:rPr>
          <w:rFonts w:ascii="Times New Roman" w:hAnsi="Times New Roman" w:eastAsia="宋体"/>
          <w:color w:val="auto"/>
          <w:highlight w:val="none"/>
        </w:rPr>
      </w:pPr>
      <w:bookmarkStart w:id="2418" w:name="_Toc24101"/>
      <w:bookmarkStart w:id="2419" w:name="_Toc5104_WPSOffice_Level1"/>
      <w:bookmarkStart w:id="2420" w:name="_Toc3191"/>
      <w:bookmarkStart w:id="2421" w:name="_Toc7369"/>
      <w:bookmarkStart w:id="2422" w:name="_Toc300835146"/>
      <w:bookmarkStart w:id="2423" w:name="_Toc30801"/>
      <w:bookmarkStart w:id="2424" w:name="_Toc9863"/>
      <w:bookmarkStart w:id="2425" w:name="_Toc519085495"/>
      <w:r>
        <w:rPr>
          <w:rFonts w:ascii="Times New Roman" w:hAnsi="Times New Roman" w:eastAsia="宋体"/>
          <w:color w:val="auto"/>
          <w:highlight w:val="none"/>
        </w:rPr>
        <w:t xml:space="preserve">16. </w:t>
      </w:r>
      <w:r>
        <w:rPr>
          <w:rStyle w:val="65"/>
          <w:color w:val="auto"/>
          <w:highlight w:val="none"/>
        </w:rPr>
        <w:t>价格调整</w:t>
      </w:r>
      <w:bookmarkEnd w:id="2418"/>
      <w:bookmarkEnd w:id="2419"/>
      <w:bookmarkEnd w:id="2420"/>
      <w:bookmarkEnd w:id="2421"/>
      <w:bookmarkEnd w:id="2422"/>
      <w:bookmarkEnd w:id="2423"/>
      <w:bookmarkEnd w:id="2424"/>
      <w:bookmarkEnd w:id="2425"/>
    </w:p>
    <w:p w14:paraId="763A30DC">
      <w:pPr>
        <w:pStyle w:val="6"/>
        <w:spacing w:before="159"/>
        <w:rPr>
          <w:color w:val="auto"/>
          <w:highlight w:val="none"/>
        </w:rPr>
      </w:pPr>
      <w:bookmarkStart w:id="2426" w:name="_Toc11770"/>
      <w:bookmarkStart w:id="2427" w:name="_Toc21423"/>
      <w:bookmarkStart w:id="2428" w:name="_Toc15071"/>
      <w:bookmarkStart w:id="2429" w:name="_Toc24693"/>
      <w:bookmarkStart w:id="2430" w:name="_Toc4117"/>
      <w:bookmarkStart w:id="2431" w:name="_Toc3481_WPSOffice_Level2"/>
      <w:bookmarkStart w:id="2432" w:name="_Toc300835147"/>
      <w:bookmarkStart w:id="2433" w:name="_Toc519085496"/>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1</w:t>
      </w:r>
      <w:bookmarkEnd w:id="2426"/>
      <w:bookmarkEnd w:id="2427"/>
      <w:r>
        <w:rPr>
          <w:color w:val="auto"/>
          <w:highlight w:val="none"/>
        </w:rPr>
        <w:t xml:space="preserve"> </w:t>
      </w:r>
      <w:r>
        <w:rPr>
          <w:rStyle w:val="79"/>
          <w:color w:val="auto"/>
          <w:highlight w:val="none"/>
        </w:rPr>
        <w:t>物价波动引起的调整（Ａ）</w:t>
      </w:r>
      <w:bookmarkEnd w:id="2428"/>
      <w:bookmarkEnd w:id="2429"/>
      <w:bookmarkEnd w:id="2430"/>
      <w:bookmarkEnd w:id="2431"/>
      <w:bookmarkEnd w:id="2432"/>
      <w:bookmarkEnd w:id="2433"/>
    </w:p>
    <w:p w14:paraId="4D807EB1">
      <w:pPr>
        <w:spacing w:line="360" w:lineRule="auto"/>
        <w:ind w:firstLine="420" w:firstLineChars="200"/>
        <w:rPr>
          <w:color w:val="auto"/>
          <w:szCs w:val="21"/>
          <w:highlight w:val="none"/>
        </w:rPr>
      </w:pPr>
      <w:r>
        <w:rPr>
          <w:rFonts w:hAnsi="宋体"/>
          <w:color w:val="auto"/>
          <w:szCs w:val="21"/>
          <w:highlight w:val="none"/>
        </w:rPr>
        <w:t>除专用合同条款另有约定外，因物价波动引起的价格调整按照本款约定处理。</w:t>
      </w:r>
    </w:p>
    <w:p w14:paraId="555CBBEC">
      <w:pPr>
        <w:spacing w:line="360" w:lineRule="auto"/>
        <w:ind w:firstLine="420" w:firstLineChars="200"/>
        <w:rPr>
          <w:color w:val="auto"/>
          <w:szCs w:val="21"/>
          <w:highlight w:val="none"/>
        </w:rPr>
      </w:pPr>
      <w:r>
        <w:rPr>
          <w:color w:val="auto"/>
          <w:highlight w:val="none"/>
        </w:rPr>
        <w:t>16.1.1</w:t>
      </w:r>
      <w:r>
        <w:rPr>
          <w:color w:val="auto"/>
          <w:szCs w:val="21"/>
          <w:highlight w:val="none"/>
        </w:rPr>
        <w:t xml:space="preserve"> </w:t>
      </w:r>
      <w:r>
        <w:rPr>
          <w:rFonts w:hAnsi="宋体"/>
          <w:color w:val="auto"/>
          <w:szCs w:val="21"/>
          <w:highlight w:val="none"/>
        </w:rPr>
        <w:t>采用价格指数调整价格差额（适用于投标函附录约定了价格指数和权重的）</w:t>
      </w:r>
    </w:p>
    <w:p w14:paraId="1DAE7769">
      <w:pPr>
        <w:spacing w:line="360" w:lineRule="auto"/>
        <w:ind w:firstLine="420" w:firstLineChars="200"/>
        <w:rPr>
          <w:color w:val="auto"/>
          <w:szCs w:val="21"/>
          <w:highlight w:val="none"/>
        </w:rPr>
      </w:pPr>
      <w:r>
        <w:rPr>
          <w:color w:val="auto"/>
          <w:highlight w:val="none"/>
        </w:rPr>
        <w:t>16.1.1.1</w:t>
      </w:r>
      <w:r>
        <w:rPr>
          <w:color w:val="auto"/>
          <w:szCs w:val="21"/>
          <w:highlight w:val="none"/>
        </w:rPr>
        <w:t xml:space="preserve"> </w:t>
      </w:r>
      <w:r>
        <w:rPr>
          <w:rFonts w:hAnsi="宋体"/>
          <w:color w:val="auto"/>
          <w:szCs w:val="21"/>
          <w:highlight w:val="none"/>
        </w:rPr>
        <w:t>价格调整公式</w:t>
      </w:r>
    </w:p>
    <w:p w14:paraId="1558E33D">
      <w:pPr>
        <w:spacing w:line="360" w:lineRule="auto"/>
        <w:ind w:firstLine="420" w:firstLineChars="200"/>
        <w:rPr>
          <w:color w:val="auto"/>
          <w:szCs w:val="21"/>
          <w:highlight w:val="none"/>
        </w:rPr>
      </w:pPr>
      <w:r>
        <w:rPr>
          <w:rFonts w:hAnsi="宋体"/>
          <w:color w:val="auto"/>
          <w:szCs w:val="21"/>
          <w:highlight w:val="none"/>
        </w:rPr>
        <w:t>因人工、材料和设备等价格波动影响合同价格时，根据投标函附录中的价格指数和权重表约定的数据，按以下公式计算差额并调整合同价格。</w:t>
      </w:r>
    </w:p>
    <w:p w14:paraId="306FB077">
      <w:pPr>
        <w:spacing w:line="360" w:lineRule="auto"/>
        <w:ind w:firstLine="2205" w:firstLineChars="1050"/>
        <w:rPr>
          <w:color w:val="auto"/>
          <w:szCs w:val="21"/>
          <w:highlight w:val="none"/>
        </w:rPr>
      </w:pPr>
      <w:r>
        <w:rPr>
          <w:color w:val="auto"/>
          <w:szCs w:val="21"/>
          <w:highlight w:val="none"/>
        </w:rPr>
        <w:t>F</w:t>
      </w:r>
      <w:r>
        <w:rPr>
          <w:color w:val="auto"/>
          <w:sz w:val="28"/>
          <w:szCs w:val="28"/>
          <w:highlight w:val="none"/>
          <w:vertAlign w:val="subscript"/>
        </w:rPr>
        <w:t>t1</w:t>
      </w:r>
      <w:r>
        <w:rPr>
          <w:color w:val="auto"/>
          <w:szCs w:val="21"/>
          <w:highlight w:val="none"/>
          <w:vertAlign w:val="subscript"/>
        </w:rPr>
        <w:t xml:space="preserve">        </w:t>
      </w:r>
      <w:r>
        <w:rPr>
          <w:color w:val="auto"/>
          <w:szCs w:val="21"/>
          <w:highlight w:val="none"/>
        </w:rPr>
        <w:t xml:space="preserve"> F</w:t>
      </w:r>
      <w:r>
        <w:rPr>
          <w:color w:val="auto"/>
          <w:sz w:val="28"/>
          <w:szCs w:val="28"/>
          <w:highlight w:val="none"/>
          <w:vertAlign w:val="subscript"/>
        </w:rPr>
        <w:t>t2</w:t>
      </w:r>
      <w:r>
        <w:rPr>
          <w:color w:val="auto"/>
          <w:szCs w:val="21"/>
          <w:highlight w:val="none"/>
          <w:vertAlign w:val="subscript"/>
        </w:rPr>
        <w:t xml:space="preserve">         </w:t>
      </w:r>
      <w:r>
        <w:rPr>
          <w:color w:val="auto"/>
          <w:szCs w:val="21"/>
          <w:highlight w:val="none"/>
        </w:rPr>
        <w:t>F</w:t>
      </w:r>
      <w:r>
        <w:rPr>
          <w:color w:val="auto"/>
          <w:sz w:val="28"/>
          <w:szCs w:val="28"/>
          <w:highlight w:val="none"/>
          <w:vertAlign w:val="subscript"/>
        </w:rPr>
        <w:t>t3</w:t>
      </w:r>
      <w:r>
        <w:rPr>
          <w:color w:val="auto"/>
          <w:szCs w:val="21"/>
          <w:highlight w:val="none"/>
          <w:vertAlign w:val="subscript"/>
        </w:rPr>
        <w:t xml:space="preserve">                 </w:t>
      </w:r>
      <w:r>
        <w:rPr>
          <w:color w:val="auto"/>
          <w:szCs w:val="21"/>
          <w:highlight w:val="none"/>
        </w:rPr>
        <w:t>F</w:t>
      </w:r>
      <w:r>
        <w:rPr>
          <w:color w:val="auto"/>
          <w:sz w:val="28"/>
          <w:szCs w:val="28"/>
          <w:highlight w:val="none"/>
          <w:vertAlign w:val="subscript"/>
        </w:rPr>
        <w:t>tn</w:t>
      </w:r>
    </w:p>
    <w:p w14:paraId="0687C8AD">
      <w:pPr>
        <w:spacing w:line="360" w:lineRule="auto"/>
        <w:ind w:left="420" w:leftChars="200" w:firstLine="105" w:firstLineChars="50"/>
        <w:rPr>
          <w:color w:val="auto"/>
          <w:szCs w:val="21"/>
          <w:highlight w:val="none"/>
        </w:rPr>
      </w:pPr>
      <w:r>
        <w:rPr>
          <w:rFonts w:hAnsi="宋体"/>
          <w:color w:val="auto"/>
          <w:szCs w:val="21"/>
          <w:highlight w:val="none"/>
        </w:rPr>
        <w:t>△</w:t>
      </w:r>
      <w:r>
        <w:rPr>
          <w:color w:val="auto"/>
          <w:szCs w:val="21"/>
          <w:highlight w:val="none"/>
        </w:rPr>
        <w:t>P=P</w:t>
      </w:r>
      <w:r>
        <w:rPr>
          <w:color w:val="auto"/>
          <w:szCs w:val="21"/>
          <w:highlight w:val="none"/>
          <w:vertAlign w:val="subscript"/>
        </w:rPr>
        <w:t>O</w:t>
      </w:r>
      <w:r>
        <w:rPr>
          <w:rFonts w:hAnsi="宋体"/>
          <w:color w:val="auto"/>
          <w:szCs w:val="21"/>
          <w:highlight w:val="none"/>
        </w:rPr>
        <w:t>［</w:t>
      </w:r>
      <w:r>
        <w:rPr>
          <w:color w:val="auto"/>
          <w:szCs w:val="21"/>
          <w:highlight w:val="none"/>
        </w:rPr>
        <w:t>A+</w:t>
      </w:r>
      <w:r>
        <w:rPr>
          <w:rFonts w:hAnsi="宋体"/>
          <w:color w:val="auto"/>
          <w:szCs w:val="21"/>
          <w:highlight w:val="none"/>
        </w:rPr>
        <w:t>｛</w:t>
      </w:r>
      <w:r>
        <w:rPr>
          <w:color w:val="auto"/>
          <w:szCs w:val="21"/>
          <w:highlight w:val="none"/>
        </w:rPr>
        <w:t>B</w:t>
      </w:r>
      <w:r>
        <w:rPr>
          <w:color w:val="auto"/>
          <w:szCs w:val="21"/>
          <w:highlight w:val="none"/>
          <w:vertAlign w:val="subscript"/>
        </w:rPr>
        <w:t>1</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2</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3</w:t>
      </w:r>
      <w:r>
        <w:rPr>
          <w:color w:val="auto"/>
          <w:szCs w:val="21"/>
          <w:highlight w:val="none"/>
        </w:rPr>
        <w:t>×—</w:t>
      </w:r>
      <w:r>
        <w:rPr>
          <w:rFonts w:hAnsi="宋体"/>
          <w:color w:val="auto"/>
          <w:szCs w:val="21"/>
          <w:highlight w:val="none"/>
        </w:rPr>
        <w:t>＋</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n</w:t>
      </w:r>
      <w:r>
        <w:rPr>
          <w:color w:val="auto"/>
          <w:szCs w:val="21"/>
          <w:highlight w:val="none"/>
        </w:rPr>
        <w:t>×—</w:t>
      </w:r>
      <w:r>
        <w:rPr>
          <w:rFonts w:hAnsi="宋体"/>
          <w:color w:val="auto"/>
          <w:szCs w:val="21"/>
          <w:highlight w:val="none"/>
        </w:rPr>
        <w:t>｝－</w:t>
      </w:r>
      <w:r>
        <w:rPr>
          <w:color w:val="auto"/>
          <w:szCs w:val="21"/>
          <w:highlight w:val="none"/>
        </w:rPr>
        <w:t>1</w:t>
      </w:r>
      <w:r>
        <w:rPr>
          <w:rFonts w:hAnsi="宋体"/>
          <w:color w:val="auto"/>
          <w:szCs w:val="21"/>
          <w:highlight w:val="none"/>
        </w:rPr>
        <w:t>］</w:t>
      </w:r>
      <w:r>
        <w:rPr>
          <w:color w:val="auto"/>
          <w:szCs w:val="21"/>
          <w:highlight w:val="none"/>
        </w:rPr>
        <w:t xml:space="preserve"> </w:t>
      </w:r>
    </w:p>
    <w:p w14:paraId="51F3D4AE">
      <w:pPr>
        <w:spacing w:line="360" w:lineRule="auto"/>
        <w:ind w:left="420" w:leftChars="200" w:firstLine="1785" w:firstLineChars="850"/>
        <w:rPr>
          <w:color w:val="auto"/>
          <w:szCs w:val="21"/>
          <w:highlight w:val="none"/>
        </w:rPr>
      </w:pPr>
      <w:r>
        <w:rPr>
          <w:color w:val="auto"/>
          <w:szCs w:val="21"/>
          <w:highlight w:val="none"/>
        </w:rPr>
        <w:t>F</w:t>
      </w:r>
      <w:r>
        <w:rPr>
          <w:color w:val="auto"/>
          <w:sz w:val="28"/>
          <w:szCs w:val="28"/>
          <w:highlight w:val="none"/>
          <w:vertAlign w:val="subscript"/>
        </w:rPr>
        <w:t xml:space="preserve">01        </w:t>
      </w:r>
      <w:r>
        <w:rPr>
          <w:color w:val="auto"/>
          <w:szCs w:val="21"/>
          <w:highlight w:val="none"/>
        </w:rPr>
        <w:t>F</w:t>
      </w:r>
      <w:r>
        <w:rPr>
          <w:color w:val="auto"/>
          <w:sz w:val="28"/>
          <w:szCs w:val="28"/>
          <w:highlight w:val="none"/>
          <w:vertAlign w:val="subscript"/>
        </w:rPr>
        <w:t xml:space="preserve">02       </w:t>
      </w:r>
      <w:r>
        <w:rPr>
          <w:color w:val="auto"/>
          <w:szCs w:val="21"/>
          <w:highlight w:val="none"/>
        </w:rPr>
        <w:t>F</w:t>
      </w:r>
      <w:r>
        <w:rPr>
          <w:color w:val="auto"/>
          <w:sz w:val="28"/>
          <w:szCs w:val="28"/>
          <w:highlight w:val="none"/>
          <w:vertAlign w:val="subscript"/>
        </w:rPr>
        <w:t xml:space="preserve">03              </w:t>
      </w:r>
      <w:r>
        <w:rPr>
          <w:color w:val="auto"/>
          <w:szCs w:val="21"/>
          <w:highlight w:val="none"/>
        </w:rPr>
        <w:t>F</w:t>
      </w:r>
      <w:r>
        <w:rPr>
          <w:color w:val="auto"/>
          <w:sz w:val="28"/>
          <w:szCs w:val="28"/>
          <w:highlight w:val="none"/>
          <w:vertAlign w:val="subscript"/>
        </w:rPr>
        <w:t>04</w:t>
      </w:r>
    </w:p>
    <w:p w14:paraId="57570A01">
      <w:pPr>
        <w:spacing w:line="360" w:lineRule="auto"/>
        <w:ind w:firstLine="420" w:firstLineChars="200"/>
        <w:rPr>
          <w:color w:val="auto"/>
          <w:szCs w:val="21"/>
          <w:highlight w:val="none"/>
        </w:rPr>
      </w:pPr>
      <w:r>
        <w:rPr>
          <w:rFonts w:hAnsi="宋体"/>
          <w:color w:val="auto"/>
          <w:szCs w:val="21"/>
          <w:highlight w:val="none"/>
        </w:rPr>
        <w:t>式中：△</w:t>
      </w:r>
      <w:r>
        <w:rPr>
          <w:color w:val="auto"/>
          <w:szCs w:val="21"/>
          <w:highlight w:val="none"/>
        </w:rPr>
        <w:t>P---</w:t>
      </w:r>
      <w:r>
        <w:rPr>
          <w:rFonts w:hAnsi="宋体"/>
          <w:color w:val="auto"/>
          <w:szCs w:val="21"/>
          <w:highlight w:val="none"/>
        </w:rPr>
        <w:t>需调整的价格差额；</w:t>
      </w:r>
    </w:p>
    <w:p w14:paraId="72258683">
      <w:pPr>
        <w:spacing w:line="360" w:lineRule="auto"/>
        <w:ind w:firstLine="420" w:firstLineChars="200"/>
        <w:rPr>
          <w:color w:val="auto"/>
          <w:szCs w:val="21"/>
          <w:highlight w:val="none"/>
        </w:rPr>
      </w:pPr>
      <w:r>
        <w:rPr>
          <w:color w:val="auto"/>
          <w:szCs w:val="21"/>
          <w:highlight w:val="none"/>
        </w:rPr>
        <w:t>P</w:t>
      </w:r>
      <w:r>
        <w:rPr>
          <w:color w:val="auto"/>
          <w:szCs w:val="21"/>
          <w:highlight w:val="none"/>
          <w:vertAlign w:val="subscript"/>
        </w:rPr>
        <w:t>O</w:t>
      </w:r>
      <w:r>
        <w:rPr>
          <w:color w:val="auto"/>
          <w:szCs w:val="21"/>
          <w:highlight w:val="none"/>
        </w:rPr>
        <w:t>---</w:t>
      </w:r>
      <w:r>
        <w:rPr>
          <w:rFonts w:hAnsi="宋体"/>
          <w:color w:val="auto"/>
          <w:szCs w:val="21"/>
          <w:highlight w:val="none"/>
        </w:rPr>
        <w:t>第</w:t>
      </w:r>
      <w:r>
        <w:rPr>
          <w:color w:val="auto"/>
          <w:highlight w:val="none"/>
        </w:rPr>
        <w:t xml:space="preserve">17.3.4 </w:t>
      </w:r>
      <w:r>
        <w:rPr>
          <w:rFonts w:hAnsi="宋体"/>
          <w:color w:val="auto"/>
          <w:szCs w:val="21"/>
          <w:highlight w:val="none"/>
        </w:rPr>
        <w:t>项、第</w:t>
      </w:r>
      <w:r>
        <w:rPr>
          <w:color w:val="auto"/>
          <w:highlight w:val="none"/>
        </w:rPr>
        <w:t xml:space="preserve">17.5.2 </w:t>
      </w:r>
      <w:r>
        <w:rPr>
          <w:rFonts w:hAnsi="宋体"/>
          <w:color w:val="auto"/>
          <w:szCs w:val="21"/>
          <w:highlight w:val="none"/>
        </w:rPr>
        <w:t>项和第</w:t>
      </w:r>
      <w:r>
        <w:rPr>
          <w:color w:val="auto"/>
          <w:highlight w:val="none"/>
        </w:rPr>
        <w:t xml:space="preserve">17.6.2 </w:t>
      </w:r>
      <w:r>
        <w:rPr>
          <w:rFonts w:hAnsi="宋体"/>
          <w:color w:val="auto"/>
          <w:szCs w:val="21"/>
          <w:highlight w:val="none"/>
        </w:rPr>
        <w:t>项约定的付款证书中承包人应得到的已完成工作量的金额。此项金额应不包括价格调整、不计质量保证金的扣留和支付、预付款的支付和扣回。第</w:t>
      </w:r>
      <w:r>
        <w:rPr>
          <w:color w:val="auto"/>
          <w:highlight w:val="none"/>
        </w:rPr>
        <w:t>15</w:t>
      </w:r>
      <w:r>
        <w:rPr>
          <w:rFonts w:hAnsi="宋体"/>
          <w:color w:val="auto"/>
          <w:szCs w:val="21"/>
          <w:highlight w:val="none"/>
        </w:rPr>
        <w:t>条约定的变更及其他金额已按当期价格计价的，也不计在内；</w:t>
      </w:r>
    </w:p>
    <w:p w14:paraId="2D1A8B79">
      <w:pPr>
        <w:spacing w:line="360" w:lineRule="auto"/>
        <w:ind w:firstLine="420" w:firstLineChars="200"/>
        <w:rPr>
          <w:color w:val="auto"/>
          <w:highlight w:val="none"/>
        </w:rPr>
      </w:pPr>
      <w:r>
        <w:rPr>
          <w:color w:val="auto"/>
          <w:szCs w:val="21"/>
          <w:highlight w:val="none"/>
        </w:rPr>
        <w:t>A ---</w:t>
      </w:r>
      <w:r>
        <w:rPr>
          <w:rFonts w:hAnsi="宋体"/>
          <w:color w:val="auto"/>
          <w:highlight w:val="none"/>
        </w:rPr>
        <w:t>定值权重（即不调部分的权重）；</w:t>
      </w:r>
      <w:r>
        <w:rPr>
          <w:color w:val="auto"/>
          <w:highlight w:val="none"/>
        </w:rPr>
        <w:t xml:space="preserve"> </w:t>
      </w:r>
    </w:p>
    <w:p w14:paraId="7F001025">
      <w:pPr>
        <w:spacing w:line="360" w:lineRule="auto"/>
        <w:ind w:firstLine="420" w:firstLineChars="200"/>
        <w:rPr>
          <w:color w:val="auto"/>
          <w:szCs w:val="21"/>
          <w:highlight w:val="none"/>
        </w:rPr>
      </w:pPr>
      <w:r>
        <w:rPr>
          <w:color w:val="auto"/>
          <w:szCs w:val="21"/>
          <w:highlight w:val="none"/>
        </w:rPr>
        <w:t>B</w:t>
      </w:r>
      <w:r>
        <w:rPr>
          <w:color w:val="auto"/>
          <w:sz w:val="28"/>
          <w:szCs w:val="28"/>
          <w:highlight w:val="none"/>
          <w:vertAlign w:val="subscript"/>
        </w:rPr>
        <w:t>1</w:t>
      </w:r>
      <w:r>
        <w:rPr>
          <w:rFonts w:hAnsi="宋体"/>
          <w:color w:val="auto"/>
          <w:szCs w:val="21"/>
          <w:highlight w:val="none"/>
        </w:rPr>
        <w:t>；</w:t>
      </w:r>
      <w:r>
        <w:rPr>
          <w:color w:val="auto"/>
          <w:szCs w:val="21"/>
          <w:highlight w:val="none"/>
        </w:rPr>
        <w:t>B</w:t>
      </w:r>
      <w:r>
        <w:rPr>
          <w:color w:val="auto"/>
          <w:sz w:val="28"/>
          <w:szCs w:val="28"/>
          <w:highlight w:val="none"/>
          <w:vertAlign w:val="subscript"/>
        </w:rPr>
        <w:t>2</w:t>
      </w:r>
      <w:r>
        <w:rPr>
          <w:rFonts w:hAnsi="宋体"/>
          <w:color w:val="auto"/>
          <w:szCs w:val="21"/>
          <w:highlight w:val="none"/>
        </w:rPr>
        <w:t>；</w:t>
      </w:r>
      <w:r>
        <w:rPr>
          <w:color w:val="auto"/>
          <w:szCs w:val="21"/>
          <w:highlight w:val="none"/>
        </w:rPr>
        <w:t>B</w:t>
      </w:r>
      <w:r>
        <w:rPr>
          <w:color w:val="auto"/>
          <w:sz w:val="28"/>
          <w:szCs w:val="28"/>
          <w:highlight w:val="none"/>
          <w:vertAlign w:val="subscript"/>
        </w:rPr>
        <w:t>3</w:t>
      </w:r>
      <w:r>
        <w:rPr>
          <w:rFonts w:hAnsi="宋体"/>
          <w:color w:val="auto"/>
          <w:szCs w:val="21"/>
          <w:highlight w:val="none"/>
        </w:rPr>
        <w:t>；</w:t>
      </w:r>
      <w:r>
        <w:rPr>
          <w:color w:val="auto"/>
          <w:szCs w:val="21"/>
          <w:highlight w:val="none"/>
        </w:rPr>
        <w:t>……B</w:t>
      </w:r>
      <w:r>
        <w:rPr>
          <w:color w:val="auto"/>
          <w:sz w:val="28"/>
          <w:szCs w:val="28"/>
          <w:highlight w:val="none"/>
          <w:vertAlign w:val="subscript"/>
        </w:rPr>
        <w:t>n</w:t>
      </w:r>
      <w:r>
        <w:rPr>
          <w:color w:val="auto"/>
          <w:szCs w:val="21"/>
          <w:highlight w:val="none"/>
        </w:rPr>
        <w:t>---</w:t>
      </w:r>
      <w:r>
        <w:rPr>
          <w:rFonts w:hAnsi="宋体"/>
          <w:color w:val="auto"/>
          <w:szCs w:val="21"/>
          <w:highlight w:val="none"/>
        </w:rPr>
        <w:t>各可调因子的变值权重（即可调部分的权重）为各可调因子在投标函投标总报价中所占的比例；</w:t>
      </w:r>
    </w:p>
    <w:p w14:paraId="6F8F9178">
      <w:pPr>
        <w:spacing w:line="360" w:lineRule="auto"/>
        <w:ind w:firstLine="420" w:firstLineChars="200"/>
        <w:rPr>
          <w:color w:val="auto"/>
          <w:szCs w:val="21"/>
          <w:highlight w:val="none"/>
        </w:rPr>
      </w:pPr>
      <w:r>
        <w:rPr>
          <w:color w:val="auto"/>
          <w:szCs w:val="21"/>
          <w:highlight w:val="none"/>
        </w:rPr>
        <w:t>F</w:t>
      </w:r>
      <w:r>
        <w:rPr>
          <w:color w:val="auto"/>
          <w:sz w:val="28"/>
          <w:szCs w:val="28"/>
          <w:highlight w:val="none"/>
          <w:vertAlign w:val="subscript"/>
        </w:rPr>
        <w:t>t1</w:t>
      </w:r>
      <w:r>
        <w:rPr>
          <w:rFonts w:hAnsi="宋体"/>
          <w:color w:val="auto"/>
          <w:szCs w:val="21"/>
          <w:highlight w:val="none"/>
        </w:rPr>
        <w:t>；</w:t>
      </w:r>
      <w:r>
        <w:rPr>
          <w:color w:val="auto"/>
          <w:szCs w:val="21"/>
          <w:highlight w:val="none"/>
        </w:rPr>
        <w:t>F</w:t>
      </w:r>
      <w:r>
        <w:rPr>
          <w:color w:val="auto"/>
          <w:sz w:val="28"/>
          <w:szCs w:val="28"/>
          <w:highlight w:val="none"/>
          <w:vertAlign w:val="subscript"/>
        </w:rPr>
        <w:t>t2</w:t>
      </w:r>
      <w:r>
        <w:rPr>
          <w:rFonts w:hAnsi="宋体"/>
          <w:color w:val="auto"/>
          <w:szCs w:val="21"/>
          <w:highlight w:val="none"/>
        </w:rPr>
        <w:t>；</w:t>
      </w:r>
      <w:r>
        <w:rPr>
          <w:color w:val="auto"/>
          <w:szCs w:val="21"/>
          <w:highlight w:val="none"/>
        </w:rPr>
        <w:t>F</w:t>
      </w:r>
      <w:r>
        <w:rPr>
          <w:color w:val="auto"/>
          <w:sz w:val="28"/>
          <w:szCs w:val="28"/>
          <w:highlight w:val="none"/>
          <w:vertAlign w:val="subscript"/>
        </w:rPr>
        <w:t>t3</w:t>
      </w:r>
      <w:r>
        <w:rPr>
          <w:rFonts w:hAnsi="宋体"/>
          <w:color w:val="auto"/>
          <w:szCs w:val="21"/>
          <w:highlight w:val="none"/>
        </w:rPr>
        <w:t>；</w:t>
      </w:r>
      <w:r>
        <w:rPr>
          <w:color w:val="auto"/>
          <w:szCs w:val="21"/>
          <w:highlight w:val="none"/>
        </w:rPr>
        <w:t>……F</w:t>
      </w:r>
      <w:r>
        <w:rPr>
          <w:color w:val="auto"/>
          <w:sz w:val="28"/>
          <w:szCs w:val="28"/>
          <w:highlight w:val="none"/>
          <w:vertAlign w:val="subscript"/>
        </w:rPr>
        <w:t>tn</w:t>
      </w:r>
      <w:r>
        <w:rPr>
          <w:color w:val="auto"/>
          <w:szCs w:val="21"/>
          <w:highlight w:val="none"/>
        </w:rPr>
        <w:t>---</w:t>
      </w:r>
      <w:r>
        <w:rPr>
          <w:rFonts w:hAnsi="宋体"/>
          <w:color w:val="auto"/>
          <w:szCs w:val="21"/>
          <w:highlight w:val="none"/>
        </w:rPr>
        <w:t>各可调因子的当期价格指数，指</w:t>
      </w:r>
      <w:r>
        <w:rPr>
          <w:rFonts w:hAnsi="宋体"/>
          <w:color w:val="auto"/>
          <w:highlight w:val="none"/>
        </w:rPr>
        <w:t>第</w:t>
      </w:r>
      <w:r>
        <w:rPr>
          <w:color w:val="auto"/>
          <w:highlight w:val="none"/>
        </w:rPr>
        <w:t xml:space="preserve">17.3.3 </w:t>
      </w:r>
      <w:r>
        <w:rPr>
          <w:rFonts w:hAnsi="宋体"/>
          <w:color w:val="auto"/>
          <w:highlight w:val="none"/>
        </w:rPr>
        <w:t>项、第</w:t>
      </w:r>
      <w:r>
        <w:rPr>
          <w:color w:val="auto"/>
          <w:highlight w:val="none"/>
        </w:rPr>
        <w:t xml:space="preserve">17.5.2 </w:t>
      </w:r>
      <w:r>
        <w:rPr>
          <w:rFonts w:hAnsi="宋体"/>
          <w:color w:val="auto"/>
          <w:highlight w:val="none"/>
        </w:rPr>
        <w:t>项</w:t>
      </w:r>
      <w:r>
        <w:rPr>
          <w:rFonts w:hAnsi="宋体"/>
          <w:color w:val="auto"/>
          <w:szCs w:val="21"/>
          <w:highlight w:val="none"/>
        </w:rPr>
        <w:t>和第</w:t>
      </w:r>
      <w:r>
        <w:rPr>
          <w:color w:val="auto"/>
          <w:highlight w:val="none"/>
        </w:rPr>
        <w:t xml:space="preserve">17.6.2 </w:t>
      </w:r>
      <w:r>
        <w:rPr>
          <w:rFonts w:hAnsi="宋体"/>
          <w:color w:val="auto"/>
          <w:szCs w:val="21"/>
          <w:highlight w:val="none"/>
        </w:rPr>
        <w:t>项约定的付款证书相关周期最后一天的前</w:t>
      </w:r>
      <w:r>
        <w:rPr>
          <w:color w:val="auto"/>
          <w:szCs w:val="21"/>
          <w:highlight w:val="none"/>
        </w:rPr>
        <w:t>42</w:t>
      </w:r>
      <w:r>
        <w:rPr>
          <w:rFonts w:hAnsi="宋体"/>
          <w:color w:val="auto"/>
          <w:szCs w:val="21"/>
          <w:highlight w:val="none"/>
        </w:rPr>
        <w:t>天的各可调因子的价格指数；</w:t>
      </w:r>
    </w:p>
    <w:p w14:paraId="2E819696">
      <w:pPr>
        <w:spacing w:line="360" w:lineRule="auto"/>
        <w:ind w:firstLine="420" w:firstLineChars="200"/>
        <w:rPr>
          <w:color w:val="auto"/>
          <w:highlight w:val="none"/>
        </w:rPr>
      </w:pPr>
      <w:r>
        <w:rPr>
          <w:color w:val="auto"/>
          <w:szCs w:val="21"/>
          <w:highlight w:val="none"/>
        </w:rPr>
        <w:t>F</w:t>
      </w:r>
      <w:r>
        <w:rPr>
          <w:color w:val="auto"/>
          <w:sz w:val="28"/>
          <w:szCs w:val="28"/>
          <w:highlight w:val="none"/>
          <w:vertAlign w:val="subscript"/>
        </w:rPr>
        <w:t>01</w:t>
      </w:r>
      <w:r>
        <w:rPr>
          <w:rFonts w:hAnsi="宋体"/>
          <w:color w:val="auto"/>
          <w:highlight w:val="none"/>
        </w:rPr>
        <w:t>；</w:t>
      </w:r>
      <w:r>
        <w:rPr>
          <w:color w:val="auto"/>
          <w:szCs w:val="21"/>
          <w:highlight w:val="none"/>
        </w:rPr>
        <w:t>F</w:t>
      </w:r>
      <w:r>
        <w:rPr>
          <w:color w:val="auto"/>
          <w:sz w:val="28"/>
          <w:szCs w:val="28"/>
          <w:highlight w:val="none"/>
          <w:vertAlign w:val="subscript"/>
        </w:rPr>
        <w:t>02</w:t>
      </w:r>
      <w:r>
        <w:rPr>
          <w:rFonts w:hAnsi="宋体"/>
          <w:color w:val="auto"/>
          <w:highlight w:val="none"/>
        </w:rPr>
        <w:t>；</w:t>
      </w:r>
      <w:r>
        <w:rPr>
          <w:color w:val="auto"/>
          <w:szCs w:val="21"/>
          <w:highlight w:val="none"/>
        </w:rPr>
        <w:t>F</w:t>
      </w:r>
      <w:r>
        <w:rPr>
          <w:color w:val="auto"/>
          <w:sz w:val="28"/>
          <w:szCs w:val="28"/>
          <w:highlight w:val="none"/>
          <w:vertAlign w:val="subscript"/>
        </w:rPr>
        <w:t>03</w:t>
      </w:r>
      <w:r>
        <w:rPr>
          <w:rFonts w:hAnsi="宋体"/>
          <w:color w:val="auto"/>
          <w:highlight w:val="none"/>
        </w:rPr>
        <w:t>；</w:t>
      </w:r>
      <w:r>
        <w:rPr>
          <w:color w:val="auto"/>
          <w:highlight w:val="none"/>
        </w:rPr>
        <w:t>……</w:t>
      </w:r>
      <w:r>
        <w:rPr>
          <w:color w:val="auto"/>
          <w:szCs w:val="21"/>
          <w:highlight w:val="none"/>
        </w:rPr>
        <w:t>F</w:t>
      </w:r>
      <w:r>
        <w:rPr>
          <w:color w:val="auto"/>
          <w:sz w:val="28"/>
          <w:szCs w:val="28"/>
          <w:highlight w:val="none"/>
          <w:vertAlign w:val="subscript"/>
        </w:rPr>
        <w:t>0n</w:t>
      </w:r>
      <w:r>
        <w:rPr>
          <w:color w:val="auto"/>
          <w:highlight w:val="none"/>
        </w:rPr>
        <w:t>---</w:t>
      </w:r>
      <w:r>
        <w:rPr>
          <w:rFonts w:hAnsi="宋体"/>
          <w:color w:val="auto"/>
          <w:highlight w:val="none"/>
        </w:rPr>
        <w:t>各可调因子的基本价格指数，指基准日期的各可调因子的价格指数。</w:t>
      </w:r>
    </w:p>
    <w:p w14:paraId="3550D2F1">
      <w:pPr>
        <w:spacing w:line="360" w:lineRule="auto"/>
        <w:ind w:firstLine="420" w:firstLineChars="200"/>
        <w:rPr>
          <w:color w:val="auto"/>
          <w:szCs w:val="21"/>
          <w:highlight w:val="none"/>
        </w:rPr>
      </w:pPr>
      <w:r>
        <w:rPr>
          <w:rFonts w:hAnsi="宋体"/>
          <w:color w:val="auto"/>
          <w:szCs w:val="21"/>
          <w:highlight w:val="none"/>
        </w:rPr>
        <w:t>以上价格调整公式中的各可调因子、定值和变值权重，以及基本价格指数及其来源在投标函附录价格指数和权重表中约定。价格指数应首先采用投标函附录中载明的有关部门提供的价格指数，缺乏上述价格指数时，可采用有关部门提供的价格代替。</w:t>
      </w:r>
    </w:p>
    <w:p w14:paraId="71BA88EE">
      <w:pPr>
        <w:spacing w:line="360" w:lineRule="auto"/>
        <w:ind w:firstLine="420" w:firstLineChars="200"/>
        <w:rPr>
          <w:color w:val="auto"/>
          <w:szCs w:val="21"/>
          <w:highlight w:val="none"/>
        </w:rPr>
      </w:pPr>
      <w:r>
        <w:rPr>
          <w:color w:val="auto"/>
          <w:highlight w:val="none"/>
        </w:rPr>
        <w:t>16.1.1.2</w:t>
      </w:r>
      <w:r>
        <w:rPr>
          <w:color w:val="auto"/>
          <w:szCs w:val="21"/>
          <w:highlight w:val="none"/>
        </w:rPr>
        <w:t xml:space="preserve"> </w:t>
      </w:r>
      <w:r>
        <w:rPr>
          <w:rFonts w:hAnsi="宋体"/>
          <w:color w:val="auto"/>
          <w:szCs w:val="21"/>
          <w:highlight w:val="none"/>
        </w:rPr>
        <w:t>暂时确定调整差额</w:t>
      </w:r>
    </w:p>
    <w:p w14:paraId="72BF6FEB">
      <w:pPr>
        <w:spacing w:line="360" w:lineRule="auto"/>
        <w:ind w:firstLine="420" w:firstLineChars="200"/>
        <w:rPr>
          <w:color w:val="auto"/>
          <w:szCs w:val="21"/>
          <w:highlight w:val="none"/>
        </w:rPr>
      </w:pPr>
      <w:r>
        <w:rPr>
          <w:rFonts w:hAnsi="宋体"/>
          <w:color w:val="auto"/>
          <w:szCs w:val="21"/>
          <w:highlight w:val="none"/>
        </w:rPr>
        <w:t>在计算调整差额时得不到当期价格指数的，可暂用上一次价格指数计算，并在以后的付款中再按实际价格指数进行调整。</w:t>
      </w:r>
    </w:p>
    <w:p w14:paraId="6D3D09AC">
      <w:pPr>
        <w:spacing w:line="360" w:lineRule="auto"/>
        <w:ind w:firstLine="420" w:firstLineChars="200"/>
        <w:rPr>
          <w:color w:val="auto"/>
          <w:szCs w:val="21"/>
          <w:highlight w:val="none"/>
        </w:rPr>
      </w:pPr>
      <w:r>
        <w:rPr>
          <w:color w:val="auto"/>
          <w:szCs w:val="21"/>
          <w:highlight w:val="none"/>
        </w:rPr>
        <w:t>1</w:t>
      </w:r>
      <w:r>
        <w:rPr>
          <w:color w:val="auto"/>
          <w:highlight w:val="none"/>
        </w:rPr>
        <w:t>6.1.1.3</w:t>
      </w:r>
      <w:r>
        <w:rPr>
          <w:color w:val="auto"/>
          <w:szCs w:val="21"/>
          <w:highlight w:val="none"/>
        </w:rPr>
        <w:t xml:space="preserve"> </w:t>
      </w:r>
      <w:r>
        <w:rPr>
          <w:rFonts w:hAnsi="宋体"/>
          <w:color w:val="auto"/>
          <w:szCs w:val="21"/>
          <w:highlight w:val="none"/>
        </w:rPr>
        <w:t>权重的调整</w:t>
      </w:r>
    </w:p>
    <w:p w14:paraId="7836F671">
      <w:pPr>
        <w:spacing w:line="360" w:lineRule="auto"/>
        <w:ind w:firstLine="420" w:firstLineChars="200"/>
        <w:rPr>
          <w:color w:val="auto"/>
          <w:szCs w:val="21"/>
          <w:highlight w:val="none"/>
        </w:rPr>
      </w:pPr>
      <w:r>
        <w:rPr>
          <w:rFonts w:hAnsi="宋体"/>
          <w:color w:val="auto"/>
          <w:szCs w:val="21"/>
          <w:highlight w:val="none"/>
        </w:rPr>
        <w:t>按第</w:t>
      </w:r>
      <w:r>
        <w:rPr>
          <w:color w:val="auto"/>
          <w:szCs w:val="21"/>
          <w:highlight w:val="none"/>
        </w:rPr>
        <w:t xml:space="preserve">15.1 </w:t>
      </w:r>
      <w:r>
        <w:rPr>
          <w:rFonts w:hAnsi="宋体"/>
          <w:color w:val="auto"/>
          <w:szCs w:val="21"/>
          <w:highlight w:val="none"/>
        </w:rPr>
        <w:t>款约定的变更导致原定合同中的权重不合理的，由监理人与承包人和发包人协商后进行调整。</w:t>
      </w:r>
    </w:p>
    <w:p w14:paraId="3AE65698">
      <w:pPr>
        <w:spacing w:line="360" w:lineRule="auto"/>
        <w:ind w:firstLine="420" w:firstLineChars="200"/>
        <w:rPr>
          <w:color w:val="auto"/>
          <w:szCs w:val="21"/>
          <w:highlight w:val="none"/>
        </w:rPr>
      </w:pPr>
      <w:r>
        <w:rPr>
          <w:color w:val="auto"/>
          <w:highlight w:val="none"/>
        </w:rPr>
        <w:t>16.1.1.4</w:t>
      </w:r>
      <w:r>
        <w:rPr>
          <w:color w:val="auto"/>
          <w:szCs w:val="21"/>
          <w:highlight w:val="none"/>
        </w:rPr>
        <w:t xml:space="preserve"> </w:t>
      </w:r>
      <w:r>
        <w:rPr>
          <w:rFonts w:hAnsi="宋体"/>
          <w:color w:val="auto"/>
          <w:szCs w:val="21"/>
          <w:highlight w:val="none"/>
        </w:rPr>
        <w:t>承包人引起的工期延误后的价格调整</w:t>
      </w:r>
    </w:p>
    <w:p w14:paraId="59261693">
      <w:pPr>
        <w:spacing w:line="360" w:lineRule="auto"/>
        <w:ind w:firstLine="420" w:firstLineChars="200"/>
        <w:rPr>
          <w:color w:val="auto"/>
          <w:szCs w:val="21"/>
          <w:highlight w:val="none"/>
        </w:rPr>
      </w:pPr>
      <w:r>
        <w:rPr>
          <w:rFonts w:hAnsi="宋体"/>
          <w:color w:val="auto"/>
          <w:szCs w:val="21"/>
          <w:highlight w:val="none"/>
        </w:rPr>
        <w:t>由于承包人原因未在约定的工期内竣工的，则对原约定竣工日期后继续施工的工程，在使用第</w:t>
      </w:r>
      <w:r>
        <w:rPr>
          <w:color w:val="auto"/>
          <w:highlight w:val="none"/>
        </w:rPr>
        <w:t>16.1.1. 1</w:t>
      </w:r>
      <w:r>
        <w:rPr>
          <w:rFonts w:hAnsi="宋体"/>
          <w:color w:val="auto"/>
          <w:szCs w:val="21"/>
          <w:highlight w:val="none"/>
        </w:rPr>
        <w:t>目价格调整公式时，应采用原约定竣工日期与实际竣工日期的两个价格指数中较低的一个作为当期价格指数。</w:t>
      </w:r>
    </w:p>
    <w:p w14:paraId="67C01E29">
      <w:pPr>
        <w:spacing w:line="360" w:lineRule="auto"/>
        <w:ind w:firstLine="420" w:firstLineChars="200"/>
        <w:rPr>
          <w:color w:val="auto"/>
          <w:szCs w:val="21"/>
          <w:highlight w:val="none"/>
        </w:rPr>
      </w:pPr>
      <w:r>
        <w:rPr>
          <w:color w:val="auto"/>
          <w:highlight w:val="none"/>
        </w:rPr>
        <w:t>16.1.1.5</w:t>
      </w:r>
      <w:r>
        <w:rPr>
          <w:color w:val="auto"/>
          <w:szCs w:val="21"/>
          <w:highlight w:val="none"/>
        </w:rPr>
        <w:t xml:space="preserve"> </w:t>
      </w:r>
      <w:r>
        <w:rPr>
          <w:rFonts w:hAnsi="宋体"/>
          <w:color w:val="auto"/>
          <w:szCs w:val="21"/>
          <w:highlight w:val="none"/>
        </w:rPr>
        <w:t>发包人引起的工期延误后的价格调整</w:t>
      </w:r>
    </w:p>
    <w:p w14:paraId="6D6FE363">
      <w:pPr>
        <w:spacing w:line="360" w:lineRule="auto"/>
        <w:ind w:firstLine="420" w:firstLineChars="200"/>
        <w:rPr>
          <w:color w:val="auto"/>
          <w:szCs w:val="21"/>
          <w:highlight w:val="none"/>
        </w:rPr>
      </w:pPr>
      <w:r>
        <w:rPr>
          <w:rFonts w:hAnsi="宋体"/>
          <w:color w:val="auto"/>
          <w:szCs w:val="21"/>
          <w:highlight w:val="none"/>
        </w:rPr>
        <w:t>由于发包人原因未在约定的工期内竣工的，则对原约定竣工日期后继续施工的工程，在使用第</w:t>
      </w:r>
      <w:r>
        <w:rPr>
          <w:color w:val="auto"/>
          <w:highlight w:val="none"/>
        </w:rPr>
        <w:t>16.1.1.1</w:t>
      </w:r>
      <w:r>
        <w:rPr>
          <w:rFonts w:hAnsi="宋体"/>
          <w:color w:val="auto"/>
          <w:szCs w:val="21"/>
          <w:highlight w:val="none"/>
        </w:rPr>
        <w:t>目价格调整公式时，应采用原约定竣工日期与实际竣工日期的两个价格指数中较高的一个作为当期价格指数。</w:t>
      </w:r>
    </w:p>
    <w:p w14:paraId="695B7439">
      <w:pPr>
        <w:spacing w:line="360" w:lineRule="auto"/>
        <w:ind w:firstLine="420" w:firstLineChars="200"/>
        <w:rPr>
          <w:color w:val="auto"/>
          <w:szCs w:val="21"/>
          <w:highlight w:val="none"/>
        </w:rPr>
      </w:pPr>
      <w:r>
        <w:rPr>
          <w:color w:val="auto"/>
          <w:highlight w:val="none"/>
        </w:rPr>
        <w:t>16.1.1</w:t>
      </w:r>
      <w:r>
        <w:rPr>
          <w:color w:val="auto"/>
          <w:szCs w:val="21"/>
          <w:highlight w:val="none"/>
        </w:rPr>
        <w:t xml:space="preserve"> </w:t>
      </w:r>
      <w:r>
        <w:rPr>
          <w:rFonts w:hAnsi="宋体"/>
          <w:color w:val="auto"/>
          <w:szCs w:val="21"/>
          <w:highlight w:val="none"/>
        </w:rPr>
        <w:t>采用造价信息调整价格差额（适用于投标函附录没有约定价格指数和权重的）</w:t>
      </w:r>
    </w:p>
    <w:p w14:paraId="39DFBD11">
      <w:pPr>
        <w:spacing w:line="360" w:lineRule="auto"/>
        <w:ind w:firstLine="420" w:firstLineChars="200"/>
        <w:rPr>
          <w:color w:val="auto"/>
          <w:szCs w:val="21"/>
          <w:highlight w:val="none"/>
        </w:rPr>
      </w:pPr>
      <w:r>
        <w:rPr>
          <w:rFonts w:hAnsi="宋体"/>
          <w:color w:val="auto"/>
          <w:szCs w:val="21"/>
          <w:highlight w:val="none"/>
        </w:rPr>
        <w:t>合同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合同价格差额的依据。</w:t>
      </w:r>
    </w:p>
    <w:p w14:paraId="02AB41FB">
      <w:pPr>
        <w:pStyle w:val="6"/>
        <w:spacing w:before="159"/>
        <w:rPr>
          <w:color w:val="auto"/>
          <w:highlight w:val="none"/>
        </w:rPr>
      </w:pPr>
      <w:bookmarkStart w:id="2434" w:name="_Toc5308"/>
      <w:bookmarkStart w:id="2435" w:name="_Toc5069"/>
      <w:bookmarkStart w:id="2436" w:name="_Toc265955482"/>
      <w:bookmarkStart w:id="2437" w:name="_Toc25864"/>
      <w:bookmarkStart w:id="2438" w:name="_Toc300835148"/>
      <w:bookmarkStart w:id="2439" w:name="_Toc519085497"/>
      <w:bookmarkStart w:id="2440" w:name="_Toc3282"/>
      <w:bookmarkStart w:id="2441" w:name="_Toc724_WPSOffice_Level2"/>
      <w:bookmarkStart w:id="2442" w:name="_Toc15104"/>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1</w:t>
      </w:r>
      <w:bookmarkEnd w:id="2434"/>
      <w:bookmarkEnd w:id="2435"/>
      <w:r>
        <w:rPr>
          <w:color w:val="auto"/>
          <w:highlight w:val="none"/>
        </w:rPr>
        <w:t xml:space="preserve"> </w:t>
      </w:r>
      <w:r>
        <w:rPr>
          <w:rStyle w:val="79"/>
          <w:color w:val="auto"/>
          <w:highlight w:val="none"/>
        </w:rPr>
        <w:t>物价波动引起的调整</w:t>
      </w:r>
      <w:bookmarkEnd w:id="2436"/>
      <w:r>
        <w:rPr>
          <w:rStyle w:val="79"/>
          <w:color w:val="auto"/>
          <w:highlight w:val="none"/>
        </w:rPr>
        <w:t>（</w:t>
      </w:r>
      <w:r>
        <w:rPr>
          <w:color w:val="auto"/>
          <w:highlight w:val="none"/>
        </w:rPr>
        <w:t>B</w:t>
      </w:r>
      <w:r>
        <w:rPr>
          <w:rStyle w:val="79"/>
          <w:color w:val="auto"/>
          <w:highlight w:val="none"/>
        </w:rPr>
        <w:t>）</w:t>
      </w:r>
      <w:bookmarkEnd w:id="2437"/>
      <w:bookmarkEnd w:id="2438"/>
      <w:bookmarkEnd w:id="2439"/>
      <w:bookmarkEnd w:id="2440"/>
      <w:bookmarkEnd w:id="2441"/>
      <w:bookmarkEnd w:id="2442"/>
    </w:p>
    <w:p w14:paraId="36FF1A92">
      <w:pPr>
        <w:spacing w:line="360" w:lineRule="auto"/>
        <w:ind w:firstLine="420" w:firstLineChars="200"/>
        <w:rPr>
          <w:color w:val="auto"/>
          <w:szCs w:val="21"/>
          <w:highlight w:val="none"/>
        </w:rPr>
      </w:pPr>
      <w:r>
        <w:rPr>
          <w:rFonts w:hAnsi="宋体"/>
          <w:color w:val="auto"/>
          <w:szCs w:val="21"/>
          <w:highlight w:val="none"/>
        </w:rPr>
        <w:t>除法律规定或专用合同条款另有约定外，合同价格不因物价波动进行调整。</w:t>
      </w:r>
    </w:p>
    <w:p w14:paraId="47BB6656">
      <w:pPr>
        <w:pStyle w:val="6"/>
        <w:spacing w:before="159"/>
        <w:rPr>
          <w:color w:val="auto"/>
          <w:highlight w:val="none"/>
        </w:rPr>
      </w:pPr>
      <w:bookmarkStart w:id="2443" w:name="_Toc4491"/>
      <w:bookmarkStart w:id="2444" w:name="_Toc2043"/>
      <w:bookmarkStart w:id="2445" w:name="_Toc5687"/>
      <w:bookmarkStart w:id="2446" w:name="_Toc300835149"/>
      <w:bookmarkStart w:id="2447" w:name="_Toc6336"/>
      <w:bookmarkStart w:id="2448" w:name="_Toc884_WPSOffice_Level2"/>
      <w:bookmarkStart w:id="2449" w:name="_Toc11568"/>
      <w:bookmarkStart w:id="2450" w:name="_Toc519085498"/>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2</w:t>
      </w:r>
      <w:bookmarkEnd w:id="2443"/>
      <w:bookmarkEnd w:id="2444"/>
      <w:r>
        <w:rPr>
          <w:color w:val="auto"/>
          <w:highlight w:val="none"/>
        </w:rPr>
        <w:t xml:space="preserve"> </w:t>
      </w:r>
      <w:r>
        <w:rPr>
          <w:rStyle w:val="79"/>
          <w:color w:val="auto"/>
          <w:highlight w:val="none"/>
        </w:rPr>
        <w:t>法律变化引起的调整</w:t>
      </w:r>
      <w:bookmarkEnd w:id="2445"/>
      <w:bookmarkEnd w:id="2446"/>
      <w:bookmarkEnd w:id="2447"/>
      <w:bookmarkEnd w:id="2448"/>
      <w:bookmarkEnd w:id="2449"/>
      <w:bookmarkEnd w:id="2450"/>
    </w:p>
    <w:p w14:paraId="0621053C">
      <w:pPr>
        <w:spacing w:line="360" w:lineRule="auto"/>
        <w:ind w:firstLine="420" w:firstLineChars="200"/>
        <w:rPr>
          <w:color w:val="auto"/>
          <w:szCs w:val="21"/>
          <w:highlight w:val="none"/>
        </w:rPr>
      </w:pPr>
      <w:r>
        <w:rPr>
          <w:rFonts w:hAnsi="宋体"/>
          <w:color w:val="auto"/>
          <w:szCs w:val="21"/>
          <w:highlight w:val="none"/>
        </w:rPr>
        <w:t>在基准日后，因法律变化导致承包人在合同履行中所需费用发生除第</w:t>
      </w:r>
      <w:r>
        <w:rPr>
          <w:color w:val="auto"/>
          <w:szCs w:val="21"/>
          <w:highlight w:val="none"/>
        </w:rPr>
        <w:t xml:space="preserve">16.1 </w:t>
      </w:r>
      <w:r>
        <w:rPr>
          <w:rFonts w:hAnsi="宋体"/>
          <w:color w:val="auto"/>
          <w:szCs w:val="21"/>
          <w:highlight w:val="none"/>
        </w:rPr>
        <w:t>款约定以外的增减时，监理人应根据法律、国家或省、自治区、直辖市有关部门的规定，按第</w:t>
      </w:r>
      <w:r>
        <w:rPr>
          <w:color w:val="auto"/>
          <w:szCs w:val="21"/>
          <w:highlight w:val="none"/>
        </w:rPr>
        <w:t xml:space="preserve">3.5 </w:t>
      </w:r>
      <w:r>
        <w:rPr>
          <w:rFonts w:hAnsi="宋体"/>
          <w:color w:val="auto"/>
          <w:szCs w:val="21"/>
          <w:highlight w:val="none"/>
        </w:rPr>
        <w:t>款商定或确定需调整的合同价格。</w:t>
      </w:r>
    </w:p>
    <w:p w14:paraId="7455879D">
      <w:pPr>
        <w:pStyle w:val="5"/>
        <w:spacing w:before="159"/>
        <w:rPr>
          <w:rFonts w:ascii="Times New Roman" w:hAnsi="Times New Roman" w:eastAsia="宋体"/>
          <w:color w:val="auto"/>
          <w:highlight w:val="none"/>
        </w:rPr>
      </w:pPr>
      <w:bookmarkStart w:id="2451" w:name="_Toc24856"/>
      <w:bookmarkStart w:id="2452" w:name="_Toc6970"/>
      <w:bookmarkStart w:id="2453" w:name="_Toc3024_WPSOffice_Level1"/>
      <w:bookmarkStart w:id="2454" w:name="_Toc22618"/>
      <w:bookmarkStart w:id="2455" w:name="_Toc277"/>
      <w:bookmarkStart w:id="2456" w:name="_Toc519085499"/>
      <w:bookmarkStart w:id="2457" w:name="_Toc17472"/>
      <w:bookmarkStart w:id="2458" w:name="_Toc300835150"/>
      <w:r>
        <w:rPr>
          <w:rFonts w:ascii="Times New Roman" w:hAnsi="Times New Roman" w:eastAsia="宋体"/>
          <w:color w:val="auto"/>
          <w:highlight w:val="none"/>
        </w:rPr>
        <w:t xml:space="preserve">17. </w:t>
      </w:r>
      <w:r>
        <w:rPr>
          <w:rStyle w:val="65"/>
          <w:color w:val="auto"/>
          <w:highlight w:val="none"/>
        </w:rPr>
        <w:t>合同价格与支付</w:t>
      </w:r>
      <w:bookmarkEnd w:id="2451"/>
      <w:bookmarkEnd w:id="2452"/>
      <w:bookmarkEnd w:id="2453"/>
      <w:bookmarkEnd w:id="2454"/>
      <w:bookmarkEnd w:id="2455"/>
      <w:bookmarkEnd w:id="2456"/>
      <w:bookmarkEnd w:id="2457"/>
      <w:bookmarkEnd w:id="2458"/>
    </w:p>
    <w:p w14:paraId="77D4F6A7">
      <w:pPr>
        <w:pStyle w:val="6"/>
        <w:spacing w:before="159"/>
        <w:rPr>
          <w:color w:val="auto"/>
          <w:highlight w:val="none"/>
        </w:rPr>
      </w:pPr>
      <w:bookmarkStart w:id="2459" w:name="_Toc10743"/>
      <w:bookmarkStart w:id="2460" w:name="_Toc6851"/>
      <w:bookmarkStart w:id="2461" w:name="_Toc519085500"/>
      <w:bookmarkStart w:id="2462" w:name="_Toc9770"/>
      <w:bookmarkStart w:id="2463" w:name="_Toc16231"/>
      <w:bookmarkStart w:id="2464" w:name="_Toc4726_WPSOffice_Level2"/>
      <w:bookmarkStart w:id="2465" w:name="_Toc300835151"/>
      <w:bookmarkStart w:id="2466" w:name="_Toc16468"/>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1</w:t>
      </w:r>
      <w:bookmarkEnd w:id="2459"/>
      <w:bookmarkEnd w:id="2460"/>
      <w:r>
        <w:rPr>
          <w:color w:val="auto"/>
          <w:highlight w:val="none"/>
        </w:rPr>
        <w:t xml:space="preserve"> </w:t>
      </w:r>
      <w:r>
        <w:rPr>
          <w:rStyle w:val="79"/>
          <w:color w:val="auto"/>
          <w:highlight w:val="none"/>
        </w:rPr>
        <w:t>合同价格</w:t>
      </w:r>
      <w:bookmarkEnd w:id="2461"/>
      <w:bookmarkEnd w:id="2462"/>
      <w:bookmarkEnd w:id="2463"/>
      <w:bookmarkEnd w:id="2464"/>
      <w:bookmarkEnd w:id="2465"/>
      <w:bookmarkEnd w:id="2466"/>
    </w:p>
    <w:p w14:paraId="5C132E5F">
      <w:pPr>
        <w:spacing w:line="360" w:lineRule="auto"/>
        <w:ind w:firstLine="420" w:firstLineChars="200"/>
        <w:rPr>
          <w:color w:val="auto"/>
          <w:highlight w:val="none"/>
        </w:rPr>
      </w:pPr>
      <w:r>
        <w:rPr>
          <w:rFonts w:hAnsi="宋体"/>
          <w:color w:val="auto"/>
          <w:highlight w:val="none"/>
        </w:rPr>
        <w:t>除专用合同条款另有约定外，</w:t>
      </w:r>
    </w:p>
    <w:p w14:paraId="5F60AEDA">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）合同价格包括签约合同价以及按照合同约定进行的调整；</w:t>
      </w:r>
    </w:p>
    <w:p w14:paraId="28239FDF">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）合同价格包括承包人依据法律规定或合同约定应支付的规费和税金；</w:t>
      </w:r>
    </w:p>
    <w:p w14:paraId="5EDC28CB">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）价格清单列出的任何数量仅为估算的工作量，不得将其视为要求承包人实施的工程的实际或准确的工作量。在价格</w:t>
      </w:r>
      <w:r>
        <w:rPr>
          <w:rFonts w:hAnsi="宋体"/>
          <w:color w:val="auto"/>
          <w:szCs w:val="21"/>
          <w:highlight w:val="none"/>
        </w:rPr>
        <w:t>清单中列出的任何工作量和价格数据应仅限用于变更和支付的参考资料，而不能用于其他目的。</w:t>
      </w:r>
    </w:p>
    <w:p w14:paraId="21F19A0D">
      <w:pPr>
        <w:spacing w:line="360" w:lineRule="auto"/>
        <w:ind w:firstLine="420" w:firstLineChars="200"/>
        <w:rPr>
          <w:color w:val="auto"/>
          <w:szCs w:val="21"/>
          <w:highlight w:val="none"/>
        </w:rPr>
      </w:pPr>
      <w:r>
        <w:rPr>
          <w:rFonts w:hAnsi="宋体"/>
          <w:color w:val="auto"/>
          <w:szCs w:val="21"/>
          <w:highlight w:val="none"/>
        </w:rPr>
        <w:t>合同约定工程的某部分按照实际完成的工程量进行支付的，应按照专用合同条款的约定进行计量和估价，并据此调整合同价格。</w:t>
      </w:r>
    </w:p>
    <w:p w14:paraId="3344CB95">
      <w:pPr>
        <w:pStyle w:val="6"/>
        <w:spacing w:before="159"/>
        <w:rPr>
          <w:color w:val="auto"/>
          <w:highlight w:val="none"/>
        </w:rPr>
      </w:pPr>
      <w:bookmarkStart w:id="2467" w:name="_Toc13830"/>
      <w:bookmarkStart w:id="2468" w:name="_Toc19001"/>
      <w:bookmarkStart w:id="2469" w:name="_Toc6334"/>
      <w:bookmarkStart w:id="2470" w:name="_Toc519085501"/>
      <w:bookmarkStart w:id="2471" w:name="_Toc21848"/>
      <w:bookmarkStart w:id="2472" w:name="_Toc9224_WPSOffice_Level2"/>
      <w:bookmarkStart w:id="2473" w:name="_Toc300835152"/>
      <w:bookmarkStart w:id="2474" w:name="_Toc10767"/>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2</w:t>
      </w:r>
      <w:bookmarkEnd w:id="2467"/>
      <w:bookmarkEnd w:id="2468"/>
      <w:r>
        <w:rPr>
          <w:color w:val="auto"/>
          <w:highlight w:val="none"/>
        </w:rPr>
        <w:t xml:space="preserve"> </w:t>
      </w:r>
      <w:r>
        <w:rPr>
          <w:rStyle w:val="79"/>
          <w:color w:val="auto"/>
          <w:highlight w:val="none"/>
        </w:rPr>
        <w:t>预付款</w:t>
      </w:r>
      <w:bookmarkEnd w:id="2469"/>
      <w:bookmarkEnd w:id="2470"/>
      <w:bookmarkEnd w:id="2471"/>
      <w:bookmarkEnd w:id="2472"/>
      <w:bookmarkEnd w:id="2473"/>
      <w:bookmarkEnd w:id="2474"/>
    </w:p>
    <w:p w14:paraId="3A479FEB">
      <w:pPr>
        <w:spacing w:line="360" w:lineRule="auto"/>
        <w:ind w:firstLine="420" w:firstLineChars="200"/>
        <w:rPr>
          <w:color w:val="auto"/>
          <w:szCs w:val="21"/>
          <w:highlight w:val="none"/>
        </w:rPr>
      </w:pPr>
      <w:r>
        <w:rPr>
          <w:color w:val="auto"/>
          <w:highlight w:val="none"/>
        </w:rPr>
        <w:t>17.2.1</w:t>
      </w:r>
      <w:r>
        <w:rPr>
          <w:color w:val="auto"/>
          <w:szCs w:val="21"/>
          <w:highlight w:val="none"/>
        </w:rPr>
        <w:t xml:space="preserve"> </w:t>
      </w:r>
      <w:r>
        <w:rPr>
          <w:rFonts w:hAnsi="宋体"/>
          <w:color w:val="auto"/>
          <w:szCs w:val="21"/>
          <w:highlight w:val="none"/>
        </w:rPr>
        <w:t>预付款</w:t>
      </w:r>
    </w:p>
    <w:p w14:paraId="49432E98">
      <w:pPr>
        <w:spacing w:line="360" w:lineRule="auto"/>
        <w:ind w:firstLine="420" w:firstLineChars="200"/>
        <w:rPr>
          <w:color w:val="auto"/>
          <w:szCs w:val="21"/>
          <w:highlight w:val="none"/>
        </w:rPr>
      </w:pPr>
      <w:r>
        <w:rPr>
          <w:rFonts w:hAnsi="宋体"/>
          <w:color w:val="auto"/>
          <w:szCs w:val="21"/>
          <w:highlight w:val="none"/>
        </w:rPr>
        <w:t>预付款用于承包人为合同工程的设计和工程实施购置材料、工程设备、施工设备、修建临时设施以及组织施工队伍进场等。预付款的额度和支付在专用合同条款中约定。预付款必须专用于合同工作。</w:t>
      </w:r>
    </w:p>
    <w:p w14:paraId="2FE68DBC">
      <w:pPr>
        <w:spacing w:line="360" w:lineRule="auto"/>
        <w:ind w:firstLine="420" w:firstLineChars="200"/>
        <w:rPr>
          <w:color w:val="auto"/>
          <w:szCs w:val="21"/>
          <w:highlight w:val="none"/>
        </w:rPr>
      </w:pPr>
      <w:r>
        <w:rPr>
          <w:color w:val="auto"/>
          <w:highlight w:val="none"/>
        </w:rPr>
        <w:t>17.2.2</w:t>
      </w:r>
      <w:r>
        <w:rPr>
          <w:color w:val="auto"/>
          <w:szCs w:val="21"/>
          <w:highlight w:val="none"/>
        </w:rPr>
        <w:t xml:space="preserve"> </w:t>
      </w:r>
      <w:r>
        <w:rPr>
          <w:rFonts w:hAnsi="宋体"/>
          <w:color w:val="auto"/>
          <w:szCs w:val="21"/>
          <w:highlight w:val="none"/>
        </w:rPr>
        <w:t>预付款保函</w:t>
      </w:r>
    </w:p>
    <w:p w14:paraId="0D705BAA">
      <w:pPr>
        <w:spacing w:line="360" w:lineRule="auto"/>
        <w:ind w:firstLine="420" w:firstLineChars="200"/>
        <w:rPr>
          <w:color w:val="auto"/>
          <w:highlight w:val="none"/>
        </w:rPr>
      </w:pPr>
      <w:r>
        <w:rPr>
          <w:rFonts w:hAnsi="宋体"/>
          <w:color w:val="auto"/>
          <w:szCs w:val="21"/>
          <w:highlight w:val="none"/>
        </w:rPr>
        <w:t>除专用合同条款另有约定外，承包人应在收到预付款的同时向发包人提交预付款保函，预付款保函的担保</w:t>
      </w:r>
      <w:r>
        <w:rPr>
          <w:rFonts w:hAnsi="宋体"/>
          <w:color w:val="auto"/>
          <w:highlight w:val="none"/>
        </w:rPr>
        <w:t>金额应与预付款金额相同。保函的担保金额可根据预付款扣回的金额相应递减。</w:t>
      </w:r>
    </w:p>
    <w:p w14:paraId="466288B1">
      <w:pPr>
        <w:spacing w:line="360" w:lineRule="auto"/>
        <w:ind w:firstLine="420" w:firstLineChars="200"/>
        <w:rPr>
          <w:color w:val="auto"/>
          <w:szCs w:val="21"/>
          <w:highlight w:val="none"/>
        </w:rPr>
      </w:pPr>
      <w:r>
        <w:rPr>
          <w:color w:val="auto"/>
          <w:highlight w:val="none"/>
        </w:rPr>
        <w:t>17.2.3</w:t>
      </w:r>
      <w:r>
        <w:rPr>
          <w:color w:val="auto"/>
          <w:szCs w:val="21"/>
          <w:highlight w:val="none"/>
        </w:rPr>
        <w:t xml:space="preserve"> </w:t>
      </w:r>
      <w:r>
        <w:rPr>
          <w:rFonts w:hAnsi="宋体"/>
          <w:color w:val="auto"/>
          <w:szCs w:val="21"/>
          <w:highlight w:val="none"/>
        </w:rPr>
        <w:t>预付款的扣回与还清</w:t>
      </w:r>
    </w:p>
    <w:p w14:paraId="2AD32F1E">
      <w:pPr>
        <w:spacing w:line="360" w:lineRule="auto"/>
        <w:ind w:firstLine="420" w:firstLineChars="200"/>
        <w:rPr>
          <w:color w:val="auto"/>
          <w:szCs w:val="21"/>
          <w:highlight w:val="none"/>
        </w:rPr>
      </w:pPr>
      <w:r>
        <w:rPr>
          <w:rFonts w:hAnsi="宋体"/>
          <w:color w:val="auto"/>
          <w:szCs w:val="21"/>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5FBE4BA2">
      <w:pPr>
        <w:pStyle w:val="6"/>
        <w:spacing w:before="159"/>
        <w:rPr>
          <w:color w:val="auto"/>
          <w:highlight w:val="none"/>
        </w:rPr>
      </w:pPr>
      <w:bookmarkStart w:id="2475" w:name="_Toc29687"/>
      <w:bookmarkStart w:id="2476" w:name="_Toc26164"/>
      <w:bookmarkStart w:id="2477" w:name="_Toc632"/>
      <w:bookmarkStart w:id="2478" w:name="_Toc15947"/>
      <w:bookmarkStart w:id="2479" w:name="_Toc19454"/>
      <w:bookmarkStart w:id="2480" w:name="_Toc519085502"/>
      <w:bookmarkStart w:id="2481" w:name="_Toc300835153"/>
      <w:bookmarkStart w:id="2482" w:name="_Toc12469_WPSOffice_Level2"/>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3</w:t>
      </w:r>
      <w:bookmarkEnd w:id="2475"/>
      <w:bookmarkEnd w:id="2476"/>
      <w:r>
        <w:rPr>
          <w:color w:val="auto"/>
          <w:highlight w:val="none"/>
        </w:rPr>
        <w:t xml:space="preserve"> </w:t>
      </w:r>
      <w:r>
        <w:rPr>
          <w:rStyle w:val="79"/>
          <w:color w:val="auto"/>
          <w:highlight w:val="none"/>
        </w:rPr>
        <w:t>工程进度付款</w:t>
      </w:r>
      <w:bookmarkEnd w:id="2477"/>
      <w:bookmarkEnd w:id="2478"/>
      <w:bookmarkEnd w:id="2479"/>
      <w:bookmarkEnd w:id="2480"/>
      <w:bookmarkEnd w:id="2481"/>
      <w:bookmarkEnd w:id="2482"/>
    </w:p>
    <w:p w14:paraId="39F96AB4">
      <w:pPr>
        <w:spacing w:line="360" w:lineRule="auto"/>
        <w:ind w:firstLine="420" w:firstLineChars="200"/>
        <w:rPr>
          <w:color w:val="auto"/>
          <w:szCs w:val="21"/>
          <w:highlight w:val="none"/>
        </w:rPr>
      </w:pPr>
      <w:r>
        <w:rPr>
          <w:color w:val="auto"/>
          <w:highlight w:val="none"/>
        </w:rPr>
        <w:t>17.3.1</w:t>
      </w:r>
      <w:r>
        <w:rPr>
          <w:color w:val="auto"/>
          <w:szCs w:val="21"/>
          <w:highlight w:val="none"/>
        </w:rPr>
        <w:t xml:space="preserve"> </w:t>
      </w:r>
      <w:r>
        <w:rPr>
          <w:rFonts w:hAnsi="宋体"/>
          <w:color w:val="auto"/>
          <w:szCs w:val="21"/>
          <w:highlight w:val="none"/>
        </w:rPr>
        <w:t>付款时间</w:t>
      </w:r>
    </w:p>
    <w:p w14:paraId="67E9C92D">
      <w:pPr>
        <w:spacing w:line="360" w:lineRule="auto"/>
        <w:ind w:firstLine="420" w:firstLineChars="200"/>
        <w:rPr>
          <w:color w:val="auto"/>
          <w:szCs w:val="21"/>
          <w:highlight w:val="none"/>
        </w:rPr>
      </w:pPr>
      <w:r>
        <w:rPr>
          <w:rFonts w:hAnsi="宋体"/>
          <w:color w:val="auto"/>
          <w:szCs w:val="21"/>
          <w:highlight w:val="none"/>
        </w:rPr>
        <w:t>除专用合同条款另有约定外，工程进度付款按月支付。</w:t>
      </w:r>
    </w:p>
    <w:p w14:paraId="1FE88892">
      <w:pPr>
        <w:tabs>
          <w:tab w:val="left" w:pos="5670"/>
        </w:tabs>
        <w:spacing w:line="360" w:lineRule="auto"/>
        <w:ind w:firstLine="420" w:firstLineChars="200"/>
        <w:rPr>
          <w:color w:val="auto"/>
          <w:szCs w:val="21"/>
          <w:highlight w:val="none"/>
        </w:rPr>
      </w:pPr>
      <w:r>
        <w:rPr>
          <w:color w:val="auto"/>
          <w:highlight w:val="none"/>
        </w:rPr>
        <w:t>17.3.2</w:t>
      </w:r>
      <w:r>
        <w:rPr>
          <w:color w:val="auto"/>
          <w:szCs w:val="21"/>
          <w:highlight w:val="none"/>
        </w:rPr>
        <w:t xml:space="preserve"> </w:t>
      </w:r>
      <w:r>
        <w:rPr>
          <w:rFonts w:hAnsi="宋体"/>
          <w:color w:val="auto"/>
          <w:szCs w:val="21"/>
          <w:highlight w:val="none"/>
        </w:rPr>
        <w:t>支付分解表</w:t>
      </w:r>
    </w:p>
    <w:p w14:paraId="0D15AF51">
      <w:pPr>
        <w:tabs>
          <w:tab w:val="left" w:pos="5670"/>
        </w:tabs>
        <w:spacing w:line="360" w:lineRule="auto"/>
        <w:ind w:firstLine="420" w:firstLineChars="200"/>
        <w:rPr>
          <w:color w:val="auto"/>
          <w:szCs w:val="21"/>
          <w:highlight w:val="none"/>
        </w:rPr>
      </w:pPr>
      <w:r>
        <w:rPr>
          <w:rFonts w:hAnsi="宋体"/>
          <w:color w:val="auto"/>
          <w:szCs w:val="21"/>
          <w:highlight w:val="none"/>
        </w:rPr>
        <w:t>除专用合同条款另有约定外，承包人应根据价格清单的价格构成、费用性质、计划发生时间和相应工作量等因素，按照以下分类和分解原则，结合第</w:t>
      </w:r>
      <w:r>
        <w:rPr>
          <w:color w:val="auto"/>
          <w:highlight w:val="none"/>
        </w:rPr>
        <w:t>4.12.1</w:t>
      </w:r>
      <w:r>
        <w:rPr>
          <w:rFonts w:hAnsi="宋体"/>
          <w:color w:val="auto"/>
          <w:szCs w:val="21"/>
          <w:highlight w:val="none"/>
        </w:rPr>
        <w:t>项约定的合同进度计划，汇总形成月度支付分解报告。</w:t>
      </w:r>
    </w:p>
    <w:p w14:paraId="43AF0B7A">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）勘察设计费。按照提供勘察设计阶段性成果文件的时间、对应的工作量进行分解。</w:t>
      </w:r>
      <w:r>
        <w:rPr>
          <w:color w:val="auto"/>
          <w:highlight w:val="none"/>
        </w:rPr>
        <w:t xml:space="preserve"> </w:t>
      </w:r>
    </w:p>
    <w:p w14:paraId="5038307B">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）材料和工程设备费。分别按订立采购合同、进场验收合格、安装就位、工程竣工等阶段和专用条款约定的比例进行分解。</w:t>
      </w:r>
    </w:p>
    <w:p w14:paraId="35F3246B">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）技术服务培训费。按照价格清单中的单价，结合第</w:t>
      </w:r>
      <w:r>
        <w:rPr>
          <w:color w:val="auto"/>
          <w:highlight w:val="none"/>
        </w:rPr>
        <w:t>4.12.1</w:t>
      </w:r>
      <w:r>
        <w:rPr>
          <w:rFonts w:hAnsi="宋体"/>
          <w:color w:val="auto"/>
          <w:highlight w:val="none"/>
        </w:rPr>
        <w:t>项约定的合同进度计划对应的工作量进行分解。</w:t>
      </w:r>
    </w:p>
    <w:p w14:paraId="29B8CED0">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）其他工</w:t>
      </w:r>
      <w:r>
        <w:rPr>
          <w:rFonts w:hAnsi="宋体"/>
          <w:color w:val="auto"/>
          <w:szCs w:val="21"/>
          <w:highlight w:val="none"/>
        </w:rPr>
        <w:t>程价款。除第</w:t>
      </w:r>
      <w:r>
        <w:rPr>
          <w:color w:val="auto"/>
          <w:highlight w:val="none"/>
        </w:rPr>
        <w:t>17.1</w:t>
      </w:r>
      <w:r>
        <w:rPr>
          <w:rFonts w:hAnsi="宋体"/>
          <w:color w:val="auto"/>
          <w:szCs w:val="21"/>
          <w:highlight w:val="none"/>
        </w:rPr>
        <w:t>款约定按已完成工程量计量支付的工程价款外，按照价格清单中的价格，结合第</w:t>
      </w:r>
      <w:r>
        <w:rPr>
          <w:color w:val="auto"/>
          <w:highlight w:val="none"/>
        </w:rPr>
        <w:t>4.12.1</w:t>
      </w:r>
      <w:r>
        <w:rPr>
          <w:rFonts w:hAnsi="宋体"/>
          <w:color w:val="auto"/>
          <w:szCs w:val="21"/>
          <w:highlight w:val="none"/>
        </w:rPr>
        <w:t>项约定的合同进度计划拟完成的工程量或者比例进行分解。</w:t>
      </w:r>
    </w:p>
    <w:p w14:paraId="521547BA">
      <w:pPr>
        <w:tabs>
          <w:tab w:val="left" w:pos="5670"/>
        </w:tabs>
        <w:spacing w:line="360" w:lineRule="auto"/>
        <w:ind w:firstLine="420" w:firstLineChars="200"/>
        <w:rPr>
          <w:color w:val="auto"/>
          <w:szCs w:val="21"/>
          <w:highlight w:val="none"/>
        </w:rPr>
      </w:pPr>
      <w:r>
        <w:rPr>
          <w:rFonts w:hAnsi="宋体"/>
          <w:color w:val="auto"/>
          <w:szCs w:val="21"/>
          <w:highlight w:val="none"/>
        </w:rPr>
        <w:t>承包人应当在收到经监理人批复的合同进度计划后</w:t>
      </w:r>
      <w:r>
        <w:rPr>
          <w:color w:val="auto"/>
          <w:szCs w:val="21"/>
          <w:highlight w:val="none"/>
        </w:rPr>
        <w:t>7</w:t>
      </w:r>
      <w:r>
        <w:rPr>
          <w:rFonts w:hAnsi="宋体"/>
          <w:color w:val="auto"/>
          <w:szCs w:val="21"/>
          <w:highlight w:val="none"/>
        </w:rPr>
        <w:t>天内，将支付分解报告以及形成支付分解报告的支持性资料报监理人审批，监理人应当在收到承包人报送的支付分解报告后</w:t>
      </w:r>
      <w:r>
        <w:rPr>
          <w:color w:val="auto"/>
          <w:szCs w:val="21"/>
          <w:highlight w:val="none"/>
        </w:rPr>
        <w:t>7</w:t>
      </w:r>
      <w:r>
        <w:rPr>
          <w:rFonts w:hAnsi="宋体"/>
          <w:color w:val="auto"/>
          <w:szCs w:val="21"/>
          <w:highlight w:val="none"/>
        </w:rPr>
        <w:t>天内给予批复或提出修改意见，经监理人批准的支付分解报告为有合同约束力的支付分解表。合同进度计划进行了修订的，应相应修改支付分解表，并按本目规定报监理人批复。</w:t>
      </w:r>
    </w:p>
    <w:p w14:paraId="48C61C35">
      <w:pPr>
        <w:tabs>
          <w:tab w:val="left" w:pos="5670"/>
        </w:tabs>
        <w:spacing w:line="360" w:lineRule="auto"/>
        <w:ind w:firstLine="420" w:firstLineChars="200"/>
        <w:rPr>
          <w:color w:val="auto"/>
          <w:szCs w:val="21"/>
          <w:highlight w:val="none"/>
        </w:rPr>
      </w:pPr>
      <w:r>
        <w:rPr>
          <w:color w:val="auto"/>
          <w:highlight w:val="none"/>
        </w:rPr>
        <w:t xml:space="preserve">17.3.3 </w:t>
      </w:r>
      <w:r>
        <w:rPr>
          <w:rFonts w:hAnsi="宋体"/>
          <w:color w:val="auto"/>
          <w:szCs w:val="21"/>
          <w:highlight w:val="none"/>
        </w:rPr>
        <w:t>进度付款申请单</w:t>
      </w:r>
    </w:p>
    <w:p w14:paraId="387D1FC3">
      <w:pPr>
        <w:spacing w:line="360" w:lineRule="auto"/>
        <w:ind w:firstLine="420" w:firstLineChars="200"/>
        <w:rPr>
          <w:color w:val="auto"/>
          <w:szCs w:val="21"/>
          <w:highlight w:val="none"/>
        </w:rPr>
      </w:pPr>
      <w:r>
        <w:rPr>
          <w:rFonts w:hAnsi="宋体"/>
          <w:color w:val="auto"/>
          <w:szCs w:val="21"/>
          <w:highlight w:val="none"/>
        </w:rPr>
        <w:t>承包人应在每笔进度款支付前，按监理人批准的格式和专用合同条款约定的份数，向监理人提交进度付款申请单，并附相应的支持性证明文件。除合同另有约定外，进度付款申请单应包括下列内容：</w:t>
      </w:r>
    </w:p>
    <w:p w14:paraId="39C68FDE">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）当期应支付金额总额，以及截至当期期末累计应支付金额总额、已支付的进度付款金额总额；</w:t>
      </w:r>
    </w:p>
    <w:p w14:paraId="49079966">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）当期根据支付分解表应支付金额，以及截至当期期末累计应支付金额；</w:t>
      </w:r>
    </w:p>
    <w:p w14:paraId="518A5971">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）当期根据第</w:t>
      </w:r>
      <w:r>
        <w:rPr>
          <w:color w:val="auto"/>
          <w:highlight w:val="none"/>
        </w:rPr>
        <w:t>17.1</w:t>
      </w:r>
      <w:r>
        <w:rPr>
          <w:rFonts w:hAnsi="宋体"/>
          <w:color w:val="auto"/>
          <w:highlight w:val="none"/>
        </w:rPr>
        <w:t>款约定计量的已实施工程应支付金额，以及截至当期期末累计应支付金额；</w:t>
      </w:r>
    </w:p>
    <w:p w14:paraId="0E03041D">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）当期根据第</w:t>
      </w:r>
      <w:r>
        <w:rPr>
          <w:color w:val="auto"/>
          <w:highlight w:val="none"/>
        </w:rPr>
        <w:t>15</w:t>
      </w:r>
      <w:r>
        <w:rPr>
          <w:rFonts w:hAnsi="宋体"/>
          <w:color w:val="auto"/>
          <w:highlight w:val="none"/>
        </w:rPr>
        <w:t>条应增加和扣减的变更金额，以及截至当期期末累计变更金额；</w:t>
      </w:r>
    </w:p>
    <w:p w14:paraId="04BFDEDC">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）当期根据第</w:t>
      </w:r>
      <w:r>
        <w:rPr>
          <w:color w:val="auto"/>
          <w:highlight w:val="none"/>
        </w:rPr>
        <w:t xml:space="preserve">23 </w:t>
      </w:r>
      <w:r>
        <w:rPr>
          <w:rFonts w:hAnsi="宋体"/>
          <w:color w:val="auto"/>
          <w:highlight w:val="none"/>
        </w:rPr>
        <w:t>条应增加和扣减的索赔金额，以及截至当期期末累计索赔金额；</w:t>
      </w:r>
    </w:p>
    <w:p w14:paraId="7A40C623">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）当期根据第</w:t>
      </w:r>
      <w:r>
        <w:rPr>
          <w:color w:val="auto"/>
          <w:highlight w:val="none"/>
        </w:rPr>
        <w:t xml:space="preserve">17.2 </w:t>
      </w:r>
      <w:r>
        <w:rPr>
          <w:rFonts w:hAnsi="宋体"/>
          <w:color w:val="auto"/>
          <w:highlight w:val="none"/>
        </w:rPr>
        <w:t>款约定应支付的预付款和扣减的返还预付款金额，以及截至当期期末累计返还预付款金额；</w:t>
      </w:r>
    </w:p>
    <w:p w14:paraId="52FD46C4">
      <w:pPr>
        <w:spacing w:line="360" w:lineRule="auto"/>
        <w:ind w:firstLine="420" w:firstLineChars="200"/>
        <w:rPr>
          <w:color w:val="auto"/>
          <w:highlight w:val="none"/>
        </w:rPr>
      </w:pPr>
      <w:r>
        <w:rPr>
          <w:rFonts w:hAnsi="宋体"/>
          <w:color w:val="auto"/>
          <w:highlight w:val="none"/>
        </w:rPr>
        <w:t>（</w:t>
      </w:r>
      <w:r>
        <w:rPr>
          <w:color w:val="auto"/>
          <w:highlight w:val="none"/>
        </w:rPr>
        <w:t>7</w:t>
      </w:r>
      <w:r>
        <w:rPr>
          <w:rFonts w:hAnsi="宋体"/>
          <w:color w:val="auto"/>
          <w:highlight w:val="none"/>
        </w:rPr>
        <w:t>）当期根据第</w:t>
      </w:r>
      <w:r>
        <w:rPr>
          <w:color w:val="auto"/>
          <w:highlight w:val="none"/>
        </w:rPr>
        <w:t xml:space="preserve">17.4.1 </w:t>
      </w:r>
      <w:r>
        <w:rPr>
          <w:rFonts w:hAnsi="宋体"/>
          <w:color w:val="auto"/>
          <w:highlight w:val="none"/>
        </w:rPr>
        <w:t>项约定应扣减的质量保证金金额，以及截至当期期末累计扣减的质量保证金金额；</w:t>
      </w:r>
    </w:p>
    <w:p w14:paraId="097DADC7">
      <w:pPr>
        <w:spacing w:line="360" w:lineRule="auto"/>
        <w:ind w:firstLine="420" w:firstLineChars="200"/>
        <w:rPr>
          <w:color w:val="auto"/>
          <w:szCs w:val="21"/>
          <w:highlight w:val="none"/>
        </w:rPr>
      </w:pPr>
      <w:r>
        <w:rPr>
          <w:rFonts w:hAnsi="宋体"/>
          <w:color w:val="auto"/>
          <w:highlight w:val="none"/>
        </w:rPr>
        <w:t>（</w:t>
      </w:r>
      <w:r>
        <w:rPr>
          <w:color w:val="auto"/>
          <w:highlight w:val="none"/>
        </w:rPr>
        <w:t>8</w:t>
      </w:r>
      <w:r>
        <w:rPr>
          <w:rFonts w:hAnsi="宋体"/>
          <w:color w:val="auto"/>
          <w:highlight w:val="none"/>
        </w:rPr>
        <w:t>）当期根</w:t>
      </w:r>
      <w:r>
        <w:rPr>
          <w:rFonts w:hAnsi="宋体"/>
          <w:color w:val="auto"/>
          <w:szCs w:val="21"/>
          <w:highlight w:val="none"/>
        </w:rPr>
        <w:t>据合同应增加和扣减的其他金额，以及截至当期期末累计增加和扣减的金额。</w:t>
      </w:r>
    </w:p>
    <w:p w14:paraId="5A0F2794">
      <w:pPr>
        <w:spacing w:line="360" w:lineRule="auto"/>
        <w:ind w:firstLine="420" w:firstLineChars="200"/>
        <w:rPr>
          <w:color w:val="auto"/>
          <w:szCs w:val="21"/>
          <w:highlight w:val="none"/>
        </w:rPr>
      </w:pPr>
      <w:r>
        <w:rPr>
          <w:color w:val="auto"/>
          <w:highlight w:val="none"/>
        </w:rPr>
        <w:t>17.3.4</w:t>
      </w:r>
      <w:r>
        <w:rPr>
          <w:color w:val="auto"/>
          <w:szCs w:val="21"/>
          <w:highlight w:val="none"/>
        </w:rPr>
        <w:t xml:space="preserve"> </w:t>
      </w:r>
      <w:r>
        <w:rPr>
          <w:rFonts w:hAnsi="宋体"/>
          <w:color w:val="auto"/>
          <w:szCs w:val="21"/>
          <w:highlight w:val="none"/>
        </w:rPr>
        <w:t>进度付款证书和支付时间</w:t>
      </w:r>
    </w:p>
    <w:p w14:paraId="38944038">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）监理人在收到承包人进度付款申请单以及相应的支持性证明文件后的</w:t>
      </w:r>
      <w:r>
        <w:rPr>
          <w:color w:val="auto"/>
          <w:highlight w:val="none"/>
        </w:rPr>
        <w:t>14</w:t>
      </w:r>
      <w:r>
        <w:rPr>
          <w:rFonts w:hAnsi="宋体"/>
          <w:color w:val="auto"/>
          <w:highlight w:val="none"/>
        </w:rPr>
        <w:t>天内完成审核，提出发包人到期应支付给承包人的金额以及相应的支持性材料，经发包人审批同意后，由监理人向承包人出具经发包人签认的进度付款证书。监理人未能在前述时间完成审核的，视为监理人同意承包人进度付款申请。监理人有权核减承包人未能按照合同要求履行任何工作或义务的相应金额。</w:t>
      </w:r>
    </w:p>
    <w:p w14:paraId="0EDD8DF0">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）发包人最迟应在监理人收到进度付款申请单后的</w:t>
      </w:r>
      <w:r>
        <w:rPr>
          <w:color w:val="auto"/>
          <w:highlight w:val="none"/>
        </w:rPr>
        <w:t xml:space="preserve">28 </w:t>
      </w:r>
      <w:r>
        <w:rPr>
          <w:rFonts w:hAnsi="宋体"/>
          <w:color w:val="auto"/>
          <w:highlight w:val="none"/>
        </w:rPr>
        <w:t>天内，将进度应付款支付给承包人。发包人未能在前述时间内完成审批或不予答复的，视为发包人同意进度付款申请。发包人不按期支付的，按专用合同条款的约定支付逾期付款违约金。</w:t>
      </w:r>
    </w:p>
    <w:p w14:paraId="47585174">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）监理人出具进度付款证书，不应视为监理人已同意、批准或接受了承包人完成的该部分工作。</w:t>
      </w:r>
    </w:p>
    <w:p w14:paraId="19B367B4">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）进度付款</w:t>
      </w:r>
      <w:r>
        <w:rPr>
          <w:rFonts w:hAnsi="宋体"/>
          <w:color w:val="auto"/>
          <w:szCs w:val="21"/>
          <w:highlight w:val="none"/>
        </w:rPr>
        <w:t>涉及政府投资资金的，按照国库集中支付等国家相关规定和专用合同条款的约定执行。</w:t>
      </w:r>
    </w:p>
    <w:p w14:paraId="45D3DC77">
      <w:pPr>
        <w:spacing w:line="360" w:lineRule="auto"/>
        <w:ind w:firstLine="420" w:firstLineChars="200"/>
        <w:rPr>
          <w:color w:val="auto"/>
          <w:szCs w:val="21"/>
          <w:highlight w:val="none"/>
        </w:rPr>
      </w:pPr>
      <w:r>
        <w:rPr>
          <w:color w:val="auto"/>
          <w:highlight w:val="none"/>
        </w:rPr>
        <w:t>17.3.5</w:t>
      </w:r>
      <w:r>
        <w:rPr>
          <w:color w:val="auto"/>
          <w:szCs w:val="21"/>
          <w:highlight w:val="none"/>
        </w:rPr>
        <w:t xml:space="preserve"> </w:t>
      </w:r>
      <w:r>
        <w:rPr>
          <w:rFonts w:hAnsi="宋体"/>
          <w:color w:val="auto"/>
          <w:szCs w:val="21"/>
          <w:highlight w:val="none"/>
        </w:rPr>
        <w:t>工程进度付款的修正</w:t>
      </w:r>
    </w:p>
    <w:p w14:paraId="7DDEFED6">
      <w:pPr>
        <w:spacing w:line="360" w:lineRule="auto"/>
        <w:ind w:firstLine="420" w:firstLineChars="200"/>
        <w:rPr>
          <w:color w:val="auto"/>
          <w:szCs w:val="21"/>
          <w:highlight w:val="none"/>
        </w:rPr>
      </w:pPr>
      <w:r>
        <w:rPr>
          <w:rFonts w:hAnsi="宋体"/>
          <w:color w:val="auto"/>
          <w:szCs w:val="21"/>
          <w:highlight w:val="none"/>
        </w:rPr>
        <w:t>在对以往历次已签发的进度付款证书进行汇总和复核中发现错、漏或重复的，监理人有权予以修正，承包人也有权提出修正申请。经监理人、承包人复核同意的修正，应在本次进度付款中支付或扣除。</w:t>
      </w:r>
    </w:p>
    <w:p w14:paraId="7BD99441">
      <w:pPr>
        <w:pStyle w:val="6"/>
        <w:spacing w:before="159"/>
        <w:rPr>
          <w:color w:val="auto"/>
          <w:highlight w:val="none"/>
        </w:rPr>
      </w:pPr>
      <w:bookmarkStart w:id="2483" w:name="_Toc13049"/>
      <w:bookmarkStart w:id="2484" w:name="_Toc10204"/>
      <w:bookmarkStart w:id="2485" w:name="_Toc18764"/>
      <w:bookmarkStart w:id="2486" w:name="_Toc21876"/>
      <w:bookmarkStart w:id="2487" w:name="_Toc519085503"/>
      <w:bookmarkStart w:id="2488" w:name="_Toc5679"/>
      <w:bookmarkStart w:id="2489" w:name="_Toc300835154"/>
      <w:bookmarkStart w:id="2490" w:name="_Toc28848_WPSOffice_Level2"/>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4</w:t>
      </w:r>
      <w:bookmarkEnd w:id="2483"/>
      <w:bookmarkEnd w:id="2484"/>
      <w:r>
        <w:rPr>
          <w:color w:val="auto"/>
          <w:highlight w:val="none"/>
        </w:rPr>
        <w:t xml:space="preserve"> </w:t>
      </w:r>
      <w:r>
        <w:rPr>
          <w:rStyle w:val="79"/>
          <w:color w:val="auto"/>
          <w:highlight w:val="none"/>
        </w:rPr>
        <w:t>质量保证金</w:t>
      </w:r>
      <w:bookmarkEnd w:id="2485"/>
      <w:bookmarkEnd w:id="2486"/>
      <w:bookmarkEnd w:id="2487"/>
      <w:bookmarkEnd w:id="2488"/>
      <w:bookmarkEnd w:id="2489"/>
      <w:bookmarkEnd w:id="2490"/>
    </w:p>
    <w:p w14:paraId="76A12C60">
      <w:pPr>
        <w:spacing w:line="360" w:lineRule="auto"/>
        <w:ind w:firstLine="420" w:firstLineChars="200"/>
        <w:rPr>
          <w:color w:val="auto"/>
          <w:szCs w:val="21"/>
          <w:highlight w:val="none"/>
        </w:rPr>
      </w:pPr>
      <w:r>
        <w:rPr>
          <w:color w:val="auto"/>
          <w:highlight w:val="none"/>
        </w:rPr>
        <w:t>17.4.1</w:t>
      </w:r>
      <w:r>
        <w:rPr>
          <w:color w:val="auto"/>
          <w:szCs w:val="21"/>
          <w:highlight w:val="none"/>
        </w:rPr>
        <w:t xml:space="preserve"> </w:t>
      </w:r>
      <w:r>
        <w:rPr>
          <w:rFonts w:hAnsi="宋体"/>
          <w:color w:val="auto"/>
          <w:szCs w:val="21"/>
          <w:highlight w:val="none"/>
        </w:rPr>
        <w:t>监理人应从发包人的每笔进度付款中，按专用合同条款的约定扣留质量保证金，直至扣留的质量保证金总额达到专用合同条款约定的金额或比例为止。质量保证金的计算额度不包括预付款的支付、扣回以及价格调整的金额。</w:t>
      </w:r>
    </w:p>
    <w:p w14:paraId="2D3416C2">
      <w:pPr>
        <w:spacing w:line="360" w:lineRule="auto"/>
        <w:ind w:firstLine="420" w:firstLineChars="200"/>
        <w:rPr>
          <w:color w:val="auto"/>
          <w:szCs w:val="21"/>
          <w:highlight w:val="none"/>
        </w:rPr>
      </w:pPr>
      <w:r>
        <w:rPr>
          <w:color w:val="auto"/>
          <w:highlight w:val="none"/>
        </w:rPr>
        <w:t>17.4.2</w:t>
      </w:r>
      <w:r>
        <w:rPr>
          <w:color w:val="auto"/>
          <w:szCs w:val="21"/>
          <w:highlight w:val="none"/>
        </w:rPr>
        <w:t xml:space="preserve"> </w:t>
      </w:r>
      <w:r>
        <w:rPr>
          <w:rFonts w:hAnsi="宋体"/>
          <w:color w:val="auto"/>
          <w:szCs w:val="21"/>
          <w:highlight w:val="none"/>
        </w:rPr>
        <w:t>在第</w:t>
      </w:r>
      <w:r>
        <w:rPr>
          <w:color w:val="auto"/>
          <w:highlight w:val="none"/>
        </w:rPr>
        <w:t>1.1.4.5</w:t>
      </w:r>
      <w:r>
        <w:rPr>
          <w:color w:val="auto"/>
          <w:szCs w:val="21"/>
          <w:highlight w:val="none"/>
        </w:rPr>
        <w:t xml:space="preserve"> </w:t>
      </w:r>
      <w:r>
        <w:rPr>
          <w:rFonts w:hAnsi="宋体"/>
          <w:color w:val="auto"/>
          <w:szCs w:val="21"/>
          <w:highlight w:val="none"/>
        </w:rPr>
        <w:t>目约定的缺陷责任期满时，承包人向发包人申请到期应返还承包人剩余的质量保证金，发包人应在</w:t>
      </w:r>
      <w:r>
        <w:rPr>
          <w:color w:val="auto"/>
          <w:szCs w:val="21"/>
          <w:highlight w:val="none"/>
        </w:rPr>
        <w:t>14</w:t>
      </w:r>
      <w:r>
        <w:rPr>
          <w:rFonts w:hAnsi="宋体"/>
          <w:color w:val="auto"/>
          <w:szCs w:val="21"/>
          <w:highlight w:val="none"/>
        </w:rPr>
        <w:t>天内会同承包人按照合同约定的内容核实承包人是否完成缺陷责任。如无异议，发包人应当在核实后将剩余质量保证金返还承包人。</w:t>
      </w:r>
    </w:p>
    <w:p w14:paraId="400FFB4F">
      <w:pPr>
        <w:spacing w:line="360" w:lineRule="auto"/>
        <w:ind w:firstLine="420" w:firstLineChars="200"/>
        <w:rPr>
          <w:color w:val="auto"/>
          <w:szCs w:val="21"/>
          <w:highlight w:val="none"/>
        </w:rPr>
      </w:pPr>
      <w:r>
        <w:rPr>
          <w:color w:val="auto"/>
          <w:highlight w:val="none"/>
        </w:rPr>
        <w:t>17.4.3</w:t>
      </w:r>
      <w:r>
        <w:rPr>
          <w:color w:val="auto"/>
          <w:szCs w:val="21"/>
          <w:highlight w:val="none"/>
        </w:rPr>
        <w:t xml:space="preserve"> </w:t>
      </w:r>
      <w:r>
        <w:rPr>
          <w:rFonts w:hAnsi="宋体"/>
          <w:color w:val="auto"/>
          <w:szCs w:val="21"/>
          <w:highlight w:val="none"/>
        </w:rPr>
        <w:t>在第</w:t>
      </w:r>
      <w:r>
        <w:rPr>
          <w:color w:val="auto"/>
          <w:highlight w:val="none"/>
        </w:rPr>
        <w:t>1.1.4.5</w:t>
      </w:r>
      <w:r>
        <w:rPr>
          <w:color w:val="auto"/>
          <w:szCs w:val="21"/>
          <w:highlight w:val="none"/>
        </w:rPr>
        <w:t xml:space="preserve"> </w:t>
      </w:r>
      <w:r>
        <w:rPr>
          <w:rFonts w:hAnsi="宋体"/>
          <w:color w:val="auto"/>
          <w:szCs w:val="21"/>
          <w:highlight w:val="none"/>
        </w:rPr>
        <w:t>目约定的缺陷责任期满时，承包人没有完成缺陷责任的，发包人有权扣留与未履行责任剩余工作所需金额相应的质量保证金余额，并有权根据第</w:t>
      </w:r>
      <w:r>
        <w:rPr>
          <w:color w:val="auto"/>
          <w:szCs w:val="21"/>
          <w:highlight w:val="none"/>
        </w:rPr>
        <w:t xml:space="preserve">19.3 </w:t>
      </w:r>
      <w:r>
        <w:rPr>
          <w:rFonts w:hAnsi="宋体"/>
          <w:color w:val="auto"/>
          <w:szCs w:val="21"/>
          <w:highlight w:val="none"/>
        </w:rPr>
        <w:t>款约定要求延长缺陷责任期，直至完成剩余工作为止。</w:t>
      </w:r>
    </w:p>
    <w:p w14:paraId="64F96A9A">
      <w:pPr>
        <w:pStyle w:val="6"/>
        <w:spacing w:before="159"/>
        <w:rPr>
          <w:color w:val="auto"/>
          <w:highlight w:val="none"/>
        </w:rPr>
      </w:pPr>
      <w:bookmarkStart w:id="2491" w:name="_Toc9229"/>
      <w:bookmarkStart w:id="2492" w:name="_Toc28128"/>
      <w:bookmarkStart w:id="2493" w:name="_Toc20391"/>
      <w:bookmarkStart w:id="2494" w:name="_Toc1379"/>
      <w:bookmarkStart w:id="2495" w:name="_Toc519085504"/>
      <w:bookmarkStart w:id="2496" w:name="_Toc16427_WPSOffice_Level2"/>
      <w:bookmarkStart w:id="2497" w:name="_Toc23850"/>
      <w:bookmarkStart w:id="2498" w:name="_Toc300835155"/>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5</w:t>
      </w:r>
      <w:bookmarkEnd w:id="2491"/>
      <w:bookmarkEnd w:id="2492"/>
      <w:r>
        <w:rPr>
          <w:color w:val="auto"/>
          <w:highlight w:val="none"/>
        </w:rPr>
        <w:t xml:space="preserve"> </w:t>
      </w:r>
      <w:r>
        <w:rPr>
          <w:rStyle w:val="79"/>
          <w:color w:val="auto"/>
          <w:highlight w:val="none"/>
        </w:rPr>
        <w:t>竣工结算</w:t>
      </w:r>
      <w:bookmarkEnd w:id="2493"/>
      <w:bookmarkEnd w:id="2494"/>
      <w:bookmarkEnd w:id="2495"/>
      <w:bookmarkEnd w:id="2496"/>
      <w:bookmarkEnd w:id="2497"/>
      <w:bookmarkEnd w:id="2498"/>
    </w:p>
    <w:p w14:paraId="482D14A5">
      <w:pPr>
        <w:spacing w:line="360" w:lineRule="auto"/>
        <w:ind w:firstLine="420" w:firstLineChars="200"/>
        <w:rPr>
          <w:color w:val="auto"/>
          <w:szCs w:val="21"/>
          <w:highlight w:val="none"/>
        </w:rPr>
      </w:pPr>
      <w:r>
        <w:rPr>
          <w:color w:val="auto"/>
          <w:highlight w:val="none"/>
        </w:rPr>
        <w:t>17.5.1</w:t>
      </w:r>
      <w:r>
        <w:rPr>
          <w:color w:val="auto"/>
          <w:szCs w:val="21"/>
          <w:highlight w:val="none"/>
        </w:rPr>
        <w:t xml:space="preserve"> </w:t>
      </w:r>
      <w:r>
        <w:rPr>
          <w:rFonts w:hAnsi="宋体"/>
          <w:color w:val="auto"/>
          <w:szCs w:val="21"/>
          <w:highlight w:val="none"/>
        </w:rPr>
        <w:t>竣工付款申请单</w:t>
      </w:r>
    </w:p>
    <w:p w14:paraId="1F4B4D0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2C04C82E">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）监理人对竣工付款申请单有异议的，有权要求承包人进行修正和提供补充资料。经监理人和承包人协商后，由承包人向</w:t>
      </w:r>
      <w:r>
        <w:rPr>
          <w:rFonts w:hAnsi="宋体"/>
          <w:color w:val="auto"/>
          <w:szCs w:val="21"/>
          <w:highlight w:val="none"/>
        </w:rPr>
        <w:t>监理人提交修正后的竣工付款申请单。</w:t>
      </w:r>
    </w:p>
    <w:p w14:paraId="02CDE423">
      <w:pPr>
        <w:spacing w:line="360" w:lineRule="auto"/>
        <w:ind w:firstLine="420" w:firstLineChars="200"/>
        <w:rPr>
          <w:color w:val="auto"/>
          <w:szCs w:val="21"/>
          <w:highlight w:val="none"/>
        </w:rPr>
      </w:pPr>
      <w:r>
        <w:rPr>
          <w:color w:val="auto"/>
          <w:highlight w:val="none"/>
        </w:rPr>
        <w:t>17.5.2</w:t>
      </w:r>
      <w:r>
        <w:rPr>
          <w:color w:val="auto"/>
          <w:szCs w:val="21"/>
          <w:highlight w:val="none"/>
        </w:rPr>
        <w:t xml:space="preserve"> </w:t>
      </w:r>
      <w:r>
        <w:rPr>
          <w:rFonts w:hAnsi="宋体"/>
          <w:color w:val="auto"/>
          <w:szCs w:val="21"/>
          <w:highlight w:val="none"/>
        </w:rPr>
        <w:t>竣工付款证书及支付时间</w:t>
      </w:r>
    </w:p>
    <w:p w14:paraId="43F59709">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）监理人在收到承包人提交的竣工付款申请单后的</w:t>
      </w:r>
      <w:r>
        <w:rPr>
          <w:color w:val="auto"/>
          <w:highlight w:val="none"/>
        </w:rPr>
        <w:t>14</w:t>
      </w:r>
      <w:r>
        <w:rPr>
          <w:rFonts w:hAnsi="宋体"/>
          <w:color w:val="auto"/>
          <w:highlight w:val="none"/>
        </w:rPr>
        <w:t>天内完成核查，提出发包人到期应支付给承包人的价款送发包人审核并抄送承包人。发包人应在收到后</w:t>
      </w:r>
      <w:r>
        <w:rPr>
          <w:color w:val="auto"/>
          <w:highlight w:val="none"/>
        </w:rPr>
        <w:t>14</w:t>
      </w:r>
      <w:r>
        <w:rPr>
          <w:rFonts w:hAnsi="宋体"/>
          <w:color w:val="auto"/>
          <w:highlight w:val="none"/>
        </w:rPr>
        <w:t>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566603B0">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）发包人应在监理人出具竣工付款证书后的</w:t>
      </w:r>
      <w:r>
        <w:rPr>
          <w:color w:val="auto"/>
          <w:highlight w:val="none"/>
        </w:rPr>
        <w:t xml:space="preserve">14 </w:t>
      </w:r>
      <w:r>
        <w:rPr>
          <w:rFonts w:hAnsi="宋体"/>
          <w:color w:val="auto"/>
          <w:highlight w:val="none"/>
        </w:rPr>
        <w:t>天内，将应支付款支付给承包人。发包人不按期支付的，按第</w:t>
      </w:r>
      <w:r>
        <w:rPr>
          <w:color w:val="auto"/>
          <w:highlight w:val="none"/>
        </w:rPr>
        <w:t>17.3.4</w:t>
      </w:r>
      <w:r>
        <w:rPr>
          <w:rFonts w:hAnsi="宋体"/>
          <w:color w:val="auto"/>
          <w:highlight w:val="none"/>
        </w:rPr>
        <w:t>（</w:t>
      </w:r>
      <w:r>
        <w:rPr>
          <w:color w:val="auto"/>
          <w:highlight w:val="none"/>
        </w:rPr>
        <w:t>2</w:t>
      </w:r>
      <w:r>
        <w:rPr>
          <w:rFonts w:hAnsi="宋体"/>
          <w:color w:val="auto"/>
          <w:highlight w:val="none"/>
        </w:rPr>
        <w:t>）目的约定，将逾期付款违约金支付给承包人。</w:t>
      </w:r>
    </w:p>
    <w:p w14:paraId="4D733157">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）承包人对发包人签认的竣工付款证书有异议的，发包人可出具竣工付款申请单中承包人已同意部分的临时付款证书。存在争议的部分，按第</w:t>
      </w:r>
      <w:r>
        <w:rPr>
          <w:color w:val="auto"/>
          <w:highlight w:val="none"/>
        </w:rPr>
        <w:t>24</w:t>
      </w:r>
      <w:r>
        <w:rPr>
          <w:rFonts w:hAnsi="宋体"/>
          <w:color w:val="auto"/>
          <w:highlight w:val="none"/>
        </w:rPr>
        <w:t>条的约定执行。</w:t>
      </w:r>
    </w:p>
    <w:p w14:paraId="6ABEFBBF">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）竣工付</w:t>
      </w:r>
      <w:r>
        <w:rPr>
          <w:rFonts w:hAnsi="宋体"/>
          <w:color w:val="auto"/>
          <w:szCs w:val="21"/>
          <w:highlight w:val="none"/>
        </w:rPr>
        <w:t>款涉及政府投资资金的，按第</w:t>
      </w:r>
      <w:r>
        <w:rPr>
          <w:color w:val="auto"/>
          <w:highlight w:val="none"/>
        </w:rPr>
        <w:t>17.3.4</w:t>
      </w:r>
      <w:r>
        <w:rPr>
          <w:rFonts w:hAnsi="宋体"/>
          <w:color w:val="auto"/>
          <w:highlight w:val="none"/>
        </w:rPr>
        <w:t>（</w:t>
      </w:r>
      <w:r>
        <w:rPr>
          <w:color w:val="auto"/>
          <w:highlight w:val="none"/>
        </w:rPr>
        <w:t>4</w:t>
      </w:r>
      <w:r>
        <w:rPr>
          <w:rFonts w:hAnsi="宋体"/>
          <w:color w:val="auto"/>
          <w:highlight w:val="none"/>
        </w:rPr>
        <w:t>）</w:t>
      </w:r>
      <w:r>
        <w:rPr>
          <w:rFonts w:hAnsi="宋体"/>
          <w:color w:val="auto"/>
          <w:szCs w:val="21"/>
          <w:highlight w:val="none"/>
        </w:rPr>
        <w:t>目的约定执行。</w:t>
      </w:r>
    </w:p>
    <w:p w14:paraId="52D93852">
      <w:pPr>
        <w:pStyle w:val="6"/>
        <w:spacing w:before="159"/>
        <w:rPr>
          <w:color w:val="auto"/>
          <w:highlight w:val="none"/>
        </w:rPr>
      </w:pPr>
      <w:bookmarkStart w:id="2499" w:name="_Toc28176"/>
      <w:bookmarkStart w:id="2500" w:name="_Toc9774"/>
      <w:bookmarkStart w:id="2501" w:name="_Toc7976_WPSOffice_Level2"/>
      <w:bookmarkStart w:id="2502" w:name="_Toc11986"/>
      <w:bookmarkStart w:id="2503" w:name="_Toc14067"/>
      <w:bookmarkStart w:id="2504" w:name="_Toc519085505"/>
      <w:bookmarkStart w:id="2505" w:name="_Toc300835156"/>
      <w:bookmarkStart w:id="2506" w:name="_Toc7103"/>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6</w:t>
      </w:r>
      <w:bookmarkEnd w:id="2499"/>
      <w:bookmarkEnd w:id="2500"/>
      <w:r>
        <w:rPr>
          <w:color w:val="auto"/>
          <w:highlight w:val="none"/>
        </w:rPr>
        <w:t xml:space="preserve"> </w:t>
      </w:r>
      <w:r>
        <w:rPr>
          <w:rStyle w:val="79"/>
          <w:color w:val="auto"/>
          <w:highlight w:val="none"/>
        </w:rPr>
        <w:t>最终结清</w:t>
      </w:r>
      <w:bookmarkEnd w:id="2501"/>
      <w:bookmarkEnd w:id="2502"/>
      <w:bookmarkEnd w:id="2503"/>
      <w:bookmarkEnd w:id="2504"/>
      <w:bookmarkEnd w:id="2505"/>
      <w:bookmarkEnd w:id="2506"/>
    </w:p>
    <w:p w14:paraId="06A60E98">
      <w:pPr>
        <w:spacing w:line="360" w:lineRule="auto"/>
        <w:ind w:firstLine="420" w:firstLineChars="200"/>
        <w:rPr>
          <w:color w:val="auto"/>
          <w:szCs w:val="21"/>
          <w:highlight w:val="none"/>
        </w:rPr>
      </w:pPr>
      <w:r>
        <w:rPr>
          <w:color w:val="auto"/>
          <w:highlight w:val="none"/>
        </w:rPr>
        <w:t>17.6.1</w:t>
      </w:r>
      <w:r>
        <w:rPr>
          <w:color w:val="auto"/>
          <w:szCs w:val="21"/>
          <w:highlight w:val="none"/>
        </w:rPr>
        <w:t xml:space="preserve"> </w:t>
      </w:r>
      <w:r>
        <w:rPr>
          <w:rFonts w:hAnsi="宋体"/>
          <w:color w:val="auto"/>
          <w:szCs w:val="21"/>
          <w:highlight w:val="none"/>
        </w:rPr>
        <w:t>最终结清申请单</w:t>
      </w:r>
    </w:p>
    <w:p w14:paraId="738192C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）缺陷责任期终止证书签发后，承包人可按专用合同条款约定的份数和期限向监理人提交最终结清申请单，并提供相关证明材料。</w:t>
      </w:r>
    </w:p>
    <w:p w14:paraId="0FA6BC7F">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）发包人对最终结清申请单内容有异议的，有权要求承包人进行修正和提供补充资料，由承包人向监理人提交修正后的</w:t>
      </w:r>
      <w:r>
        <w:rPr>
          <w:rFonts w:hAnsi="宋体"/>
          <w:color w:val="auto"/>
          <w:szCs w:val="21"/>
          <w:highlight w:val="none"/>
        </w:rPr>
        <w:t>最终结清申请单。</w:t>
      </w:r>
    </w:p>
    <w:p w14:paraId="17F87691">
      <w:pPr>
        <w:spacing w:line="360" w:lineRule="auto"/>
        <w:ind w:firstLine="420" w:firstLineChars="200"/>
        <w:rPr>
          <w:color w:val="auto"/>
          <w:szCs w:val="21"/>
          <w:highlight w:val="none"/>
        </w:rPr>
      </w:pPr>
      <w:r>
        <w:rPr>
          <w:color w:val="auto"/>
          <w:highlight w:val="none"/>
        </w:rPr>
        <w:t>17.6.2</w:t>
      </w:r>
      <w:r>
        <w:rPr>
          <w:color w:val="auto"/>
          <w:szCs w:val="21"/>
          <w:highlight w:val="none"/>
        </w:rPr>
        <w:t xml:space="preserve"> </w:t>
      </w:r>
      <w:r>
        <w:rPr>
          <w:rFonts w:hAnsi="宋体"/>
          <w:color w:val="auto"/>
          <w:szCs w:val="21"/>
          <w:highlight w:val="none"/>
        </w:rPr>
        <w:t>最终结清证书和支付时间</w:t>
      </w:r>
    </w:p>
    <w:p w14:paraId="3E94858C">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）监理人收到承包人提交的最终结清申请单后的</w:t>
      </w:r>
      <w:r>
        <w:rPr>
          <w:color w:val="auto"/>
          <w:highlight w:val="none"/>
        </w:rPr>
        <w:t>14</w:t>
      </w:r>
      <w:r>
        <w:rPr>
          <w:rFonts w:hAnsi="宋体"/>
          <w:color w:val="auto"/>
          <w:highlight w:val="none"/>
        </w:rPr>
        <w:t>天内，提出发包人应支付给承包人的价款送发包人审核并抄送承包人。发包人应在收到后</w:t>
      </w:r>
      <w:r>
        <w:rPr>
          <w:color w:val="auto"/>
          <w:highlight w:val="none"/>
        </w:rPr>
        <w:t>14</w:t>
      </w:r>
      <w:r>
        <w:rPr>
          <w:rFonts w:hAnsi="宋体"/>
          <w:color w:val="auto"/>
          <w:highlight w:val="none"/>
        </w:rPr>
        <w:t>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724D6D67">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）发包人应在监理人出具最终结清证书后的</w:t>
      </w:r>
      <w:r>
        <w:rPr>
          <w:color w:val="auto"/>
          <w:highlight w:val="none"/>
        </w:rPr>
        <w:t xml:space="preserve">14 </w:t>
      </w:r>
      <w:r>
        <w:rPr>
          <w:rFonts w:hAnsi="宋体"/>
          <w:color w:val="auto"/>
          <w:highlight w:val="none"/>
        </w:rPr>
        <w:t>天内，将应支付款支付给承包人。</w:t>
      </w:r>
    </w:p>
    <w:p w14:paraId="3B2391BD">
      <w:pPr>
        <w:spacing w:line="360" w:lineRule="auto"/>
        <w:ind w:firstLine="420" w:firstLineChars="200"/>
        <w:rPr>
          <w:color w:val="auto"/>
          <w:highlight w:val="none"/>
        </w:rPr>
      </w:pPr>
      <w:r>
        <w:rPr>
          <w:rFonts w:hAnsi="宋体"/>
          <w:color w:val="auto"/>
          <w:highlight w:val="none"/>
        </w:rPr>
        <w:t>发包人不按期支付的，按第</w:t>
      </w:r>
      <w:r>
        <w:rPr>
          <w:color w:val="auto"/>
          <w:highlight w:val="none"/>
        </w:rPr>
        <w:t>17.3.4</w:t>
      </w:r>
      <w:r>
        <w:rPr>
          <w:rFonts w:hAnsi="宋体"/>
          <w:color w:val="auto"/>
          <w:highlight w:val="none"/>
        </w:rPr>
        <w:t>（</w:t>
      </w:r>
      <w:r>
        <w:rPr>
          <w:color w:val="auto"/>
          <w:highlight w:val="none"/>
        </w:rPr>
        <w:t>2</w:t>
      </w:r>
      <w:r>
        <w:rPr>
          <w:rFonts w:hAnsi="宋体"/>
          <w:color w:val="auto"/>
          <w:highlight w:val="none"/>
        </w:rPr>
        <w:t>）目的约定，将逾期付款违约金支付给承包人。</w:t>
      </w:r>
    </w:p>
    <w:p w14:paraId="5E703799">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）承包人对发包人签认的最终结清证书有异议的，按第</w:t>
      </w:r>
      <w:r>
        <w:rPr>
          <w:color w:val="auto"/>
          <w:highlight w:val="none"/>
        </w:rPr>
        <w:t>24</w:t>
      </w:r>
      <w:r>
        <w:rPr>
          <w:rFonts w:hAnsi="宋体"/>
          <w:color w:val="auto"/>
          <w:highlight w:val="none"/>
        </w:rPr>
        <w:t>条的约定执行。</w:t>
      </w:r>
    </w:p>
    <w:p w14:paraId="4C770D85">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）最终结清</w:t>
      </w:r>
      <w:r>
        <w:rPr>
          <w:rFonts w:hAnsi="宋体"/>
          <w:color w:val="auto"/>
          <w:szCs w:val="21"/>
          <w:highlight w:val="none"/>
        </w:rPr>
        <w:t>付款涉及政府投资资金的，</w:t>
      </w:r>
      <w:r>
        <w:rPr>
          <w:rFonts w:hAnsi="宋体"/>
          <w:color w:val="auto"/>
          <w:highlight w:val="none"/>
        </w:rPr>
        <w:t>按第</w:t>
      </w:r>
      <w:r>
        <w:rPr>
          <w:color w:val="auto"/>
          <w:highlight w:val="none"/>
        </w:rPr>
        <w:t>17.3.4</w:t>
      </w:r>
      <w:r>
        <w:rPr>
          <w:rFonts w:hAnsi="宋体"/>
          <w:color w:val="auto"/>
          <w:highlight w:val="none"/>
        </w:rPr>
        <w:t>（</w:t>
      </w:r>
      <w:r>
        <w:rPr>
          <w:color w:val="auto"/>
          <w:highlight w:val="none"/>
        </w:rPr>
        <w:t>4</w:t>
      </w:r>
      <w:r>
        <w:rPr>
          <w:rFonts w:hAnsi="宋体"/>
          <w:color w:val="auto"/>
          <w:highlight w:val="none"/>
        </w:rPr>
        <w:t>）目的</w:t>
      </w:r>
      <w:r>
        <w:rPr>
          <w:rFonts w:hAnsi="宋体"/>
          <w:color w:val="auto"/>
          <w:szCs w:val="21"/>
          <w:highlight w:val="none"/>
        </w:rPr>
        <w:t>约定执行。</w:t>
      </w:r>
    </w:p>
    <w:p w14:paraId="1770AC6D">
      <w:pPr>
        <w:pStyle w:val="5"/>
        <w:spacing w:before="159"/>
        <w:rPr>
          <w:rFonts w:ascii="Times New Roman" w:hAnsi="Times New Roman" w:eastAsia="宋体"/>
          <w:color w:val="auto"/>
          <w:highlight w:val="none"/>
        </w:rPr>
      </w:pPr>
      <w:bookmarkStart w:id="2507" w:name="_Toc2799"/>
      <w:bookmarkStart w:id="2508" w:name="_Toc300835157"/>
      <w:bookmarkStart w:id="2509" w:name="_Toc20675"/>
      <w:bookmarkStart w:id="2510" w:name="_Toc19739"/>
      <w:bookmarkStart w:id="2511" w:name="_Toc3416"/>
      <w:bookmarkStart w:id="2512" w:name="_Toc519085506"/>
      <w:bookmarkStart w:id="2513" w:name="_Toc26326_WPSOffice_Level1"/>
      <w:bookmarkStart w:id="2514" w:name="_Toc27716"/>
      <w:r>
        <w:rPr>
          <w:rFonts w:ascii="Times New Roman" w:hAnsi="Times New Roman" w:eastAsia="宋体"/>
          <w:color w:val="auto"/>
          <w:highlight w:val="none"/>
        </w:rPr>
        <w:t xml:space="preserve">18. </w:t>
      </w:r>
      <w:r>
        <w:rPr>
          <w:rStyle w:val="65"/>
          <w:color w:val="auto"/>
          <w:highlight w:val="none"/>
        </w:rPr>
        <w:t>竣工试验和竣工验收</w:t>
      </w:r>
      <w:bookmarkEnd w:id="2507"/>
      <w:bookmarkEnd w:id="2508"/>
      <w:bookmarkEnd w:id="2509"/>
      <w:bookmarkEnd w:id="2510"/>
      <w:bookmarkEnd w:id="2511"/>
      <w:bookmarkEnd w:id="2512"/>
      <w:bookmarkEnd w:id="2513"/>
      <w:bookmarkEnd w:id="2514"/>
    </w:p>
    <w:p w14:paraId="5CB0B9D1">
      <w:pPr>
        <w:pStyle w:val="6"/>
        <w:spacing w:before="159"/>
        <w:rPr>
          <w:color w:val="auto"/>
          <w:highlight w:val="none"/>
        </w:rPr>
      </w:pPr>
      <w:bookmarkStart w:id="2515" w:name="_Toc23828"/>
      <w:bookmarkStart w:id="2516" w:name="_Toc23575"/>
      <w:bookmarkStart w:id="2517" w:name="_Toc519085507"/>
      <w:bookmarkStart w:id="2518" w:name="_Toc15119_WPSOffice_Level2"/>
      <w:bookmarkStart w:id="2519" w:name="_Toc5724"/>
      <w:bookmarkStart w:id="2520" w:name="_Toc20254"/>
      <w:bookmarkStart w:id="2521" w:name="_Toc300835158"/>
      <w:bookmarkStart w:id="2522" w:name="_Toc12323"/>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1</w:t>
      </w:r>
      <w:bookmarkEnd w:id="2515"/>
      <w:bookmarkEnd w:id="2516"/>
      <w:r>
        <w:rPr>
          <w:color w:val="auto"/>
          <w:highlight w:val="none"/>
        </w:rPr>
        <w:t xml:space="preserve"> </w:t>
      </w:r>
      <w:r>
        <w:rPr>
          <w:rStyle w:val="79"/>
          <w:color w:val="auto"/>
          <w:highlight w:val="none"/>
        </w:rPr>
        <w:t>竣工试验</w:t>
      </w:r>
      <w:bookmarkEnd w:id="2517"/>
      <w:bookmarkEnd w:id="2518"/>
      <w:bookmarkEnd w:id="2519"/>
      <w:bookmarkEnd w:id="2520"/>
      <w:bookmarkEnd w:id="2521"/>
      <w:bookmarkEnd w:id="2522"/>
      <w:r>
        <w:rPr>
          <w:color w:val="auto"/>
          <w:highlight w:val="none"/>
        </w:rPr>
        <w:t xml:space="preserve">   </w:t>
      </w:r>
    </w:p>
    <w:p w14:paraId="688445AF">
      <w:pPr>
        <w:spacing w:line="360" w:lineRule="auto"/>
        <w:ind w:firstLine="420" w:firstLineChars="200"/>
        <w:rPr>
          <w:color w:val="auto"/>
          <w:highlight w:val="none"/>
        </w:rPr>
      </w:pPr>
      <w:r>
        <w:rPr>
          <w:color w:val="auto"/>
          <w:highlight w:val="none"/>
        </w:rPr>
        <w:t>18.1.1</w:t>
      </w:r>
      <w:r>
        <w:rPr>
          <w:rFonts w:hAnsi="宋体"/>
          <w:color w:val="auto"/>
          <w:szCs w:val="21"/>
          <w:highlight w:val="none"/>
        </w:rPr>
        <w:t>承包人按照</w:t>
      </w:r>
      <w:r>
        <w:rPr>
          <w:rFonts w:hAnsi="宋体"/>
          <w:color w:val="auto"/>
          <w:highlight w:val="none"/>
        </w:rPr>
        <w:t>第</w:t>
      </w:r>
      <w:r>
        <w:rPr>
          <w:color w:val="auto"/>
          <w:highlight w:val="none"/>
        </w:rPr>
        <w:t>5.5</w:t>
      </w:r>
      <w:r>
        <w:rPr>
          <w:rFonts w:hAnsi="宋体"/>
          <w:color w:val="auto"/>
          <w:highlight w:val="none"/>
        </w:rPr>
        <w:t>款和第</w:t>
      </w:r>
      <w:r>
        <w:rPr>
          <w:color w:val="auto"/>
          <w:highlight w:val="none"/>
        </w:rPr>
        <w:t>5.6</w:t>
      </w:r>
      <w:r>
        <w:rPr>
          <w:rFonts w:hAnsi="宋体"/>
          <w:color w:val="auto"/>
          <w:highlight w:val="none"/>
        </w:rPr>
        <w:t>款提交文件后，进行竣工试验。</w:t>
      </w:r>
    </w:p>
    <w:p w14:paraId="321694C3">
      <w:pPr>
        <w:spacing w:line="360" w:lineRule="auto"/>
        <w:ind w:firstLine="420" w:firstLineChars="200"/>
        <w:rPr>
          <w:color w:val="auto"/>
          <w:szCs w:val="21"/>
          <w:highlight w:val="none"/>
        </w:rPr>
      </w:pPr>
      <w:r>
        <w:rPr>
          <w:color w:val="auto"/>
          <w:highlight w:val="none"/>
        </w:rPr>
        <w:t>18.1.2</w:t>
      </w:r>
      <w:r>
        <w:rPr>
          <w:rFonts w:hAnsi="宋体"/>
          <w:color w:val="auto"/>
          <w:highlight w:val="none"/>
        </w:rPr>
        <w:t>承包人应提前</w:t>
      </w:r>
      <w:r>
        <w:rPr>
          <w:color w:val="auto"/>
          <w:highlight w:val="none"/>
        </w:rPr>
        <w:t>21</w:t>
      </w:r>
      <w:r>
        <w:rPr>
          <w:rFonts w:hAnsi="宋体"/>
          <w:color w:val="auto"/>
          <w:highlight w:val="none"/>
        </w:rPr>
        <w:t>天将可以开始进</w:t>
      </w:r>
      <w:r>
        <w:rPr>
          <w:rFonts w:hAnsi="宋体"/>
          <w:color w:val="auto"/>
          <w:szCs w:val="21"/>
          <w:highlight w:val="none"/>
        </w:rPr>
        <w:t>行竣工试验的日期通知监理人，监理人应在该日期后</w:t>
      </w:r>
      <w:r>
        <w:rPr>
          <w:color w:val="auto"/>
          <w:szCs w:val="21"/>
          <w:highlight w:val="none"/>
        </w:rPr>
        <w:t>14</w:t>
      </w:r>
      <w:r>
        <w:rPr>
          <w:rFonts w:hAnsi="宋体"/>
          <w:color w:val="auto"/>
          <w:szCs w:val="21"/>
          <w:highlight w:val="none"/>
        </w:rPr>
        <w:t>天内，确定竣工试验具体时间。除专用合同条款中另有约定外，竣工试验应按下述顺序进行：</w:t>
      </w:r>
    </w:p>
    <w:p w14:paraId="31CB4A68">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）第一阶段，承包人进行适当的检查和功能性试验，保证每一项工程设备都满足合同要求，并能安全地进入下一阶段试验</w:t>
      </w:r>
      <w:r>
        <w:rPr>
          <w:color w:val="auto"/>
          <w:highlight w:val="none"/>
        </w:rPr>
        <w:t>;</w:t>
      </w:r>
    </w:p>
    <w:p w14:paraId="1D26BE8B">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）第二阶段，承包人进行试验，保证工程或区段工程满足合同要求，在所有可利用的操作条件下安全运行；</w:t>
      </w:r>
    </w:p>
    <w:p w14:paraId="62D9AFB0">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）第三阶段</w:t>
      </w:r>
      <w:r>
        <w:rPr>
          <w:rFonts w:hAnsi="宋体"/>
          <w:color w:val="auto"/>
          <w:szCs w:val="21"/>
          <w:highlight w:val="none"/>
        </w:rPr>
        <w:t>，当工</w:t>
      </w:r>
      <w:r>
        <w:rPr>
          <w:rFonts w:hAnsi="宋体"/>
          <w:color w:val="auto"/>
          <w:highlight w:val="none"/>
        </w:rPr>
        <w:t>程能安全运行时，承包人应通知监理人，可以进行其他竣工试验，包括各种性能测试，以证明工程符合发包人要求中列明的性能保证指标。</w:t>
      </w:r>
    </w:p>
    <w:p w14:paraId="175B8167">
      <w:pPr>
        <w:spacing w:line="360" w:lineRule="auto"/>
        <w:ind w:firstLine="420" w:firstLineChars="200"/>
        <w:rPr>
          <w:color w:val="auto"/>
          <w:highlight w:val="none"/>
        </w:rPr>
      </w:pPr>
      <w:r>
        <w:rPr>
          <w:color w:val="auto"/>
          <w:highlight w:val="none"/>
        </w:rPr>
        <w:t xml:space="preserve">18.1.3 </w:t>
      </w:r>
      <w:r>
        <w:rPr>
          <w:rFonts w:hAnsi="宋体"/>
          <w:color w:val="auto"/>
          <w:highlight w:val="none"/>
        </w:rPr>
        <w:t>承包人应按合同约定进行工程及工程设备试运行。试运行所需人员、设备、材料、燃料、电力、消耗品、工具等必要的条件以及试运行费用等由专用合同条款规定。</w:t>
      </w:r>
    </w:p>
    <w:p w14:paraId="65C8D736">
      <w:pPr>
        <w:spacing w:line="360" w:lineRule="auto"/>
        <w:ind w:firstLine="420" w:firstLineChars="200"/>
        <w:rPr>
          <w:color w:val="auto"/>
          <w:highlight w:val="none"/>
        </w:rPr>
      </w:pPr>
      <w:r>
        <w:rPr>
          <w:color w:val="auto"/>
          <w:highlight w:val="none"/>
        </w:rPr>
        <w:t>18.1.4</w:t>
      </w:r>
      <w:r>
        <w:rPr>
          <w:color w:val="auto"/>
          <w:szCs w:val="21"/>
          <w:highlight w:val="none"/>
        </w:rPr>
        <w:t xml:space="preserve"> </w:t>
      </w:r>
      <w:r>
        <w:rPr>
          <w:rFonts w:hAnsi="宋体"/>
          <w:color w:val="auto"/>
          <w:szCs w:val="21"/>
          <w:highlight w:val="none"/>
        </w:rPr>
        <w:t>某项竣工试验未能通过的，承包人应按照监理人的指示限期改正，并承担合同约定的相应责任。</w:t>
      </w:r>
    </w:p>
    <w:p w14:paraId="5FCFE138">
      <w:pPr>
        <w:pStyle w:val="6"/>
        <w:spacing w:before="159"/>
        <w:rPr>
          <w:color w:val="auto"/>
          <w:highlight w:val="none"/>
        </w:rPr>
      </w:pPr>
      <w:bookmarkStart w:id="2523" w:name="_Toc16587"/>
      <w:bookmarkStart w:id="2524" w:name="_Toc16467"/>
      <w:bookmarkStart w:id="2525" w:name="_Toc519085508"/>
      <w:bookmarkStart w:id="2526" w:name="_Toc24749"/>
      <w:bookmarkStart w:id="2527" w:name="_Toc28941_WPSOffice_Level2"/>
      <w:bookmarkStart w:id="2528" w:name="_Toc300835159"/>
      <w:bookmarkStart w:id="2529" w:name="_Toc438"/>
      <w:bookmarkStart w:id="2530" w:name="_Toc10845"/>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2</w:t>
      </w:r>
      <w:bookmarkEnd w:id="2523"/>
      <w:bookmarkEnd w:id="2524"/>
      <w:r>
        <w:rPr>
          <w:color w:val="auto"/>
          <w:highlight w:val="none"/>
        </w:rPr>
        <w:t xml:space="preserve"> </w:t>
      </w:r>
      <w:r>
        <w:rPr>
          <w:rStyle w:val="79"/>
          <w:color w:val="auto"/>
          <w:highlight w:val="none"/>
        </w:rPr>
        <w:t>竣工验收申请报告</w:t>
      </w:r>
      <w:bookmarkEnd w:id="2525"/>
      <w:bookmarkEnd w:id="2526"/>
      <w:bookmarkEnd w:id="2527"/>
      <w:bookmarkEnd w:id="2528"/>
      <w:bookmarkEnd w:id="2529"/>
      <w:bookmarkEnd w:id="2530"/>
    </w:p>
    <w:p w14:paraId="704593BD">
      <w:pPr>
        <w:spacing w:line="360" w:lineRule="auto"/>
        <w:ind w:firstLine="420" w:firstLineChars="200"/>
        <w:rPr>
          <w:color w:val="auto"/>
          <w:highlight w:val="none"/>
        </w:rPr>
      </w:pPr>
      <w:r>
        <w:rPr>
          <w:rFonts w:hAnsi="宋体"/>
          <w:color w:val="auto"/>
          <w:highlight w:val="none"/>
        </w:rPr>
        <w:t>当工程具备以下条件时，承包人即可向监理人报送竣工验收申请报告：</w:t>
      </w:r>
    </w:p>
    <w:p w14:paraId="14D4F810">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）除监理人同意列入缺陷责任期内完成的尾工（甩项）工程和缺陷修补工作外，合同范围内的全部区段工程以及有关工作，包括合同要求的试验和竣工试验均已完成，并符合合同要求；</w:t>
      </w:r>
    </w:p>
    <w:p w14:paraId="6D3A9D75">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）已按合同约定的内容和份数备齐了符合要求的竣工文件；</w:t>
      </w:r>
    </w:p>
    <w:p w14:paraId="6131E01F">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）已按监理人的要求编制了在缺陷责任期内完成的尾工（甩项）工程和缺陷修补工作清单以及相应施工计划；</w:t>
      </w:r>
    </w:p>
    <w:p w14:paraId="0A0CA31F">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）监理人要求在竣工验收前应完成的其他工作；</w:t>
      </w:r>
    </w:p>
    <w:p w14:paraId="6784B2D3">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）监理人要求提交的竣工验收资料清单。</w:t>
      </w:r>
    </w:p>
    <w:p w14:paraId="3BFC3DA1">
      <w:pPr>
        <w:pStyle w:val="6"/>
        <w:spacing w:before="159"/>
        <w:rPr>
          <w:color w:val="auto"/>
          <w:highlight w:val="none"/>
        </w:rPr>
      </w:pPr>
      <w:bookmarkStart w:id="2531" w:name="_Toc18151"/>
      <w:bookmarkStart w:id="2532" w:name="_Toc19891"/>
      <w:bookmarkStart w:id="2533" w:name="_Toc17742"/>
      <w:bookmarkStart w:id="2534" w:name="_Toc10397"/>
      <w:bookmarkStart w:id="2535" w:name="_Toc300835160"/>
      <w:bookmarkStart w:id="2536" w:name="_Toc519085509"/>
      <w:bookmarkStart w:id="2537" w:name="_Toc4085"/>
      <w:bookmarkStart w:id="2538" w:name="_Toc22983_WPSOffice_Level2"/>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3</w:t>
      </w:r>
      <w:bookmarkEnd w:id="2531"/>
      <w:bookmarkEnd w:id="2532"/>
      <w:r>
        <w:rPr>
          <w:color w:val="auto"/>
          <w:highlight w:val="none"/>
        </w:rPr>
        <w:t xml:space="preserve"> </w:t>
      </w:r>
      <w:r>
        <w:rPr>
          <w:rStyle w:val="79"/>
          <w:color w:val="auto"/>
          <w:highlight w:val="none"/>
        </w:rPr>
        <w:t>竣工验收</w:t>
      </w:r>
      <w:bookmarkEnd w:id="2533"/>
      <w:bookmarkEnd w:id="2534"/>
      <w:bookmarkEnd w:id="2535"/>
      <w:bookmarkEnd w:id="2536"/>
      <w:bookmarkEnd w:id="2537"/>
      <w:bookmarkEnd w:id="2538"/>
    </w:p>
    <w:p w14:paraId="40B2F8DC">
      <w:pPr>
        <w:spacing w:line="360" w:lineRule="auto"/>
        <w:ind w:firstLine="420" w:firstLineChars="200"/>
        <w:rPr>
          <w:color w:val="auto"/>
          <w:szCs w:val="21"/>
          <w:highlight w:val="none"/>
        </w:rPr>
      </w:pPr>
      <w:r>
        <w:rPr>
          <w:rFonts w:hAnsi="宋体"/>
          <w:color w:val="auto"/>
          <w:szCs w:val="21"/>
          <w:highlight w:val="none"/>
        </w:rPr>
        <w:t>监理人收到承包人按第</w:t>
      </w:r>
      <w:r>
        <w:rPr>
          <w:color w:val="auto"/>
          <w:highlight w:val="none"/>
        </w:rPr>
        <w:t>18.2</w:t>
      </w:r>
      <w:r>
        <w:rPr>
          <w:color w:val="auto"/>
          <w:szCs w:val="21"/>
          <w:highlight w:val="none"/>
        </w:rPr>
        <w:t xml:space="preserve"> </w:t>
      </w:r>
      <w:r>
        <w:rPr>
          <w:rFonts w:hAnsi="宋体"/>
          <w:color w:val="auto"/>
          <w:szCs w:val="21"/>
          <w:highlight w:val="none"/>
        </w:rPr>
        <w:t>款约定提交的竣工验收申请报告后，应审查申请报告的各项内容，并按以下不同情况进行处理。</w:t>
      </w:r>
    </w:p>
    <w:p w14:paraId="53F80FA1">
      <w:pPr>
        <w:spacing w:line="360" w:lineRule="auto"/>
        <w:ind w:firstLine="420" w:firstLineChars="200"/>
        <w:rPr>
          <w:color w:val="auto"/>
          <w:szCs w:val="21"/>
          <w:highlight w:val="none"/>
        </w:rPr>
      </w:pPr>
      <w:r>
        <w:rPr>
          <w:color w:val="auto"/>
          <w:highlight w:val="none"/>
        </w:rPr>
        <w:t>18.3.1</w:t>
      </w:r>
      <w:r>
        <w:rPr>
          <w:color w:val="auto"/>
          <w:szCs w:val="21"/>
          <w:highlight w:val="none"/>
        </w:rPr>
        <w:t xml:space="preserve"> </w:t>
      </w:r>
      <w:r>
        <w:rPr>
          <w:rFonts w:hAnsi="宋体"/>
          <w:color w:val="auto"/>
          <w:szCs w:val="21"/>
          <w:highlight w:val="none"/>
        </w:rPr>
        <w:t>监理人审查后认为尚不具备竣工验收条件的，应在收到竣工验收申请报告后的</w:t>
      </w:r>
      <w:r>
        <w:rPr>
          <w:color w:val="auto"/>
          <w:szCs w:val="21"/>
          <w:highlight w:val="none"/>
        </w:rPr>
        <w:t>28</w:t>
      </w:r>
      <w:r>
        <w:rPr>
          <w:rFonts w:hAnsi="宋体"/>
          <w:color w:val="auto"/>
          <w:szCs w:val="21"/>
          <w:highlight w:val="none"/>
        </w:rPr>
        <w:t>天内通知承包人，指出在颁发接收证书前承包人还需进行的工作内容。承包人完成监理人通知的全部工作内容后，应再次提交竣工验收申请报告，直至监理人同意为止。监理人收到竣工验收申请报告后</w:t>
      </w:r>
      <w:r>
        <w:rPr>
          <w:color w:val="auto"/>
          <w:szCs w:val="21"/>
          <w:highlight w:val="none"/>
        </w:rPr>
        <w:t>28</w:t>
      </w:r>
      <w:r>
        <w:rPr>
          <w:rFonts w:hAnsi="宋体"/>
          <w:color w:val="auto"/>
          <w:szCs w:val="21"/>
          <w:highlight w:val="none"/>
        </w:rPr>
        <w:t>天内不予答复的，视为同意承包人的竣工验收申请，并应在收到该竣工验收申请报告后</w:t>
      </w:r>
      <w:r>
        <w:rPr>
          <w:color w:val="auto"/>
          <w:szCs w:val="21"/>
          <w:highlight w:val="none"/>
        </w:rPr>
        <w:t>28</w:t>
      </w:r>
      <w:r>
        <w:rPr>
          <w:rFonts w:hAnsi="宋体"/>
          <w:color w:val="auto"/>
          <w:szCs w:val="21"/>
          <w:highlight w:val="none"/>
        </w:rPr>
        <w:t>天内提请发包人进行竣工验收。</w:t>
      </w:r>
    </w:p>
    <w:p w14:paraId="702338AC">
      <w:pPr>
        <w:spacing w:line="360" w:lineRule="auto"/>
        <w:ind w:firstLine="420" w:firstLineChars="200"/>
        <w:rPr>
          <w:color w:val="auto"/>
          <w:szCs w:val="21"/>
          <w:highlight w:val="none"/>
        </w:rPr>
      </w:pPr>
      <w:r>
        <w:rPr>
          <w:color w:val="auto"/>
          <w:highlight w:val="none"/>
        </w:rPr>
        <w:t xml:space="preserve">18.3.2 </w:t>
      </w:r>
      <w:r>
        <w:rPr>
          <w:rFonts w:hAnsi="宋体"/>
          <w:color w:val="auto"/>
          <w:szCs w:val="21"/>
          <w:highlight w:val="none"/>
        </w:rPr>
        <w:t>监理人同意承包人提交的竣工验收申请报告的，应在收到该竣工验收申请报告后的</w:t>
      </w:r>
      <w:r>
        <w:rPr>
          <w:color w:val="auto"/>
          <w:szCs w:val="21"/>
          <w:highlight w:val="none"/>
        </w:rPr>
        <w:t>28</w:t>
      </w:r>
      <w:r>
        <w:rPr>
          <w:rFonts w:hAnsi="宋体"/>
          <w:color w:val="auto"/>
          <w:szCs w:val="21"/>
          <w:highlight w:val="none"/>
        </w:rPr>
        <w:t>天内提请发包人进行工程验收。</w:t>
      </w:r>
    </w:p>
    <w:p w14:paraId="1382C24B">
      <w:pPr>
        <w:spacing w:line="360" w:lineRule="auto"/>
        <w:ind w:firstLine="420" w:firstLineChars="200"/>
        <w:rPr>
          <w:color w:val="auto"/>
          <w:szCs w:val="21"/>
          <w:highlight w:val="none"/>
        </w:rPr>
      </w:pPr>
      <w:r>
        <w:rPr>
          <w:color w:val="auto"/>
          <w:highlight w:val="none"/>
        </w:rPr>
        <w:t>18.3.3</w:t>
      </w:r>
      <w:r>
        <w:rPr>
          <w:color w:val="auto"/>
          <w:szCs w:val="21"/>
          <w:highlight w:val="none"/>
        </w:rPr>
        <w:t xml:space="preserve"> </w:t>
      </w:r>
      <w:r>
        <w:rPr>
          <w:rFonts w:hAnsi="宋体"/>
          <w:color w:val="auto"/>
          <w:szCs w:val="21"/>
          <w:highlight w:val="none"/>
        </w:rPr>
        <w:t>发包人经过验收后同意接受工程的，应在监理人收到竣工验收申请报告后的</w:t>
      </w:r>
      <w:r>
        <w:rPr>
          <w:color w:val="auto"/>
          <w:szCs w:val="21"/>
          <w:highlight w:val="none"/>
        </w:rPr>
        <w:t>56</w:t>
      </w:r>
      <w:r>
        <w:rPr>
          <w:rFonts w:hAnsi="宋体"/>
          <w:color w:val="auto"/>
          <w:szCs w:val="21"/>
          <w:highlight w:val="none"/>
        </w:rPr>
        <w:t>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5593CE85">
      <w:pPr>
        <w:spacing w:line="360" w:lineRule="auto"/>
        <w:ind w:firstLine="420" w:firstLineChars="200"/>
        <w:rPr>
          <w:color w:val="auto"/>
          <w:szCs w:val="21"/>
          <w:highlight w:val="none"/>
        </w:rPr>
      </w:pPr>
      <w:r>
        <w:rPr>
          <w:color w:val="auto"/>
          <w:highlight w:val="none"/>
        </w:rPr>
        <w:t>18.3.4</w:t>
      </w:r>
      <w:r>
        <w:rPr>
          <w:color w:val="auto"/>
          <w:szCs w:val="21"/>
          <w:highlight w:val="none"/>
        </w:rPr>
        <w:t xml:space="preserve"> </w:t>
      </w:r>
      <w:r>
        <w:rPr>
          <w:rFonts w:hAnsi="宋体"/>
          <w:color w:val="auto"/>
          <w:szCs w:val="21"/>
          <w:highlight w:val="none"/>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w:t>
      </w:r>
      <w:r>
        <w:rPr>
          <w:rFonts w:hAnsi="宋体"/>
          <w:color w:val="auto"/>
          <w:highlight w:val="none"/>
        </w:rPr>
        <w:t>告，按第</w:t>
      </w:r>
      <w:r>
        <w:rPr>
          <w:color w:val="auto"/>
          <w:highlight w:val="none"/>
        </w:rPr>
        <w:t xml:space="preserve">18.3.1 </w:t>
      </w:r>
      <w:r>
        <w:rPr>
          <w:rFonts w:hAnsi="宋体"/>
          <w:color w:val="auto"/>
          <w:highlight w:val="none"/>
        </w:rPr>
        <w:t>项、第</w:t>
      </w:r>
      <w:r>
        <w:rPr>
          <w:color w:val="auto"/>
          <w:highlight w:val="none"/>
        </w:rPr>
        <w:t xml:space="preserve">18.3.2 </w:t>
      </w:r>
      <w:r>
        <w:rPr>
          <w:rFonts w:hAnsi="宋体"/>
          <w:color w:val="auto"/>
          <w:highlight w:val="none"/>
        </w:rPr>
        <w:t>项和第</w:t>
      </w:r>
      <w:r>
        <w:rPr>
          <w:color w:val="auto"/>
          <w:highlight w:val="none"/>
        </w:rPr>
        <w:t xml:space="preserve">18.3.3 </w:t>
      </w:r>
      <w:r>
        <w:rPr>
          <w:rFonts w:hAnsi="宋体"/>
          <w:color w:val="auto"/>
          <w:highlight w:val="none"/>
        </w:rPr>
        <w:t>项的约定</w:t>
      </w:r>
      <w:r>
        <w:rPr>
          <w:rFonts w:hAnsi="宋体"/>
          <w:color w:val="auto"/>
          <w:szCs w:val="21"/>
          <w:highlight w:val="none"/>
        </w:rPr>
        <w:t>进行。</w:t>
      </w:r>
    </w:p>
    <w:p w14:paraId="4B94E042">
      <w:pPr>
        <w:spacing w:line="360" w:lineRule="auto"/>
        <w:ind w:firstLine="420" w:firstLineChars="200"/>
        <w:rPr>
          <w:color w:val="auto"/>
          <w:szCs w:val="21"/>
          <w:highlight w:val="none"/>
        </w:rPr>
      </w:pPr>
      <w:r>
        <w:rPr>
          <w:color w:val="auto"/>
          <w:highlight w:val="none"/>
        </w:rPr>
        <w:t>18.3.5</w:t>
      </w:r>
      <w:r>
        <w:rPr>
          <w:color w:val="auto"/>
          <w:szCs w:val="21"/>
          <w:highlight w:val="none"/>
        </w:rPr>
        <w:t xml:space="preserve"> </w:t>
      </w:r>
      <w:r>
        <w:rPr>
          <w:rFonts w:hAnsi="宋体"/>
          <w:color w:val="auto"/>
          <w:szCs w:val="21"/>
          <w:highlight w:val="none"/>
        </w:rPr>
        <w:t>除专用合同条款另有约定外，经验收合格工程的实际竣工日期，以提交竣工验收申请报告的日期为准，并在工程接收证书中写明。</w:t>
      </w:r>
    </w:p>
    <w:p w14:paraId="0BD33576">
      <w:pPr>
        <w:spacing w:line="360" w:lineRule="auto"/>
        <w:ind w:firstLine="420" w:firstLineChars="200"/>
        <w:rPr>
          <w:color w:val="auto"/>
          <w:szCs w:val="21"/>
          <w:highlight w:val="none"/>
        </w:rPr>
      </w:pPr>
      <w:r>
        <w:rPr>
          <w:color w:val="auto"/>
          <w:highlight w:val="none"/>
        </w:rPr>
        <w:t>18.3.6</w:t>
      </w:r>
      <w:r>
        <w:rPr>
          <w:color w:val="auto"/>
          <w:szCs w:val="21"/>
          <w:highlight w:val="none"/>
        </w:rPr>
        <w:t xml:space="preserve"> </w:t>
      </w:r>
      <w:r>
        <w:rPr>
          <w:rFonts w:hAnsi="宋体"/>
          <w:color w:val="auto"/>
          <w:szCs w:val="21"/>
          <w:highlight w:val="none"/>
        </w:rPr>
        <w:t>发包人在收到承包人竣工验收申请报告</w:t>
      </w:r>
      <w:r>
        <w:rPr>
          <w:color w:val="auto"/>
          <w:szCs w:val="21"/>
          <w:highlight w:val="none"/>
        </w:rPr>
        <w:t xml:space="preserve">56 </w:t>
      </w:r>
      <w:r>
        <w:rPr>
          <w:rFonts w:hAnsi="宋体"/>
          <w:color w:val="auto"/>
          <w:szCs w:val="21"/>
          <w:highlight w:val="none"/>
        </w:rPr>
        <w:t>天后未进行验收的，视为验收合格，实际竣工日期以提交竣工验收申请报告的日期为准，但发包人由于不可抗力不能进行验收的除外。</w:t>
      </w:r>
    </w:p>
    <w:p w14:paraId="0C9E96D1">
      <w:pPr>
        <w:pStyle w:val="6"/>
        <w:spacing w:before="159"/>
        <w:rPr>
          <w:color w:val="auto"/>
          <w:highlight w:val="none"/>
        </w:rPr>
      </w:pPr>
      <w:bookmarkStart w:id="2539" w:name="_Toc20773"/>
      <w:bookmarkStart w:id="2540" w:name="_Toc7264"/>
      <w:bookmarkStart w:id="2541" w:name="_Toc300835161"/>
      <w:bookmarkStart w:id="2542" w:name="_Toc28831"/>
      <w:bookmarkStart w:id="2543" w:name="_Toc26837"/>
      <w:bookmarkStart w:id="2544" w:name="_Toc3270"/>
      <w:bookmarkStart w:id="2545" w:name="_Toc519085510"/>
      <w:bookmarkStart w:id="2546" w:name="_Toc22377_WPSOffice_Level2"/>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4</w:t>
      </w:r>
      <w:bookmarkEnd w:id="2539"/>
      <w:bookmarkEnd w:id="2540"/>
      <w:r>
        <w:rPr>
          <w:color w:val="auto"/>
          <w:highlight w:val="none"/>
        </w:rPr>
        <w:t xml:space="preserve"> </w:t>
      </w:r>
      <w:r>
        <w:rPr>
          <w:rStyle w:val="79"/>
          <w:color w:val="auto"/>
          <w:highlight w:val="none"/>
        </w:rPr>
        <w:t>国家验收</w:t>
      </w:r>
      <w:bookmarkEnd w:id="2541"/>
      <w:bookmarkEnd w:id="2542"/>
      <w:bookmarkEnd w:id="2543"/>
      <w:bookmarkEnd w:id="2544"/>
      <w:bookmarkEnd w:id="2545"/>
      <w:bookmarkEnd w:id="2546"/>
    </w:p>
    <w:p w14:paraId="2F5B3B83">
      <w:pPr>
        <w:spacing w:line="360" w:lineRule="auto"/>
        <w:ind w:firstLine="420" w:firstLineChars="200"/>
        <w:rPr>
          <w:color w:val="auto"/>
          <w:szCs w:val="21"/>
          <w:highlight w:val="none"/>
        </w:rPr>
      </w:pPr>
      <w:r>
        <w:rPr>
          <w:rFonts w:hAnsi="宋体"/>
          <w:color w:val="auto"/>
          <w:szCs w:val="21"/>
          <w:highlight w:val="none"/>
        </w:rPr>
        <w:t>需要进行国家验收的，竣工验收是国家验收的一部分。竣工验收所采用的各项验收和评定标准应符合国家验收标准。发包人和承包人为竣工验收提供的各项竣工验收资料应符合国家验收的要求。</w:t>
      </w:r>
    </w:p>
    <w:p w14:paraId="441D8A36">
      <w:pPr>
        <w:pStyle w:val="6"/>
        <w:spacing w:before="159"/>
        <w:rPr>
          <w:color w:val="auto"/>
          <w:highlight w:val="none"/>
        </w:rPr>
      </w:pPr>
      <w:bookmarkStart w:id="2547" w:name="_Toc4426"/>
      <w:bookmarkStart w:id="2548" w:name="_Toc5949"/>
      <w:bookmarkStart w:id="2549" w:name="_Toc300835162"/>
      <w:bookmarkStart w:id="2550" w:name="_Toc28483_WPSOffice_Level2"/>
      <w:bookmarkStart w:id="2551" w:name="_Toc30330"/>
      <w:bookmarkStart w:id="2552" w:name="_Toc519085511"/>
      <w:bookmarkStart w:id="2553" w:name="_Toc28476"/>
      <w:bookmarkStart w:id="2554" w:name="_Toc5720"/>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5</w:t>
      </w:r>
      <w:bookmarkEnd w:id="2547"/>
      <w:bookmarkEnd w:id="2548"/>
      <w:r>
        <w:rPr>
          <w:color w:val="auto"/>
          <w:highlight w:val="none"/>
        </w:rPr>
        <w:t xml:space="preserve"> </w:t>
      </w:r>
      <w:r>
        <w:rPr>
          <w:rStyle w:val="79"/>
          <w:color w:val="auto"/>
          <w:highlight w:val="none"/>
        </w:rPr>
        <w:t>区段工程验收</w:t>
      </w:r>
      <w:bookmarkEnd w:id="2549"/>
      <w:bookmarkEnd w:id="2550"/>
      <w:bookmarkEnd w:id="2551"/>
      <w:bookmarkEnd w:id="2552"/>
      <w:bookmarkEnd w:id="2553"/>
      <w:bookmarkEnd w:id="2554"/>
    </w:p>
    <w:p w14:paraId="0F53C8F2">
      <w:pPr>
        <w:spacing w:line="360" w:lineRule="auto"/>
        <w:ind w:firstLine="420" w:firstLineChars="200"/>
        <w:rPr>
          <w:color w:val="auto"/>
          <w:szCs w:val="21"/>
          <w:highlight w:val="none"/>
        </w:rPr>
      </w:pPr>
      <w:r>
        <w:rPr>
          <w:color w:val="auto"/>
          <w:highlight w:val="none"/>
        </w:rPr>
        <w:t xml:space="preserve">18.5.1 </w:t>
      </w:r>
      <w:r>
        <w:rPr>
          <w:rFonts w:hAnsi="宋体"/>
          <w:color w:val="auto"/>
          <w:szCs w:val="21"/>
          <w:highlight w:val="none"/>
        </w:rPr>
        <w:t>发包人根据合同进度计划安排，在全部工程竣工前需要使用已经竣工的区段工程时，或承包人提出经发包人同意时，可进行区段工程验收。验收的程序可参照第</w:t>
      </w:r>
      <w:r>
        <w:rPr>
          <w:color w:val="auto"/>
          <w:highlight w:val="none"/>
        </w:rPr>
        <w:t>18.2</w:t>
      </w:r>
      <w:r>
        <w:rPr>
          <w:rFonts w:hAnsi="宋体"/>
          <w:color w:val="auto"/>
          <w:szCs w:val="21"/>
          <w:highlight w:val="none"/>
        </w:rPr>
        <w:t>款与第</w:t>
      </w:r>
      <w:r>
        <w:rPr>
          <w:color w:val="auto"/>
          <w:highlight w:val="none"/>
        </w:rPr>
        <w:t xml:space="preserve">18.3 </w:t>
      </w:r>
      <w:r>
        <w:rPr>
          <w:rFonts w:hAnsi="宋体"/>
          <w:color w:val="auto"/>
          <w:szCs w:val="21"/>
          <w:highlight w:val="none"/>
        </w:rPr>
        <w:t>款的约定进行。验收合格后，由监理人向承包人出具经发包人签认的区段工程验收证书。已签发区段工程接收证书的区段工程由发包人负责照管。区段工程的验收成果和结论作为全部工程竣工验收申请报告的附件。</w:t>
      </w:r>
    </w:p>
    <w:p w14:paraId="30F9385E">
      <w:pPr>
        <w:spacing w:line="360" w:lineRule="auto"/>
        <w:ind w:firstLine="420" w:firstLineChars="200"/>
        <w:rPr>
          <w:color w:val="auto"/>
          <w:szCs w:val="21"/>
          <w:highlight w:val="none"/>
        </w:rPr>
      </w:pPr>
      <w:r>
        <w:rPr>
          <w:color w:val="auto"/>
          <w:highlight w:val="none"/>
        </w:rPr>
        <w:t xml:space="preserve">18.5.2 </w:t>
      </w:r>
      <w:r>
        <w:rPr>
          <w:rFonts w:hAnsi="宋体"/>
          <w:color w:val="auto"/>
          <w:szCs w:val="21"/>
          <w:highlight w:val="none"/>
        </w:rPr>
        <w:t>发包人在全部工程竣工前，使用已接收的区段工程导致承包人费用增加的，发包人应承担由此增加的费用和（或）工期延误，并支付承包人合理利润。</w:t>
      </w:r>
    </w:p>
    <w:p w14:paraId="66475BD3">
      <w:pPr>
        <w:pStyle w:val="6"/>
        <w:spacing w:before="159"/>
        <w:rPr>
          <w:color w:val="auto"/>
          <w:highlight w:val="none"/>
        </w:rPr>
      </w:pPr>
      <w:bookmarkStart w:id="2555" w:name="_Toc18907"/>
      <w:bookmarkStart w:id="2556" w:name="_Toc23738"/>
      <w:bookmarkStart w:id="2557" w:name="_Toc3367"/>
      <w:bookmarkStart w:id="2558" w:name="_Toc3302_WPSOffice_Level2"/>
      <w:bookmarkStart w:id="2559" w:name="_Toc300835163"/>
      <w:bookmarkStart w:id="2560" w:name="_Toc21888"/>
      <w:bookmarkStart w:id="2561" w:name="_Toc9488"/>
      <w:bookmarkStart w:id="2562" w:name="_Toc519085512"/>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6</w:t>
      </w:r>
      <w:bookmarkEnd w:id="2555"/>
      <w:bookmarkEnd w:id="2556"/>
      <w:r>
        <w:rPr>
          <w:color w:val="auto"/>
          <w:highlight w:val="none"/>
        </w:rPr>
        <w:t xml:space="preserve"> </w:t>
      </w:r>
      <w:r>
        <w:rPr>
          <w:rStyle w:val="79"/>
          <w:color w:val="auto"/>
          <w:highlight w:val="none"/>
        </w:rPr>
        <w:t>施工期运行</w:t>
      </w:r>
      <w:bookmarkEnd w:id="2557"/>
      <w:bookmarkEnd w:id="2558"/>
      <w:bookmarkEnd w:id="2559"/>
      <w:bookmarkEnd w:id="2560"/>
      <w:bookmarkEnd w:id="2561"/>
      <w:bookmarkEnd w:id="2562"/>
    </w:p>
    <w:p w14:paraId="4E993A74">
      <w:pPr>
        <w:spacing w:line="360" w:lineRule="auto"/>
        <w:ind w:firstLine="420" w:firstLineChars="200"/>
        <w:rPr>
          <w:color w:val="auto"/>
          <w:highlight w:val="none"/>
        </w:rPr>
      </w:pPr>
      <w:r>
        <w:rPr>
          <w:color w:val="auto"/>
          <w:highlight w:val="none"/>
        </w:rPr>
        <w:t>18.6.1</w:t>
      </w:r>
      <w:r>
        <w:rPr>
          <w:color w:val="auto"/>
          <w:szCs w:val="21"/>
          <w:highlight w:val="none"/>
        </w:rPr>
        <w:t xml:space="preserve"> </w:t>
      </w:r>
      <w:r>
        <w:rPr>
          <w:rFonts w:hAnsi="宋体"/>
          <w:color w:val="auto"/>
          <w:szCs w:val="21"/>
          <w:highlight w:val="none"/>
        </w:rPr>
        <w:t>施工期运行是指合同工程尚未全部竣工，其中某项或某几项区段工程或工程设备安装已竣工，根据专用合同条款约定，需要投入施工期运行的，经发</w:t>
      </w:r>
      <w:r>
        <w:rPr>
          <w:rFonts w:hAnsi="宋体"/>
          <w:color w:val="auto"/>
          <w:highlight w:val="none"/>
        </w:rPr>
        <w:t>包人按第</w:t>
      </w:r>
      <w:r>
        <w:rPr>
          <w:color w:val="auto"/>
          <w:highlight w:val="none"/>
        </w:rPr>
        <w:t xml:space="preserve">18.5 </w:t>
      </w:r>
      <w:r>
        <w:rPr>
          <w:rFonts w:hAnsi="宋体"/>
          <w:color w:val="auto"/>
          <w:highlight w:val="none"/>
        </w:rPr>
        <w:t>款的约定验收合格，证明能确保安全后，才能在施工期投入运行。</w:t>
      </w:r>
    </w:p>
    <w:p w14:paraId="1CF55BD7">
      <w:pPr>
        <w:spacing w:line="360" w:lineRule="auto"/>
        <w:ind w:firstLine="420" w:firstLineChars="200"/>
        <w:rPr>
          <w:color w:val="auto"/>
          <w:szCs w:val="21"/>
          <w:highlight w:val="none"/>
        </w:rPr>
      </w:pPr>
      <w:r>
        <w:rPr>
          <w:color w:val="auto"/>
          <w:highlight w:val="none"/>
        </w:rPr>
        <w:t xml:space="preserve">18.6.2 </w:t>
      </w:r>
      <w:r>
        <w:rPr>
          <w:rFonts w:hAnsi="宋体"/>
          <w:color w:val="auto"/>
          <w:szCs w:val="21"/>
          <w:highlight w:val="none"/>
        </w:rPr>
        <w:t>在施工期运行中发现工程或工程设备损坏或存在缺陷</w:t>
      </w:r>
      <w:r>
        <w:rPr>
          <w:rFonts w:hAnsi="宋体"/>
          <w:color w:val="auto"/>
          <w:highlight w:val="none"/>
        </w:rPr>
        <w:t>的，由承包人按第</w:t>
      </w:r>
      <w:r>
        <w:rPr>
          <w:color w:val="auto"/>
          <w:highlight w:val="none"/>
        </w:rPr>
        <w:t xml:space="preserve">19.2 </w:t>
      </w:r>
      <w:r>
        <w:rPr>
          <w:rFonts w:hAnsi="宋体"/>
          <w:color w:val="auto"/>
          <w:highlight w:val="none"/>
        </w:rPr>
        <w:t>款约定</w:t>
      </w:r>
      <w:r>
        <w:rPr>
          <w:rFonts w:hAnsi="宋体"/>
          <w:color w:val="auto"/>
          <w:szCs w:val="21"/>
          <w:highlight w:val="none"/>
        </w:rPr>
        <w:t>进行修复。</w:t>
      </w:r>
    </w:p>
    <w:p w14:paraId="46CBF85E">
      <w:pPr>
        <w:pStyle w:val="6"/>
        <w:spacing w:before="159"/>
        <w:rPr>
          <w:color w:val="auto"/>
          <w:highlight w:val="none"/>
        </w:rPr>
      </w:pPr>
      <w:bookmarkStart w:id="2563" w:name="_Toc300835164"/>
      <w:bookmarkStart w:id="2564" w:name="_Toc12449"/>
      <w:bookmarkStart w:id="2565" w:name="_Toc2923"/>
      <w:bookmarkStart w:id="2566" w:name="_Toc519085513"/>
      <w:bookmarkStart w:id="2567" w:name="_Toc32277_WPSOffice_Level2"/>
      <w:bookmarkStart w:id="2568" w:name="_Toc21462"/>
      <w:r>
        <w:rPr>
          <w:color w:val="auto"/>
          <w:highlight w:val="none"/>
        </w:rPr>
        <w:t>18</w:t>
      </w:r>
      <w:r>
        <w:rPr>
          <w:rStyle w:val="68"/>
          <w:color w:val="auto"/>
          <w:highlight w:val="none"/>
        </w:rPr>
        <w:t>.</w:t>
      </w:r>
      <w:r>
        <w:rPr>
          <w:color w:val="auto"/>
          <w:highlight w:val="none"/>
        </w:rPr>
        <w:t xml:space="preserve">7 </w:t>
      </w:r>
      <w:r>
        <w:rPr>
          <w:rStyle w:val="82"/>
          <w:bCs/>
          <w:color w:val="auto"/>
          <w:sz w:val="24"/>
          <w:highlight w:val="none"/>
        </w:rPr>
        <w:t>竣工清场</w:t>
      </w:r>
      <w:bookmarkEnd w:id="2563"/>
      <w:bookmarkEnd w:id="2564"/>
      <w:bookmarkEnd w:id="2565"/>
      <w:bookmarkEnd w:id="2566"/>
      <w:bookmarkEnd w:id="2567"/>
      <w:bookmarkEnd w:id="2568"/>
    </w:p>
    <w:p w14:paraId="5189E9C1">
      <w:pPr>
        <w:spacing w:line="360" w:lineRule="auto"/>
        <w:ind w:firstLine="420" w:firstLineChars="200"/>
        <w:rPr>
          <w:color w:val="auto"/>
          <w:szCs w:val="21"/>
          <w:highlight w:val="none"/>
        </w:rPr>
      </w:pPr>
      <w:r>
        <w:rPr>
          <w:color w:val="auto"/>
          <w:highlight w:val="none"/>
        </w:rPr>
        <w:t>18.7.1</w:t>
      </w:r>
      <w:r>
        <w:rPr>
          <w:color w:val="auto"/>
          <w:szCs w:val="21"/>
          <w:highlight w:val="none"/>
        </w:rPr>
        <w:t xml:space="preserve"> </w:t>
      </w:r>
      <w:r>
        <w:rPr>
          <w:rFonts w:hAnsi="宋体"/>
          <w:color w:val="auto"/>
          <w:szCs w:val="21"/>
          <w:highlight w:val="none"/>
        </w:rPr>
        <w:t>除合同另有约定外，工程接收证书颁发后，承包人应按以下要求对施工场地进行清理，直至监理人检验合格为止。竣工清场费用由承包人承担。</w:t>
      </w:r>
    </w:p>
    <w:p w14:paraId="2BC33A0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）施工场地内残留的垃圾已全部清除出场；</w:t>
      </w:r>
    </w:p>
    <w:p w14:paraId="0B6D7C7B">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）临时工程已拆除，场地已按合同要求进行清理、平整或复原；</w:t>
      </w:r>
    </w:p>
    <w:p w14:paraId="33664EEB">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）按合同约定应撤离的承包人设备和剩余的材料，包括废弃的施工设备和材料，已按计划撤离施工场地；</w:t>
      </w:r>
    </w:p>
    <w:p w14:paraId="32BB9C11">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）工程建筑物周边及其附近道路、河道的施工堆积物，已按监理人指示全部清理；</w:t>
      </w:r>
    </w:p>
    <w:p w14:paraId="1BB3CEC0">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）监理人指示的其</w:t>
      </w:r>
      <w:r>
        <w:rPr>
          <w:rFonts w:hAnsi="宋体"/>
          <w:color w:val="auto"/>
          <w:szCs w:val="21"/>
          <w:highlight w:val="none"/>
        </w:rPr>
        <w:t>他场地清理工作已全部完成。</w:t>
      </w:r>
    </w:p>
    <w:p w14:paraId="553A380C">
      <w:pPr>
        <w:spacing w:line="360" w:lineRule="auto"/>
        <w:ind w:firstLine="420" w:firstLineChars="200"/>
        <w:rPr>
          <w:color w:val="auto"/>
          <w:szCs w:val="21"/>
          <w:highlight w:val="none"/>
        </w:rPr>
      </w:pPr>
      <w:r>
        <w:rPr>
          <w:color w:val="auto"/>
          <w:highlight w:val="none"/>
        </w:rPr>
        <w:t>18.7.2</w:t>
      </w:r>
      <w:r>
        <w:rPr>
          <w:color w:val="auto"/>
          <w:szCs w:val="21"/>
          <w:highlight w:val="none"/>
        </w:rPr>
        <w:t xml:space="preserve"> </w:t>
      </w:r>
      <w:r>
        <w:rPr>
          <w:rFonts w:hAnsi="宋体"/>
          <w:color w:val="auto"/>
          <w:szCs w:val="21"/>
          <w:highlight w:val="none"/>
        </w:rPr>
        <w:t>承包人未按监理人的要求恢复临时占地，或者场地清理未达到合同约定的，发包人有权委托其他人恢复或清理，所发生的金额从拟支付给承包人的款项中扣除。</w:t>
      </w:r>
    </w:p>
    <w:p w14:paraId="35D958EE">
      <w:pPr>
        <w:pStyle w:val="6"/>
        <w:spacing w:before="159"/>
        <w:rPr>
          <w:color w:val="auto"/>
          <w:highlight w:val="none"/>
        </w:rPr>
      </w:pPr>
      <w:bookmarkStart w:id="2569" w:name="_Toc4325"/>
      <w:bookmarkStart w:id="2570" w:name="_Toc12853"/>
      <w:bookmarkStart w:id="2571" w:name="_Toc300835165"/>
      <w:bookmarkStart w:id="2572" w:name="_Toc519085514"/>
      <w:bookmarkStart w:id="2573" w:name="_Toc7986_WPSOffice_Level2"/>
      <w:bookmarkStart w:id="2574" w:name="_Toc27615"/>
      <w:bookmarkStart w:id="2575" w:name="_Toc5476"/>
      <w:bookmarkStart w:id="2576" w:name="_Toc22517"/>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8</w:t>
      </w:r>
      <w:r>
        <w:rPr>
          <w:rStyle w:val="68"/>
          <w:color w:val="auto"/>
          <w:highlight w:val="none"/>
        </w:rPr>
        <w:t xml:space="preserve"> </w:t>
      </w:r>
      <w:r>
        <w:rPr>
          <w:rStyle w:val="79"/>
          <w:color w:val="auto"/>
          <w:highlight w:val="none"/>
        </w:rPr>
        <w:t>施工队伍的撤离</w:t>
      </w:r>
      <w:bookmarkEnd w:id="2569"/>
      <w:bookmarkEnd w:id="2570"/>
      <w:bookmarkEnd w:id="2571"/>
      <w:bookmarkEnd w:id="2572"/>
      <w:bookmarkEnd w:id="2573"/>
      <w:bookmarkEnd w:id="2574"/>
      <w:bookmarkEnd w:id="2575"/>
      <w:bookmarkEnd w:id="2576"/>
    </w:p>
    <w:p w14:paraId="5FA93DE4">
      <w:pPr>
        <w:spacing w:line="360" w:lineRule="auto"/>
        <w:ind w:firstLine="420" w:firstLineChars="200"/>
        <w:rPr>
          <w:color w:val="auto"/>
          <w:szCs w:val="21"/>
          <w:highlight w:val="none"/>
        </w:rPr>
      </w:pPr>
      <w:r>
        <w:rPr>
          <w:rFonts w:hAnsi="宋体"/>
          <w:color w:val="auto"/>
          <w:szCs w:val="21"/>
          <w:highlight w:val="none"/>
        </w:rPr>
        <w:t>工程接收证书颁发后的</w:t>
      </w:r>
      <w:r>
        <w:rPr>
          <w:color w:val="auto"/>
          <w:szCs w:val="21"/>
          <w:highlight w:val="none"/>
        </w:rPr>
        <w:t>56</w:t>
      </w:r>
      <w:r>
        <w:rPr>
          <w:rFonts w:hAnsi="宋体"/>
          <w:color w:val="auto"/>
          <w:szCs w:val="21"/>
          <w:highlight w:val="none"/>
        </w:rPr>
        <w:t>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041A388B">
      <w:pPr>
        <w:pStyle w:val="6"/>
        <w:spacing w:before="159"/>
        <w:rPr>
          <w:color w:val="auto"/>
          <w:highlight w:val="none"/>
        </w:rPr>
      </w:pPr>
      <w:bookmarkStart w:id="2577" w:name="_Toc10074"/>
      <w:bookmarkStart w:id="2578" w:name="_Toc16031"/>
      <w:bookmarkStart w:id="2579" w:name="_Toc9489_WPSOffice_Level2"/>
      <w:bookmarkStart w:id="2580" w:name="_Toc18794"/>
      <w:bookmarkStart w:id="2581" w:name="_Toc12730"/>
      <w:bookmarkStart w:id="2582" w:name="_Toc519085515"/>
      <w:bookmarkStart w:id="2583" w:name="_Toc300835166"/>
      <w:bookmarkStart w:id="2584" w:name="_Toc10449"/>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9</w:t>
      </w:r>
      <w:bookmarkEnd w:id="2577"/>
      <w:bookmarkEnd w:id="2578"/>
      <w:r>
        <w:rPr>
          <w:color w:val="auto"/>
          <w:highlight w:val="none"/>
        </w:rPr>
        <w:t xml:space="preserve"> </w:t>
      </w:r>
      <w:r>
        <w:rPr>
          <w:rStyle w:val="79"/>
          <w:color w:val="auto"/>
          <w:highlight w:val="none"/>
        </w:rPr>
        <w:t>竣工后试验（</w:t>
      </w:r>
      <w:r>
        <w:rPr>
          <w:color w:val="auto"/>
          <w:highlight w:val="none"/>
        </w:rPr>
        <w:t>A</w:t>
      </w:r>
      <w:r>
        <w:rPr>
          <w:rStyle w:val="79"/>
          <w:color w:val="auto"/>
          <w:highlight w:val="none"/>
        </w:rPr>
        <w:t>）</w:t>
      </w:r>
      <w:bookmarkEnd w:id="2579"/>
      <w:bookmarkEnd w:id="2580"/>
      <w:bookmarkEnd w:id="2581"/>
      <w:bookmarkEnd w:id="2582"/>
      <w:bookmarkEnd w:id="2583"/>
      <w:bookmarkEnd w:id="2584"/>
    </w:p>
    <w:p w14:paraId="4B8ABD58">
      <w:pPr>
        <w:spacing w:line="360" w:lineRule="auto"/>
        <w:ind w:firstLine="420" w:firstLineChars="200"/>
        <w:rPr>
          <w:color w:val="auto"/>
          <w:highlight w:val="none"/>
        </w:rPr>
      </w:pPr>
      <w:r>
        <w:rPr>
          <w:rFonts w:hAnsi="宋体"/>
          <w:color w:val="auto"/>
          <w:highlight w:val="none"/>
        </w:rPr>
        <w:t>除专用合同条款另有约定外，发包人应：</w:t>
      </w:r>
    </w:p>
    <w:p w14:paraId="038D47B4">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）为竣工后试验提供必要的电力、设备、燃料、仪器、劳力、材料，以及具有适当资质和经验的工作人员；</w:t>
      </w:r>
    </w:p>
    <w:p w14:paraId="6642A3EA">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）根据承包商按照第</w:t>
      </w:r>
      <w:r>
        <w:rPr>
          <w:color w:val="auto"/>
          <w:highlight w:val="none"/>
        </w:rPr>
        <w:t>5.6</w:t>
      </w:r>
      <w:r>
        <w:rPr>
          <w:rFonts w:hAnsi="宋体"/>
          <w:color w:val="auto"/>
          <w:highlight w:val="none"/>
        </w:rPr>
        <w:t>款提供的手册，以及承包人给予的指导进行竣工后试验。</w:t>
      </w:r>
    </w:p>
    <w:p w14:paraId="15DB277A">
      <w:pPr>
        <w:spacing w:line="360" w:lineRule="auto"/>
        <w:ind w:firstLine="420" w:firstLineChars="200"/>
        <w:rPr>
          <w:color w:val="auto"/>
          <w:highlight w:val="none"/>
        </w:rPr>
      </w:pPr>
      <w:r>
        <w:rPr>
          <w:rFonts w:hAnsi="宋体"/>
          <w:color w:val="auto"/>
          <w:highlight w:val="none"/>
        </w:rPr>
        <w:t>发包人应提前</w:t>
      </w:r>
      <w:r>
        <w:rPr>
          <w:color w:val="auto"/>
          <w:highlight w:val="none"/>
        </w:rPr>
        <w:t>21</w:t>
      </w:r>
      <w:r>
        <w:rPr>
          <w:rFonts w:hAnsi="宋体"/>
          <w:color w:val="auto"/>
          <w:highlight w:val="none"/>
        </w:rPr>
        <w:t>天将竣工后试验的日期通</w:t>
      </w:r>
      <w:r>
        <w:rPr>
          <w:rFonts w:hAnsi="宋体"/>
          <w:color w:val="auto"/>
          <w:szCs w:val="21"/>
          <w:highlight w:val="none"/>
        </w:rPr>
        <w:t>知承包人。如果承包人未能在该日期出席竣工后试验，发包人可自行进行，承包人应对检</w:t>
      </w:r>
      <w:r>
        <w:rPr>
          <w:rFonts w:hAnsi="宋体"/>
          <w:color w:val="auto"/>
          <w:highlight w:val="none"/>
        </w:rPr>
        <w:t>验数据予以认可。</w:t>
      </w:r>
    </w:p>
    <w:p w14:paraId="3FCB801B">
      <w:pPr>
        <w:spacing w:line="360" w:lineRule="auto"/>
        <w:ind w:firstLine="420" w:firstLineChars="200"/>
        <w:rPr>
          <w:color w:val="auto"/>
          <w:highlight w:val="none"/>
        </w:rPr>
      </w:pPr>
      <w:r>
        <w:rPr>
          <w:rFonts w:hAnsi="宋体"/>
          <w:color w:val="auto"/>
          <w:highlight w:val="none"/>
        </w:rPr>
        <w:t>因承包人原因造成某项竣工后试验未能通过的，承包人应按照合同的约定进行赔偿，或者承包人提出修复建议，按照发包人指示的合理期限内改正，并承担合同约定的相应责任。</w:t>
      </w:r>
    </w:p>
    <w:p w14:paraId="05AEF3B9">
      <w:pPr>
        <w:pStyle w:val="6"/>
        <w:spacing w:before="159"/>
        <w:rPr>
          <w:color w:val="auto"/>
          <w:highlight w:val="none"/>
        </w:rPr>
      </w:pPr>
      <w:bookmarkStart w:id="2585" w:name="_Toc2087"/>
      <w:bookmarkStart w:id="2586" w:name="_Toc28888"/>
      <w:bookmarkStart w:id="2587" w:name="_Toc519085516"/>
      <w:bookmarkStart w:id="2588" w:name="_Toc300835167"/>
      <w:bookmarkStart w:id="2589" w:name="_Toc19923"/>
      <w:bookmarkStart w:id="2590" w:name="_Toc17640"/>
      <w:bookmarkStart w:id="2591" w:name="_Toc27571"/>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9</w:t>
      </w:r>
      <w:bookmarkEnd w:id="2585"/>
      <w:bookmarkEnd w:id="2586"/>
      <w:r>
        <w:rPr>
          <w:color w:val="auto"/>
          <w:highlight w:val="none"/>
        </w:rPr>
        <w:t xml:space="preserve"> </w:t>
      </w:r>
      <w:r>
        <w:rPr>
          <w:rStyle w:val="79"/>
          <w:color w:val="auto"/>
          <w:highlight w:val="none"/>
        </w:rPr>
        <w:t>竣工后试验（</w:t>
      </w:r>
      <w:r>
        <w:rPr>
          <w:color w:val="auto"/>
          <w:highlight w:val="none"/>
        </w:rPr>
        <w:t>B</w:t>
      </w:r>
      <w:r>
        <w:rPr>
          <w:rStyle w:val="79"/>
          <w:color w:val="auto"/>
          <w:highlight w:val="none"/>
        </w:rPr>
        <w:t>）</w:t>
      </w:r>
      <w:bookmarkEnd w:id="2587"/>
      <w:bookmarkEnd w:id="2588"/>
      <w:bookmarkEnd w:id="2589"/>
      <w:bookmarkEnd w:id="2590"/>
      <w:bookmarkEnd w:id="2591"/>
    </w:p>
    <w:p w14:paraId="6C76CB69">
      <w:pPr>
        <w:spacing w:line="360" w:lineRule="auto"/>
        <w:ind w:firstLine="420" w:firstLineChars="200"/>
        <w:rPr>
          <w:color w:val="auto"/>
          <w:szCs w:val="21"/>
          <w:highlight w:val="none"/>
        </w:rPr>
      </w:pPr>
      <w:r>
        <w:rPr>
          <w:rFonts w:hAnsi="宋体"/>
          <w:color w:val="auto"/>
          <w:szCs w:val="21"/>
          <w:highlight w:val="none"/>
        </w:rPr>
        <w:t>除专用合同条款另有约定外：</w:t>
      </w:r>
    </w:p>
    <w:p w14:paraId="7298A9C6">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）发包人为竣工后试验提供必要的电力、材料、燃料、发包人人员和工程设备；</w:t>
      </w:r>
    </w:p>
    <w:p w14:paraId="3B61451F">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）承包人应提供竣工后试验所需要的所有其他设备、仪器，以及有资格和经验的工作人员；</w:t>
      </w:r>
    </w:p>
    <w:p w14:paraId="14BD421E">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）承包人应在发包人在场的情况下，进行竣工后试验。发包人应提前</w:t>
      </w:r>
      <w:r>
        <w:rPr>
          <w:color w:val="auto"/>
          <w:highlight w:val="none"/>
        </w:rPr>
        <w:t>21</w:t>
      </w:r>
      <w:r>
        <w:rPr>
          <w:rFonts w:hAnsi="宋体"/>
          <w:color w:val="auto"/>
          <w:highlight w:val="none"/>
        </w:rPr>
        <w:t>天将竣工后试验的日期通知承包人。因承包人原因造成某项竣工后试验未能通过的，承包人应按照合同的约定进行赔偿，或者承包人提出修复建议，按照发包人指示的合理期限内改正，并承担合同约定的相应责任。</w:t>
      </w:r>
    </w:p>
    <w:p w14:paraId="053B75C4">
      <w:pPr>
        <w:pStyle w:val="5"/>
        <w:spacing w:before="159"/>
        <w:rPr>
          <w:rFonts w:ascii="Times New Roman" w:hAnsi="Times New Roman" w:eastAsia="宋体"/>
          <w:color w:val="auto"/>
          <w:highlight w:val="none"/>
        </w:rPr>
      </w:pPr>
      <w:bookmarkStart w:id="2592" w:name="_Toc12510"/>
      <w:bookmarkStart w:id="2593" w:name="_Toc25000"/>
      <w:bookmarkStart w:id="2594" w:name="_Toc300835168"/>
      <w:bookmarkStart w:id="2595" w:name="_Toc6047"/>
      <w:bookmarkStart w:id="2596" w:name="_Toc5036"/>
      <w:bookmarkStart w:id="2597" w:name="_Toc16958_WPSOffice_Level1"/>
      <w:bookmarkStart w:id="2598" w:name="_Toc519085517"/>
      <w:bookmarkStart w:id="2599" w:name="_Toc15500"/>
      <w:r>
        <w:rPr>
          <w:rFonts w:ascii="Times New Roman" w:hAnsi="Times New Roman" w:eastAsia="宋体"/>
          <w:color w:val="auto"/>
          <w:highlight w:val="none"/>
        </w:rPr>
        <w:t xml:space="preserve">19. </w:t>
      </w:r>
      <w:r>
        <w:rPr>
          <w:rStyle w:val="65"/>
          <w:color w:val="auto"/>
          <w:highlight w:val="none"/>
        </w:rPr>
        <w:t>缺陷责任与保修责任</w:t>
      </w:r>
      <w:bookmarkEnd w:id="2592"/>
      <w:bookmarkEnd w:id="2593"/>
      <w:bookmarkEnd w:id="2594"/>
      <w:bookmarkEnd w:id="2595"/>
      <w:bookmarkEnd w:id="2596"/>
      <w:bookmarkEnd w:id="2597"/>
      <w:bookmarkEnd w:id="2598"/>
      <w:bookmarkEnd w:id="2599"/>
    </w:p>
    <w:p w14:paraId="454FBAD1">
      <w:pPr>
        <w:pStyle w:val="6"/>
        <w:spacing w:before="159"/>
        <w:rPr>
          <w:color w:val="auto"/>
          <w:highlight w:val="none"/>
        </w:rPr>
      </w:pPr>
      <w:bookmarkStart w:id="2600" w:name="_Toc14362"/>
      <w:bookmarkStart w:id="2601" w:name="_Toc141"/>
      <w:bookmarkStart w:id="2602" w:name="_Toc14149"/>
      <w:bookmarkStart w:id="2603" w:name="_Toc24333_WPSOffice_Level2"/>
      <w:bookmarkStart w:id="2604" w:name="_Toc11227"/>
      <w:bookmarkStart w:id="2605" w:name="_Toc519085518"/>
      <w:bookmarkStart w:id="2606" w:name="_Toc300835169"/>
      <w:bookmarkStart w:id="2607" w:name="_Toc29167"/>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1</w:t>
      </w:r>
      <w:bookmarkEnd w:id="2600"/>
      <w:bookmarkEnd w:id="2601"/>
      <w:r>
        <w:rPr>
          <w:color w:val="auto"/>
          <w:highlight w:val="none"/>
        </w:rPr>
        <w:t xml:space="preserve"> </w:t>
      </w:r>
      <w:r>
        <w:rPr>
          <w:rStyle w:val="79"/>
          <w:color w:val="auto"/>
          <w:highlight w:val="none"/>
        </w:rPr>
        <w:t>缺陷责任期的起算时间</w:t>
      </w:r>
      <w:bookmarkEnd w:id="2602"/>
      <w:bookmarkEnd w:id="2603"/>
      <w:bookmarkEnd w:id="2604"/>
      <w:bookmarkEnd w:id="2605"/>
      <w:bookmarkEnd w:id="2606"/>
      <w:bookmarkEnd w:id="2607"/>
    </w:p>
    <w:p w14:paraId="7836C635">
      <w:pPr>
        <w:spacing w:line="360" w:lineRule="auto"/>
        <w:ind w:firstLine="420" w:firstLineChars="200"/>
        <w:rPr>
          <w:color w:val="auto"/>
          <w:szCs w:val="21"/>
          <w:highlight w:val="none"/>
        </w:rPr>
      </w:pPr>
      <w:r>
        <w:rPr>
          <w:rFonts w:hAnsi="宋体"/>
          <w:color w:val="auto"/>
          <w:szCs w:val="21"/>
          <w:highlight w:val="none"/>
        </w:rPr>
        <w:t>缺陷责任期自实际竣工日期起计算。在全部工程竣工验收前，已经发包人提前验收的区段工程或进入施工期运行的工程，其缺陷责任期的起算日期相应提前到相应工程竣工日。</w:t>
      </w:r>
    </w:p>
    <w:p w14:paraId="5051B9E3">
      <w:pPr>
        <w:pStyle w:val="6"/>
        <w:spacing w:before="159"/>
        <w:rPr>
          <w:color w:val="auto"/>
          <w:highlight w:val="none"/>
        </w:rPr>
      </w:pPr>
      <w:bookmarkStart w:id="2608" w:name="_Toc25565"/>
      <w:bookmarkStart w:id="2609" w:name="_Toc30868"/>
      <w:bookmarkStart w:id="2610" w:name="_Toc6982"/>
      <w:bookmarkStart w:id="2611" w:name="_Toc300835170"/>
      <w:bookmarkStart w:id="2612" w:name="_Toc519085519"/>
      <w:bookmarkStart w:id="2613" w:name="_Toc7278"/>
      <w:bookmarkStart w:id="2614" w:name="_Toc12219"/>
      <w:bookmarkStart w:id="2615" w:name="_Toc27020_WPSOffice_Level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2</w:t>
      </w:r>
      <w:bookmarkEnd w:id="2608"/>
      <w:bookmarkEnd w:id="2609"/>
      <w:r>
        <w:rPr>
          <w:color w:val="auto"/>
          <w:highlight w:val="none"/>
        </w:rPr>
        <w:t xml:space="preserve"> </w:t>
      </w:r>
      <w:r>
        <w:rPr>
          <w:rStyle w:val="79"/>
          <w:color w:val="auto"/>
          <w:highlight w:val="none"/>
        </w:rPr>
        <w:t>缺陷责任</w:t>
      </w:r>
      <w:bookmarkEnd w:id="2610"/>
      <w:bookmarkEnd w:id="2611"/>
      <w:bookmarkEnd w:id="2612"/>
      <w:bookmarkEnd w:id="2613"/>
      <w:bookmarkEnd w:id="2614"/>
      <w:bookmarkEnd w:id="2615"/>
    </w:p>
    <w:p w14:paraId="34A57F37">
      <w:pPr>
        <w:spacing w:line="360" w:lineRule="auto"/>
        <w:ind w:firstLine="420" w:firstLineChars="200"/>
        <w:rPr>
          <w:color w:val="auto"/>
          <w:szCs w:val="21"/>
          <w:highlight w:val="none"/>
        </w:rPr>
      </w:pPr>
      <w:r>
        <w:rPr>
          <w:color w:val="auto"/>
          <w:highlight w:val="none"/>
        </w:rPr>
        <w:t>19.2.1</w:t>
      </w:r>
      <w:r>
        <w:rPr>
          <w:color w:val="auto"/>
          <w:szCs w:val="21"/>
          <w:highlight w:val="none"/>
        </w:rPr>
        <w:t xml:space="preserve"> </w:t>
      </w:r>
      <w:r>
        <w:rPr>
          <w:rFonts w:hAnsi="宋体"/>
          <w:color w:val="auto"/>
          <w:szCs w:val="21"/>
          <w:highlight w:val="none"/>
        </w:rPr>
        <w:t>承包人应在缺陷责任期内对已交付使用的工程承担缺陷责任。</w:t>
      </w:r>
    </w:p>
    <w:p w14:paraId="4A87F246">
      <w:pPr>
        <w:spacing w:line="360" w:lineRule="auto"/>
        <w:ind w:firstLine="420" w:firstLineChars="200"/>
        <w:rPr>
          <w:color w:val="auto"/>
          <w:szCs w:val="21"/>
          <w:highlight w:val="none"/>
        </w:rPr>
      </w:pPr>
      <w:r>
        <w:rPr>
          <w:color w:val="auto"/>
          <w:highlight w:val="none"/>
        </w:rPr>
        <w:t>19.2.2</w:t>
      </w:r>
      <w:r>
        <w:rPr>
          <w:color w:val="auto"/>
          <w:szCs w:val="21"/>
          <w:highlight w:val="none"/>
        </w:rPr>
        <w:t xml:space="preserve"> </w:t>
      </w:r>
      <w:r>
        <w:rPr>
          <w:rFonts w:hAnsi="宋体"/>
          <w:color w:val="auto"/>
          <w:szCs w:val="21"/>
          <w:highlight w:val="none"/>
        </w:rPr>
        <w:t>缺陷责任期内，发包人对已接收使用的工程负责日常维护工作。发包人在使用过程中，发现已接收的工程存在新的缺陷或已修复的缺陷部位或部件又遭损坏的，承包人应负责修复，直至检验合格为止。</w:t>
      </w:r>
    </w:p>
    <w:p w14:paraId="05987977">
      <w:pPr>
        <w:spacing w:line="360" w:lineRule="auto"/>
        <w:ind w:firstLine="420" w:firstLineChars="200"/>
        <w:rPr>
          <w:color w:val="auto"/>
          <w:szCs w:val="21"/>
          <w:highlight w:val="none"/>
        </w:rPr>
      </w:pPr>
      <w:r>
        <w:rPr>
          <w:color w:val="auto"/>
          <w:highlight w:val="none"/>
        </w:rPr>
        <w:t xml:space="preserve">19.2.3 </w:t>
      </w:r>
      <w:r>
        <w:rPr>
          <w:rFonts w:hAnsi="宋体"/>
          <w:color w:val="auto"/>
          <w:szCs w:val="21"/>
          <w:highlight w:val="none"/>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799EDA7A">
      <w:pPr>
        <w:spacing w:line="360" w:lineRule="auto"/>
        <w:ind w:firstLine="420" w:firstLineChars="200"/>
        <w:rPr>
          <w:color w:val="auto"/>
          <w:szCs w:val="21"/>
          <w:highlight w:val="none"/>
        </w:rPr>
      </w:pPr>
      <w:r>
        <w:rPr>
          <w:color w:val="auto"/>
          <w:highlight w:val="none"/>
        </w:rPr>
        <w:t>19.2.4</w:t>
      </w:r>
      <w:r>
        <w:rPr>
          <w:color w:val="auto"/>
          <w:szCs w:val="21"/>
          <w:highlight w:val="none"/>
        </w:rPr>
        <w:t xml:space="preserve"> </w:t>
      </w:r>
      <w:r>
        <w:rPr>
          <w:rFonts w:hAnsi="宋体"/>
          <w:color w:val="auto"/>
          <w:szCs w:val="21"/>
          <w:highlight w:val="none"/>
        </w:rPr>
        <w:t>承包人不能在合理时间内修复缺陷的，发包人可自行修复或委托其他人修复，所需费用和利润的承担，按第</w:t>
      </w:r>
      <w:r>
        <w:rPr>
          <w:color w:val="auto"/>
          <w:highlight w:val="none"/>
        </w:rPr>
        <w:t xml:space="preserve">19.2.3 </w:t>
      </w:r>
      <w:r>
        <w:rPr>
          <w:rFonts w:hAnsi="宋体"/>
          <w:color w:val="auto"/>
          <w:szCs w:val="21"/>
          <w:highlight w:val="none"/>
        </w:rPr>
        <w:t>项约定执行。</w:t>
      </w:r>
    </w:p>
    <w:p w14:paraId="2C9A2949">
      <w:pPr>
        <w:pStyle w:val="6"/>
        <w:spacing w:before="159"/>
        <w:rPr>
          <w:color w:val="auto"/>
          <w:highlight w:val="none"/>
        </w:rPr>
      </w:pPr>
      <w:bookmarkStart w:id="2616" w:name="_Toc5632"/>
      <w:bookmarkStart w:id="2617" w:name="_Toc19856"/>
      <w:bookmarkStart w:id="2618" w:name="_Toc3849"/>
      <w:bookmarkStart w:id="2619" w:name="_Toc300835171"/>
      <w:bookmarkStart w:id="2620" w:name="_Toc11643_WPSOffice_Level2"/>
      <w:bookmarkStart w:id="2621" w:name="_Toc519085520"/>
      <w:bookmarkStart w:id="2622" w:name="_Toc24280"/>
      <w:bookmarkStart w:id="2623" w:name="_Toc28997"/>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3</w:t>
      </w:r>
      <w:bookmarkEnd w:id="2616"/>
      <w:bookmarkEnd w:id="2617"/>
      <w:r>
        <w:rPr>
          <w:color w:val="auto"/>
          <w:highlight w:val="none"/>
        </w:rPr>
        <w:t xml:space="preserve"> </w:t>
      </w:r>
      <w:r>
        <w:rPr>
          <w:rStyle w:val="79"/>
          <w:color w:val="auto"/>
          <w:highlight w:val="none"/>
        </w:rPr>
        <w:t>缺陷责任期的延长</w:t>
      </w:r>
      <w:bookmarkEnd w:id="2618"/>
      <w:bookmarkEnd w:id="2619"/>
      <w:bookmarkEnd w:id="2620"/>
      <w:bookmarkEnd w:id="2621"/>
      <w:bookmarkEnd w:id="2622"/>
      <w:bookmarkEnd w:id="2623"/>
    </w:p>
    <w:p w14:paraId="65E89688">
      <w:pPr>
        <w:spacing w:line="360" w:lineRule="auto"/>
        <w:ind w:firstLine="420" w:firstLineChars="200"/>
        <w:rPr>
          <w:color w:val="auto"/>
          <w:szCs w:val="21"/>
          <w:highlight w:val="none"/>
        </w:rPr>
      </w:pPr>
      <w:r>
        <w:rPr>
          <w:rFonts w:hAnsi="宋体"/>
          <w:color w:val="auto"/>
          <w:szCs w:val="21"/>
          <w:highlight w:val="none"/>
        </w:rPr>
        <w:t>由于承包人原因造成某项缺陷或损坏使某项工程或工程设备不能按原定目标使用而需要再次检查、检验和修复的，发包人有权要求承包人相应延长缺陷责任期，但缺陷责任期最长不超过</w:t>
      </w:r>
      <w:r>
        <w:rPr>
          <w:color w:val="auto"/>
          <w:szCs w:val="21"/>
          <w:highlight w:val="none"/>
        </w:rPr>
        <w:t>2</w:t>
      </w:r>
      <w:r>
        <w:rPr>
          <w:rFonts w:hAnsi="宋体"/>
          <w:color w:val="auto"/>
          <w:szCs w:val="21"/>
          <w:highlight w:val="none"/>
        </w:rPr>
        <w:t>年。</w:t>
      </w:r>
    </w:p>
    <w:p w14:paraId="4F31F908">
      <w:pPr>
        <w:pStyle w:val="6"/>
        <w:spacing w:before="159"/>
        <w:rPr>
          <w:color w:val="auto"/>
          <w:highlight w:val="none"/>
        </w:rPr>
      </w:pPr>
      <w:bookmarkStart w:id="2624" w:name="_Toc9689"/>
      <w:bookmarkStart w:id="2625" w:name="_Toc27974"/>
      <w:bookmarkStart w:id="2626" w:name="_Toc23326"/>
      <w:bookmarkStart w:id="2627" w:name="_Toc534"/>
      <w:bookmarkStart w:id="2628" w:name="_Toc25817_WPSOffice_Level2"/>
      <w:bookmarkStart w:id="2629" w:name="_Toc23568"/>
      <w:bookmarkStart w:id="2630" w:name="_Toc519085521"/>
      <w:bookmarkStart w:id="2631" w:name="_Toc30083517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4</w:t>
      </w:r>
      <w:bookmarkEnd w:id="2624"/>
      <w:bookmarkEnd w:id="2625"/>
      <w:r>
        <w:rPr>
          <w:color w:val="auto"/>
          <w:highlight w:val="none"/>
        </w:rPr>
        <w:t xml:space="preserve"> </w:t>
      </w:r>
      <w:r>
        <w:rPr>
          <w:rStyle w:val="79"/>
          <w:color w:val="auto"/>
          <w:highlight w:val="none"/>
        </w:rPr>
        <w:t>进一步试验和试运行</w:t>
      </w:r>
      <w:bookmarkEnd w:id="2626"/>
      <w:bookmarkEnd w:id="2627"/>
      <w:bookmarkEnd w:id="2628"/>
      <w:bookmarkEnd w:id="2629"/>
      <w:bookmarkEnd w:id="2630"/>
      <w:bookmarkEnd w:id="2631"/>
    </w:p>
    <w:p w14:paraId="286B51AF">
      <w:pPr>
        <w:spacing w:line="360" w:lineRule="auto"/>
        <w:ind w:firstLine="420" w:firstLineChars="200"/>
        <w:rPr>
          <w:color w:val="auto"/>
          <w:szCs w:val="21"/>
          <w:highlight w:val="none"/>
        </w:rPr>
      </w:pPr>
      <w:r>
        <w:rPr>
          <w:rFonts w:hAnsi="宋体"/>
          <w:color w:val="auto"/>
          <w:szCs w:val="21"/>
          <w:highlight w:val="none"/>
        </w:rPr>
        <w:t>任何一项缺陷或损坏修复后，经检查证明其影响了工程或工程设备的使用性能，承包人应重新进行合同约定的试验和试运行，试验和试运行的全部费用应由责任方承担。</w:t>
      </w:r>
    </w:p>
    <w:p w14:paraId="2F29E28F">
      <w:pPr>
        <w:pStyle w:val="6"/>
        <w:spacing w:before="159"/>
        <w:rPr>
          <w:color w:val="auto"/>
          <w:highlight w:val="none"/>
        </w:rPr>
      </w:pPr>
      <w:bookmarkStart w:id="2632" w:name="_Toc11252"/>
      <w:bookmarkStart w:id="2633" w:name="_Toc13460"/>
      <w:bookmarkStart w:id="2634" w:name="_Toc22659"/>
      <w:bookmarkStart w:id="2635" w:name="_Toc2191"/>
      <w:bookmarkStart w:id="2636" w:name="_Toc519085522"/>
      <w:bookmarkStart w:id="2637" w:name="_Toc300835173"/>
      <w:bookmarkStart w:id="2638" w:name="_Toc27887_WPSOffice_Level2"/>
      <w:bookmarkStart w:id="2639" w:name="_Toc2371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5</w:t>
      </w:r>
      <w:bookmarkEnd w:id="2632"/>
      <w:bookmarkEnd w:id="2633"/>
      <w:r>
        <w:rPr>
          <w:color w:val="auto"/>
          <w:highlight w:val="none"/>
        </w:rPr>
        <w:t xml:space="preserve"> </w:t>
      </w:r>
      <w:r>
        <w:rPr>
          <w:rStyle w:val="79"/>
          <w:color w:val="auto"/>
          <w:highlight w:val="none"/>
        </w:rPr>
        <w:t>承包人的进入权</w:t>
      </w:r>
      <w:bookmarkEnd w:id="2634"/>
      <w:bookmarkEnd w:id="2635"/>
      <w:bookmarkEnd w:id="2636"/>
      <w:bookmarkEnd w:id="2637"/>
      <w:bookmarkEnd w:id="2638"/>
      <w:bookmarkEnd w:id="2639"/>
    </w:p>
    <w:p w14:paraId="674DA664">
      <w:pPr>
        <w:spacing w:line="360" w:lineRule="auto"/>
        <w:ind w:firstLine="420" w:firstLineChars="200"/>
        <w:rPr>
          <w:color w:val="auto"/>
          <w:szCs w:val="21"/>
          <w:highlight w:val="none"/>
        </w:rPr>
      </w:pPr>
      <w:r>
        <w:rPr>
          <w:rFonts w:hAnsi="宋体"/>
          <w:color w:val="auto"/>
          <w:szCs w:val="21"/>
          <w:highlight w:val="none"/>
        </w:rPr>
        <w:t>缺陷责任期内承包人为缺陷修复工作需要，有权进入工程现场，但应遵守发包人的保安和保密规定。</w:t>
      </w:r>
    </w:p>
    <w:p w14:paraId="7C46D33D">
      <w:pPr>
        <w:pStyle w:val="6"/>
        <w:spacing w:before="159"/>
        <w:rPr>
          <w:color w:val="auto"/>
          <w:highlight w:val="none"/>
        </w:rPr>
      </w:pPr>
      <w:bookmarkStart w:id="2640" w:name="_Toc29880"/>
      <w:bookmarkStart w:id="2641" w:name="_Toc28331"/>
      <w:bookmarkStart w:id="2642" w:name="_Toc29323"/>
      <w:bookmarkStart w:id="2643" w:name="_Toc25297"/>
      <w:bookmarkStart w:id="2644" w:name="_Toc300835174"/>
      <w:bookmarkStart w:id="2645" w:name="_Toc24337"/>
      <w:bookmarkStart w:id="2646" w:name="_Toc519085523"/>
      <w:bookmarkStart w:id="2647" w:name="_Toc25353_WPSOffice_Level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6</w:t>
      </w:r>
      <w:bookmarkEnd w:id="2640"/>
      <w:bookmarkEnd w:id="2641"/>
      <w:r>
        <w:rPr>
          <w:color w:val="auto"/>
          <w:highlight w:val="none"/>
        </w:rPr>
        <w:t xml:space="preserve"> </w:t>
      </w:r>
      <w:r>
        <w:rPr>
          <w:rStyle w:val="79"/>
          <w:color w:val="auto"/>
          <w:highlight w:val="none"/>
        </w:rPr>
        <w:t>缺陷责任期终止证书</w:t>
      </w:r>
      <w:bookmarkEnd w:id="2642"/>
      <w:bookmarkEnd w:id="2643"/>
      <w:bookmarkEnd w:id="2644"/>
      <w:bookmarkEnd w:id="2645"/>
      <w:bookmarkEnd w:id="2646"/>
      <w:bookmarkEnd w:id="2647"/>
    </w:p>
    <w:p w14:paraId="79AFA8CA">
      <w:pPr>
        <w:spacing w:line="360" w:lineRule="auto"/>
        <w:ind w:firstLine="420" w:firstLineChars="200"/>
        <w:rPr>
          <w:color w:val="auto"/>
          <w:szCs w:val="21"/>
          <w:highlight w:val="none"/>
        </w:rPr>
      </w:pPr>
      <w:r>
        <w:rPr>
          <w:rFonts w:hAnsi="宋体"/>
          <w:color w:val="auto"/>
          <w:szCs w:val="21"/>
          <w:highlight w:val="none"/>
        </w:rPr>
        <w:t>在第</w:t>
      </w:r>
      <w:r>
        <w:rPr>
          <w:color w:val="auto"/>
          <w:highlight w:val="none"/>
        </w:rPr>
        <w:t>1.1.4.5</w:t>
      </w:r>
      <w:r>
        <w:rPr>
          <w:rFonts w:hAnsi="宋体"/>
          <w:color w:val="auto"/>
          <w:szCs w:val="21"/>
          <w:highlight w:val="none"/>
        </w:rPr>
        <w:t>目约定的缺陷责任期，包括根据</w:t>
      </w:r>
      <w:r>
        <w:rPr>
          <w:rFonts w:hAnsi="宋体"/>
          <w:color w:val="auto"/>
          <w:highlight w:val="none"/>
        </w:rPr>
        <w:t>第</w:t>
      </w:r>
      <w:r>
        <w:rPr>
          <w:color w:val="auto"/>
          <w:highlight w:val="none"/>
        </w:rPr>
        <w:t>19.3</w:t>
      </w:r>
      <w:r>
        <w:rPr>
          <w:rFonts w:hAnsi="宋体"/>
          <w:color w:val="auto"/>
          <w:highlight w:val="none"/>
        </w:rPr>
        <w:t>款延长的期限终止后</w:t>
      </w:r>
      <w:r>
        <w:rPr>
          <w:color w:val="auto"/>
          <w:highlight w:val="none"/>
        </w:rPr>
        <w:t>14</w:t>
      </w:r>
      <w:r>
        <w:rPr>
          <w:rFonts w:hAnsi="宋体"/>
          <w:color w:val="auto"/>
          <w:highlight w:val="none"/>
        </w:rPr>
        <w:t>天内，由</w:t>
      </w:r>
      <w:r>
        <w:rPr>
          <w:rFonts w:hAnsi="宋体"/>
          <w:color w:val="auto"/>
          <w:szCs w:val="21"/>
          <w:highlight w:val="none"/>
        </w:rPr>
        <w:t>监理人向承包人出具经发包人签认的缺陷责任期终止证书，并退还剩余的质量保证金。</w:t>
      </w:r>
    </w:p>
    <w:p w14:paraId="43F3E29C">
      <w:pPr>
        <w:pStyle w:val="6"/>
        <w:spacing w:before="159"/>
        <w:rPr>
          <w:color w:val="auto"/>
          <w:highlight w:val="none"/>
        </w:rPr>
      </w:pPr>
      <w:bookmarkStart w:id="2648" w:name="_Toc14801"/>
      <w:bookmarkStart w:id="2649" w:name="_Toc24988"/>
      <w:bookmarkStart w:id="2650" w:name="_Toc19161_WPSOffice_Level2"/>
      <w:bookmarkStart w:id="2651" w:name="_Toc4155"/>
      <w:bookmarkStart w:id="2652" w:name="_Toc150"/>
      <w:bookmarkStart w:id="2653" w:name="_Toc519085524"/>
      <w:bookmarkStart w:id="2654" w:name="_Toc15972"/>
      <w:bookmarkStart w:id="2655" w:name="_Toc300835175"/>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7</w:t>
      </w:r>
      <w:bookmarkEnd w:id="2648"/>
      <w:bookmarkEnd w:id="2649"/>
      <w:r>
        <w:rPr>
          <w:color w:val="auto"/>
          <w:highlight w:val="none"/>
        </w:rPr>
        <w:t xml:space="preserve"> </w:t>
      </w:r>
      <w:r>
        <w:rPr>
          <w:rStyle w:val="79"/>
          <w:color w:val="auto"/>
          <w:highlight w:val="none"/>
        </w:rPr>
        <w:t>保修责任</w:t>
      </w:r>
      <w:bookmarkEnd w:id="2650"/>
      <w:bookmarkEnd w:id="2651"/>
      <w:bookmarkEnd w:id="2652"/>
      <w:bookmarkEnd w:id="2653"/>
      <w:bookmarkEnd w:id="2654"/>
      <w:bookmarkEnd w:id="2655"/>
    </w:p>
    <w:p w14:paraId="49CAF24D">
      <w:pPr>
        <w:spacing w:line="360" w:lineRule="auto"/>
        <w:ind w:firstLine="420" w:firstLineChars="200"/>
        <w:rPr>
          <w:color w:val="auto"/>
          <w:szCs w:val="21"/>
          <w:highlight w:val="none"/>
        </w:rPr>
      </w:pPr>
      <w:r>
        <w:rPr>
          <w:rFonts w:hAnsi="宋体"/>
          <w:color w:val="auto"/>
          <w:szCs w:val="21"/>
          <w:highlight w:val="none"/>
        </w:rPr>
        <w:t>合同当事人根据有关法律规定，在专用合同条款中约定工程质量保修范围、期限和责任。保修期自实际竣工日期起计算。在全部工程竣工验收前，已经发包人提前验收的区段工程，其保修期的起算日期相应提前。</w:t>
      </w:r>
    </w:p>
    <w:p w14:paraId="5E3E5683">
      <w:pPr>
        <w:pStyle w:val="5"/>
        <w:spacing w:before="159"/>
        <w:rPr>
          <w:rFonts w:ascii="Times New Roman" w:hAnsi="Times New Roman" w:eastAsia="宋体"/>
          <w:color w:val="auto"/>
          <w:highlight w:val="none"/>
        </w:rPr>
      </w:pPr>
      <w:bookmarkStart w:id="2656" w:name="_Toc5505_WPSOffice_Level1"/>
      <w:bookmarkStart w:id="2657" w:name="_Toc300835176"/>
      <w:bookmarkStart w:id="2658" w:name="_Toc519085525"/>
      <w:bookmarkStart w:id="2659" w:name="_Toc26875"/>
      <w:bookmarkStart w:id="2660" w:name="_Toc23360"/>
      <w:bookmarkStart w:id="2661" w:name="_Toc17508"/>
      <w:bookmarkStart w:id="2662" w:name="_Toc17127"/>
      <w:bookmarkStart w:id="2663" w:name="_Toc287"/>
      <w:r>
        <w:rPr>
          <w:rFonts w:ascii="Times New Roman" w:hAnsi="Times New Roman" w:eastAsia="宋体"/>
          <w:color w:val="auto"/>
          <w:highlight w:val="none"/>
        </w:rPr>
        <w:t xml:space="preserve">20. </w:t>
      </w:r>
      <w:r>
        <w:rPr>
          <w:rStyle w:val="65"/>
          <w:color w:val="auto"/>
          <w:highlight w:val="none"/>
        </w:rPr>
        <w:t>保险</w:t>
      </w:r>
      <w:bookmarkEnd w:id="2656"/>
      <w:bookmarkEnd w:id="2657"/>
      <w:bookmarkEnd w:id="2658"/>
      <w:bookmarkEnd w:id="2659"/>
      <w:bookmarkEnd w:id="2660"/>
      <w:bookmarkEnd w:id="2661"/>
      <w:bookmarkEnd w:id="2662"/>
      <w:bookmarkEnd w:id="2663"/>
    </w:p>
    <w:p w14:paraId="6D1144CE">
      <w:pPr>
        <w:pStyle w:val="6"/>
        <w:spacing w:before="159"/>
        <w:rPr>
          <w:color w:val="auto"/>
          <w:highlight w:val="none"/>
        </w:rPr>
      </w:pPr>
      <w:bookmarkStart w:id="2664" w:name="_Toc15872"/>
      <w:bookmarkStart w:id="2665" w:name="_Toc9143"/>
      <w:bookmarkStart w:id="2666" w:name="_Toc26647"/>
      <w:bookmarkStart w:id="2667" w:name="_Toc300835177"/>
      <w:bookmarkStart w:id="2668" w:name="_Toc8959"/>
      <w:bookmarkStart w:id="2669" w:name="_Toc18409"/>
      <w:bookmarkStart w:id="2670" w:name="_Toc16217_WPSOffice_Level2"/>
      <w:bookmarkStart w:id="2671" w:name="_Toc519085526"/>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1</w:t>
      </w:r>
      <w:bookmarkEnd w:id="2664"/>
      <w:bookmarkEnd w:id="2665"/>
      <w:r>
        <w:rPr>
          <w:color w:val="auto"/>
          <w:highlight w:val="none"/>
        </w:rPr>
        <w:t xml:space="preserve"> </w:t>
      </w:r>
      <w:r>
        <w:rPr>
          <w:rStyle w:val="79"/>
          <w:color w:val="auto"/>
          <w:highlight w:val="none"/>
        </w:rPr>
        <w:t>设计和工程保险</w:t>
      </w:r>
      <w:bookmarkEnd w:id="2666"/>
      <w:bookmarkEnd w:id="2667"/>
      <w:bookmarkEnd w:id="2668"/>
      <w:bookmarkEnd w:id="2669"/>
      <w:bookmarkEnd w:id="2670"/>
      <w:bookmarkEnd w:id="2671"/>
    </w:p>
    <w:p w14:paraId="5048683E">
      <w:pPr>
        <w:spacing w:line="360" w:lineRule="auto"/>
        <w:ind w:firstLine="420" w:firstLineChars="200"/>
        <w:rPr>
          <w:color w:val="auto"/>
          <w:szCs w:val="21"/>
          <w:highlight w:val="none"/>
        </w:rPr>
      </w:pPr>
      <w:r>
        <w:rPr>
          <w:color w:val="auto"/>
          <w:highlight w:val="none"/>
        </w:rPr>
        <w:t xml:space="preserve">20.1.1 </w:t>
      </w:r>
      <w:r>
        <w:rPr>
          <w:rFonts w:hAnsi="宋体"/>
          <w:color w:val="auto"/>
          <w:highlight w:val="none"/>
        </w:rPr>
        <w:t>承包人按照专用合同条款的约定向双方同意的保险人投保建设工程设计责任险、建筑工程一切险或安装工程一切险等保险。具体的投保险种、保险范围、保险金额、保险费率、保险期限等有关内容应当在专用合同条款中明确约定。</w:t>
      </w:r>
    </w:p>
    <w:p w14:paraId="5CCD7CD4">
      <w:pPr>
        <w:spacing w:line="360" w:lineRule="auto"/>
        <w:ind w:firstLine="420" w:firstLineChars="200"/>
        <w:rPr>
          <w:color w:val="auto"/>
          <w:szCs w:val="21"/>
          <w:highlight w:val="none"/>
        </w:rPr>
      </w:pPr>
      <w:r>
        <w:rPr>
          <w:color w:val="auto"/>
          <w:highlight w:val="none"/>
        </w:rPr>
        <w:t xml:space="preserve">20.1.2 </w:t>
      </w:r>
      <w:r>
        <w:rPr>
          <w:rFonts w:hAnsi="宋体"/>
          <w:color w:val="auto"/>
          <w:szCs w:val="21"/>
          <w:highlight w:val="none"/>
        </w:rPr>
        <w:t>在缺陷责任期终止证书颁发前，承包人应按照专用合同条款的约定投保第三者责任险。</w:t>
      </w:r>
    </w:p>
    <w:p w14:paraId="18A6FCD0">
      <w:pPr>
        <w:pStyle w:val="6"/>
        <w:spacing w:before="159"/>
        <w:rPr>
          <w:color w:val="auto"/>
          <w:highlight w:val="none"/>
        </w:rPr>
      </w:pPr>
      <w:bookmarkStart w:id="2672" w:name="_Toc15746"/>
      <w:bookmarkStart w:id="2673" w:name="_Toc6777"/>
      <w:bookmarkStart w:id="2674" w:name="_Toc12075_WPSOffice_Level2"/>
      <w:bookmarkStart w:id="2675" w:name="_Toc519085527"/>
      <w:bookmarkStart w:id="2676" w:name="_Toc10983"/>
      <w:bookmarkStart w:id="2677" w:name="_Toc14109"/>
      <w:bookmarkStart w:id="2678" w:name="_Toc300835178"/>
      <w:bookmarkStart w:id="2679" w:name="_Toc14317"/>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2</w:t>
      </w:r>
      <w:bookmarkEnd w:id="2672"/>
      <w:bookmarkEnd w:id="2673"/>
      <w:r>
        <w:rPr>
          <w:color w:val="auto"/>
          <w:highlight w:val="none"/>
        </w:rPr>
        <w:t xml:space="preserve"> </w:t>
      </w:r>
      <w:r>
        <w:rPr>
          <w:rStyle w:val="79"/>
          <w:color w:val="auto"/>
          <w:highlight w:val="none"/>
        </w:rPr>
        <w:t>工伤保险</w:t>
      </w:r>
      <w:bookmarkEnd w:id="2674"/>
      <w:bookmarkEnd w:id="2675"/>
      <w:bookmarkEnd w:id="2676"/>
      <w:bookmarkEnd w:id="2677"/>
      <w:bookmarkEnd w:id="2678"/>
      <w:bookmarkEnd w:id="2679"/>
    </w:p>
    <w:p w14:paraId="53571F5A">
      <w:pPr>
        <w:spacing w:line="360" w:lineRule="auto"/>
        <w:ind w:firstLine="420" w:firstLineChars="200"/>
        <w:rPr>
          <w:color w:val="auto"/>
          <w:szCs w:val="21"/>
          <w:highlight w:val="none"/>
        </w:rPr>
      </w:pPr>
      <w:r>
        <w:rPr>
          <w:color w:val="auto"/>
          <w:highlight w:val="none"/>
        </w:rPr>
        <w:t>20.2.1</w:t>
      </w:r>
      <w:r>
        <w:rPr>
          <w:color w:val="auto"/>
          <w:szCs w:val="21"/>
          <w:highlight w:val="none"/>
        </w:rPr>
        <w:t xml:space="preserve"> </w:t>
      </w:r>
      <w:r>
        <w:rPr>
          <w:rFonts w:hAnsi="宋体"/>
          <w:color w:val="auto"/>
          <w:szCs w:val="21"/>
          <w:highlight w:val="none"/>
        </w:rPr>
        <w:t>承包人员工伤保险</w:t>
      </w:r>
    </w:p>
    <w:p w14:paraId="23381FCC">
      <w:pPr>
        <w:spacing w:line="360" w:lineRule="auto"/>
        <w:ind w:firstLine="420" w:firstLineChars="200"/>
        <w:rPr>
          <w:color w:val="auto"/>
          <w:szCs w:val="21"/>
          <w:highlight w:val="none"/>
        </w:rPr>
      </w:pPr>
      <w:r>
        <w:rPr>
          <w:rFonts w:hAnsi="宋体"/>
          <w:color w:val="auto"/>
          <w:szCs w:val="21"/>
          <w:highlight w:val="none"/>
        </w:rPr>
        <w:t>承包人应依照有关法律规定，为其履行合同所雇佣的全部人员投保工伤保险，缴纳工伤保险费，并要求其分包人也投保此项保险。</w:t>
      </w:r>
    </w:p>
    <w:p w14:paraId="409FA7FE">
      <w:pPr>
        <w:spacing w:line="360" w:lineRule="auto"/>
        <w:ind w:firstLine="420" w:firstLineChars="200"/>
        <w:rPr>
          <w:color w:val="auto"/>
          <w:szCs w:val="21"/>
          <w:highlight w:val="none"/>
        </w:rPr>
      </w:pPr>
      <w:r>
        <w:rPr>
          <w:color w:val="auto"/>
          <w:highlight w:val="none"/>
        </w:rPr>
        <w:t>20.2.2</w:t>
      </w:r>
      <w:r>
        <w:rPr>
          <w:color w:val="auto"/>
          <w:szCs w:val="21"/>
          <w:highlight w:val="none"/>
        </w:rPr>
        <w:t xml:space="preserve"> </w:t>
      </w:r>
      <w:r>
        <w:rPr>
          <w:rFonts w:hAnsi="宋体"/>
          <w:color w:val="auto"/>
          <w:szCs w:val="21"/>
          <w:highlight w:val="none"/>
        </w:rPr>
        <w:t>发包人员工伤保险</w:t>
      </w:r>
    </w:p>
    <w:p w14:paraId="35123737">
      <w:pPr>
        <w:spacing w:line="360" w:lineRule="auto"/>
        <w:ind w:firstLine="420" w:firstLineChars="200"/>
        <w:rPr>
          <w:color w:val="auto"/>
          <w:szCs w:val="21"/>
          <w:highlight w:val="none"/>
        </w:rPr>
      </w:pPr>
      <w:r>
        <w:rPr>
          <w:rFonts w:hAnsi="宋体"/>
          <w:color w:val="auto"/>
          <w:szCs w:val="21"/>
          <w:highlight w:val="none"/>
        </w:rPr>
        <w:t>发包人应依照有关法律规定，为其现场机构雇佣的全部人员投保工伤保险，缴纳工伤保险费，并要求其监理人也进行此项保险。</w:t>
      </w:r>
    </w:p>
    <w:p w14:paraId="620D3F4A">
      <w:pPr>
        <w:pStyle w:val="6"/>
        <w:spacing w:before="159"/>
        <w:rPr>
          <w:color w:val="auto"/>
          <w:highlight w:val="none"/>
        </w:rPr>
      </w:pPr>
      <w:bookmarkStart w:id="2680" w:name="_Toc23461"/>
      <w:bookmarkStart w:id="2681" w:name="_Toc10826"/>
      <w:bookmarkStart w:id="2682" w:name="_Toc17758"/>
      <w:bookmarkStart w:id="2683" w:name="_Toc5894_WPSOffice_Level2"/>
      <w:bookmarkStart w:id="2684" w:name="_Toc26756"/>
      <w:bookmarkStart w:id="2685" w:name="_Toc300835179"/>
      <w:bookmarkStart w:id="2686" w:name="_Toc519085528"/>
      <w:bookmarkStart w:id="2687" w:name="_Toc28401"/>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3</w:t>
      </w:r>
      <w:bookmarkEnd w:id="2680"/>
      <w:bookmarkEnd w:id="2681"/>
      <w:r>
        <w:rPr>
          <w:color w:val="auto"/>
          <w:highlight w:val="none"/>
        </w:rPr>
        <w:t xml:space="preserve"> </w:t>
      </w:r>
      <w:r>
        <w:rPr>
          <w:rStyle w:val="79"/>
          <w:color w:val="auto"/>
          <w:highlight w:val="none"/>
        </w:rPr>
        <w:t>人身意外伤害险</w:t>
      </w:r>
      <w:bookmarkEnd w:id="2682"/>
      <w:bookmarkEnd w:id="2683"/>
      <w:bookmarkEnd w:id="2684"/>
      <w:bookmarkEnd w:id="2685"/>
      <w:bookmarkEnd w:id="2686"/>
      <w:bookmarkEnd w:id="2687"/>
    </w:p>
    <w:p w14:paraId="688203B7">
      <w:pPr>
        <w:spacing w:line="360" w:lineRule="auto"/>
        <w:ind w:firstLine="420" w:firstLineChars="200"/>
        <w:rPr>
          <w:color w:val="auto"/>
          <w:szCs w:val="21"/>
          <w:highlight w:val="none"/>
        </w:rPr>
      </w:pPr>
      <w:r>
        <w:rPr>
          <w:color w:val="auto"/>
          <w:highlight w:val="none"/>
        </w:rPr>
        <w:t>20.3.1</w:t>
      </w:r>
      <w:r>
        <w:rPr>
          <w:color w:val="auto"/>
          <w:szCs w:val="21"/>
          <w:highlight w:val="none"/>
        </w:rPr>
        <w:t xml:space="preserve"> </w:t>
      </w:r>
      <w:r>
        <w:rPr>
          <w:rFonts w:hAnsi="宋体"/>
          <w:color w:val="auto"/>
          <w:szCs w:val="21"/>
          <w:highlight w:val="none"/>
        </w:rPr>
        <w:t>发包人应在整个施工期间为其现场机构雇用的全部人员，投保人身意外伤害险，缴纳保险费，并要求其监理人也进行此项保险。</w:t>
      </w:r>
    </w:p>
    <w:p w14:paraId="0101854B">
      <w:pPr>
        <w:spacing w:line="360" w:lineRule="auto"/>
        <w:ind w:firstLine="420" w:firstLineChars="200"/>
        <w:rPr>
          <w:color w:val="auto"/>
          <w:szCs w:val="21"/>
          <w:highlight w:val="none"/>
        </w:rPr>
      </w:pPr>
      <w:r>
        <w:rPr>
          <w:color w:val="auto"/>
          <w:highlight w:val="none"/>
        </w:rPr>
        <w:t>20.3.2</w:t>
      </w:r>
      <w:r>
        <w:rPr>
          <w:color w:val="auto"/>
          <w:szCs w:val="21"/>
          <w:highlight w:val="none"/>
        </w:rPr>
        <w:t xml:space="preserve"> </w:t>
      </w:r>
      <w:r>
        <w:rPr>
          <w:rFonts w:hAnsi="宋体"/>
          <w:color w:val="auto"/>
          <w:szCs w:val="21"/>
          <w:highlight w:val="none"/>
        </w:rPr>
        <w:t>承包人应在整个施工期间为其现场机构雇用的全部人员，投保人身意外伤害险，缴纳保险费，并要求其分包人也进行此项保险。</w:t>
      </w:r>
      <w:r>
        <w:rPr>
          <w:color w:val="auto"/>
          <w:highlight w:val="none"/>
        </w:rPr>
        <w:t xml:space="preserve"> </w:t>
      </w:r>
    </w:p>
    <w:p w14:paraId="35B96F6C">
      <w:pPr>
        <w:pStyle w:val="6"/>
        <w:spacing w:before="159"/>
        <w:rPr>
          <w:color w:val="auto"/>
          <w:highlight w:val="none"/>
        </w:rPr>
      </w:pPr>
      <w:bookmarkStart w:id="2688" w:name="_Toc15358"/>
      <w:bookmarkStart w:id="2689" w:name="_Toc6348"/>
      <w:bookmarkStart w:id="2690" w:name="_Toc300835180"/>
      <w:bookmarkStart w:id="2691" w:name="_Toc28465_WPSOffice_Level2"/>
      <w:bookmarkStart w:id="2692" w:name="_Toc8908"/>
      <w:bookmarkStart w:id="2693" w:name="_Toc27536"/>
      <w:bookmarkStart w:id="2694" w:name="_Toc519085529"/>
      <w:bookmarkStart w:id="2695" w:name="_Toc25589"/>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4</w:t>
      </w:r>
      <w:bookmarkEnd w:id="2688"/>
      <w:bookmarkEnd w:id="2689"/>
      <w:r>
        <w:rPr>
          <w:color w:val="auto"/>
          <w:highlight w:val="none"/>
        </w:rPr>
        <w:t xml:space="preserve"> </w:t>
      </w:r>
      <w:r>
        <w:rPr>
          <w:rStyle w:val="79"/>
          <w:color w:val="auto"/>
          <w:highlight w:val="none"/>
        </w:rPr>
        <w:t>其他保险</w:t>
      </w:r>
      <w:bookmarkEnd w:id="2690"/>
      <w:bookmarkEnd w:id="2691"/>
      <w:bookmarkEnd w:id="2692"/>
      <w:bookmarkEnd w:id="2693"/>
      <w:bookmarkEnd w:id="2694"/>
      <w:bookmarkEnd w:id="2695"/>
    </w:p>
    <w:p w14:paraId="1D334B89">
      <w:pPr>
        <w:spacing w:line="360" w:lineRule="auto"/>
        <w:ind w:firstLine="420" w:firstLineChars="200"/>
        <w:rPr>
          <w:color w:val="auto"/>
          <w:szCs w:val="21"/>
          <w:highlight w:val="none"/>
        </w:rPr>
      </w:pPr>
      <w:r>
        <w:rPr>
          <w:rFonts w:hAnsi="宋体"/>
          <w:color w:val="auto"/>
          <w:szCs w:val="21"/>
          <w:highlight w:val="none"/>
        </w:rPr>
        <w:t>除专用合同条款另有约定外，承包人应为其施工设备、进场的材料和工程设备等办理保险。</w:t>
      </w:r>
    </w:p>
    <w:p w14:paraId="33619C2D">
      <w:pPr>
        <w:pStyle w:val="6"/>
        <w:spacing w:before="159"/>
        <w:rPr>
          <w:color w:val="auto"/>
          <w:highlight w:val="none"/>
        </w:rPr>
      </w:pPr>
      <w:bookmarkStart w:id="2696" w:name="_Toc4608"/>
      <w:bookmarkStart w:id="2697" w:name="_Toc25495"/>
      <w:bookmarkStart w:id="2698" w:name="_Toc300835181"/>
      <w:bookmarkStart w:id="2699" w:name="_Toc519085530"/>
      <w:bookmarkStart w:id="2700" w:name="_Toc22125_WPSOffice_Level2"/>
      <w:bookmarkStart w:id="2701" w:name="_Toc26863"/>
      <w:bookmarkStart w:id="2702" w:name="_Toc314"/>
      <w:bookmarkStart w:id="2703" w:name="_Toc32078"/>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5</w:t>
      </w:r>
      <w:bookmarkEnd w:id="2696"/>
      <w:bookmarkEnd w:id="2697"/>
      <w:r>
        <w:rPr>
          <w:color w:val="auto"/>
          <w:highlight w:val="none"/>
        </w:rPr>
        <w:t xml:space="preserve"> </w:t>
      </w:r>
      <w:r>
        <w:rPr>
          <w:rStyle w:val="79"/>
          <w:color w:val="auto"/>
          <w:highlight w:val="none"/>
        </w:rPr>
        <w:t>对各项保险的一般要求</w:t>
      </w:r>
      <w:bookmarkEnd w:id="2698"/>
      <w:bookmarkEnd w:id="2699"/>
      <w:bookmarkEnd w:id="2700"/>
      <w:bookmarkEnd w:id="2701"/>
      <w:bookmarkEnd w:id="2702"/>
      <w:bookmarkEnd w:id="2703"/>
    </w:p>
    <w:p w14:paraId="5137CA90">
      <w:pPr>
        <w:spacing w:line="360" w:lineRule="auto"/>
        <w:ind w:firstLine="420" w:firstLineChars="200"/>
        <w:rPr>
          <w:color w:val="auto"/>
          <w:szCs w:val="21"/>
          <w:highlight w:val="none"/>
        </w:rPr>
      </w:pPr>
      <w:r>
        <w:rPr>
          <w:color w:val="auto"/>
          <w:highlight w:val="none"/>
        </w:rPr>
        <w:t>20.5.1</w:t>
      </w:r>
      <w:r>
        <w:rPr>
          <w:color w:val="auto"/>
          <w:szCs w:val="21"/>
          <w:highlight w:val="none"/>
        </w:rPr>
        <w:t xml:space="preserve"> </w:t>
      </w:r>
      <w:r>
        <w:rPr>
          <w:rFonts w:hAnsi="宋体"/>
          <w:color w:val="auto"/>
          <w:szCs w:val="21"/>
          <w:highlight w:val="none"/>
        </w:rPr>
        <w:t>保险凭证</w:t>
      </w:r>
    </w:p>
    <w:p w14:paraId="353BBD83">
      <w:pPr>
        <w:spacing w:line="360" w:lineRule="auto"/>
        <w:ind w:firstLine="420" w:firstLineChars="200"/>
        <w:rPr>
          <w:color w:val="auto"/>
          <w:szCs w:val="21"/>
          <w:highlight w:val="none"/>
        </w:rPr>
      </w:pPr>
      <w:r>
        <w:rPr>
          <w:rFonts w:hAnsi="宋体"/>
          <w:color w:val="auto"/>
          <w:szCs w:val="21"/>
          <w:highlight w:val="none"/>
        </w:rPr>
        <w:t>承包人应在专用合同条款约定的期限内向发包人提交各项保险生效的证据和保险单副本，保险单必须与专用合同条款约定的条件保持一致。</w:t>
      </w:r>
    </w:p>
    <w:p w14:paraId="5AF8A194">
      <w:pPr>
        <w:spacing w:line="360" w:lineRule="auto"/>
        <w:ind w:firstLine="420" w:firstLineChars="200"/>
        <w:rPr>
          <w:color w:val="auto"/>
          <w:szCs w:val="21"/>
          <w:highlight w:val="none"/>
        </w:rPr>
      </w:pPr>
      <w:r>
        <w:rPr>
          <w:color w:val="auto"/>
          <w:highlight w:val="none"/>
        </w:rPr>
        <w:t>20.5.2</w:t>
      </w:r>
      <w:r>
        <w:rPr>
          <w:color w:val="auto"/>
          <w:szCs w:val="21"/>
          <w:highlight w:val="none"/>
        </w:rPr>
        <w:t xml:space="preserve"> </w:t>
      </w:r>
      <w:r>
        <w:rPr>
          <w:rFonts w:hAnsi="宋体"/>
          <w:color w:val="auto"/>
          <w:szCs w:val="21"/>
          <w:highlight w:val="none"/>
        </w:rPr>
        <w:t>保险合同条款的变动</w:t>
      </w:r>
    </w:p>
    <w:p w14:paraId="4430E3EC">
      <w:pPr>
        <w:spacing w:line="360" w:lineRule="auto"/>
        <w:ind w:firstLine="420" w:firstLineChars="200"/>
        <w:rPr>
          <w:color w:val="auto"/>
          <w:szCs w:val="21"/>
          <w:highlight w:val="none"/>
        </w:rPr>
      </w:pPr>
      <w:r>
        <w:rPr>
          <w:rFonts w:hAnsi="宋体"/>
          <w:color w:val="auto"/>
          <w:szCs w:val="21"/>
          <w:highlight w:val="none"/>
        </w:rPr>
        <w:t>承包人需要变动保险合同条款时，应事先征得发包人同意，并通知监理人。保险人作出变动的，承包人应在收到保险人通知后立即通知发包人和监理人。</w:t>
      </w:r>
    </w:p>
    <w:p w14:paraId="58FDB3CF">
      <w:pPr>
        <w:spacing w:line="360" w:lineRule="auto"/>
        <w:ind w:firstLine="420" w:firstLineChars="200"/>
        <w:rPr>
          <w:color w:val="auto"/>
          <w:szCs w:val="21"/>
          <w:highlight w:val="none"/>
        </w:rPr>
      </w:pPr>
      <w:r>
        <w:rPr>
          <w:color w:val="auto"/>
          <w:highlight w:val="none"/>
        </w:rPr>
        <w:t>20.5.3</w:t>
      </w:r>
      <w:r>
        <w:rPr>
          <w:color w:val="auto"/>
          <w:szCs w:val="21"/>
          <w:highlight w:val="none"/>
        </w:rPr>
        <w:t xml:space="preserve"> </w:t>
      </w:r>
      <w:r>
        <w:rPr>
          <w:rFonts w:hAnsi="宋体"/>
          <w:color w:val="auto"/>
          <w:szCs w:val="21"/>
          <w:highlight w:val="none"/>
        </w:rPr>
        <w:t>持续保险</w:t>
      </w:r>
    </w:p>
    <w:p w14:paraId="73FEF3FB">
      <w:pPr>
        <w:spacing w:line="360" w:lineRule="auto"/>
        <w:ind w:firstLine="420" w:firstLineChars="200"/>
        <w:rPr>
          <w:color w:val="auto"/>
          <w:szCs w:val="21"/>
          <w:highlight w:val="none"/>
        </w:rPr>
      </w:pPr>
      <w:r>
        <w:rPr>
          <w:rFonts w:hAnsi="宋体"/>
          <w:color w:val="auto"/>
          <w:szCs w:val="21"/>
          <w:highlight w:val="none"/>
        </w:rPr>
        <w:t>承包人应与保险人保持联系，使保险人能够随时了解工程实施中的变动，并确保按保险合同条款要求持续保险。</w:t>
      </w:r>
    </w:p>
    <w:p w14:paraId="4A246217">
      <w:pPr>
        <w:spacing w:line="360" w:lineRule="auto"/>
        <w:ind w:firstLine="420" w:firstLineChars="200"/>
        <w:rPr>
          <w:color w:val="auto"/>
          <w:szCs w:val="21"/>
          <w:highlight w:val="none"/>
        </w:rPr>
      </w:pPr>
      <w:r>
        <w:rPr>
          <w:color w:val="auto"/>
          <w:highlight w:val="none"/>
        </w:rPr>
        <w:t>20.5.4</w:t>
      </w:r>
      <w:r>
        <w:rPr>
          <w:color w:val="auto"/>
          <w:szCs w:val="21"/>
          <w:highlight w:val="none"/>
        </w:rPr>
        <w:t xml:space="preserve"> </w:t>
      </w:r>
      <w:r>
        <w:rPr>
          <w:rFonts w:hAnsi="宋体"/>
          <w:color w:val="auto"/>
          <w:szCs w:val="21"/>
          <w:highlight w:val="none"/>
        </w:rPr>
        <w:t>保险金不足的补偿</w:t>
      </w:r>
    </w:p>
    <w:p w14:paraId="56F280E3">
      <w:pPr>
        <w:spacing w:line="360" w:lineRule="auto"/>
        <w:ind w:firstLine="420" w:firstLineChars="200"/>
        <w:rPr>
          <w:color w:val="auto"/>
          <w:szCs w:val="21"/>
          <w:highlight w:val="none"/>
        </w:rPr>
      </w:pPr>
      <w:r>
        <w:rPr>
          <w:rFonts w:hAnsi="宋体"/>
          <w:color w:val="auto"/>
          <w:szCs w:val="21"/>
          <w:highlight w:val="none"/>
        </w:rPr>
        <w:t>保险金不足以补偿损失的，应由承包人和（或）发包人按合同约定负责补偿。</w:t>
      </w:r>
    </w:p>
    <w:p w14:paraId="57293351">
      <w:pPr>
        <w:spacing w:line="360" w:lineRule="auto"/>
        <w:ind w:firstLine="420" w:firstLineChars="200"/>
        <w:rPr>
          <w:color w:val="auto"/>
          <w:szCs w:val="21"/>
          <w:highlight w:val="none"/>
        </w:rPr>
      </w:pPr>
      <w:r>
        <w:rPr>
          <w:color w:val="auto"/>
          <w:highlight w:val="none"/>
        </w:rPr>
        <w:t>20.5.5</w:t>
      </w:r>
      <w:r>
        <w:rPr>
          <w:color w:val="auto"/>
          <w:szCs w:val="21"/>
          <w:highlight w:val="none"/>
        </w:rPr>
        <w:t xml:space="preserve"> </w:t>
      </w:r>
      <w:r>
        <w:rPr>
          <w:rFonts w:hAnsi="宋体"/>
          <w:color w:val="auto"/>
          <w:szCs w:val="21"/>
          <w:highlight w:val="none"/>
        </w:rPr>
        <w:t>未按约定投保的补救</w:t>
      </w:r>
    </w:p>
    <w:p w14:paraId="465EC168">
      <w:pPr>
        <w:spacing w:line="360" w:lineRule="auto"/>
        <w:ind w:firstLine="420" w:firstLineChars="200"/>
        <w:rPr>
          <w:color w:val="auto"/>
          <w:szCs w:val="21"/>
          <w:highlight w:val="none"/>
        </w:rPr>
      </w:pPr>
      <w:r>
        <w:rPr>
          <w:rFonts w:hAnsi="宋体"/>
          <w:color w:val="auto"/>
          <w:highlight w:val="none"/>
        </w:rPr>
        <w:t>（</w:t>
      </w:r>
      <w:r>
        <w:rPr>
          <w:color w:val="auto"/>
          <w:highlight w:val="none"/>
        </w:rPr>
        <w:t>1</w:t>
      </w:r>
      <w:r>
        <w:rPr>
          <w:rFonts w:hAnsi="宋体"/>
          <w:color w:val="auto"/>
          <w:highlight w:val="none"/>
        </w:rPr>
        <w:t>）</w:t>
      </w:r>
      <w:r>
        <w:rPr>
          <w:rFonts w:hAnsi="宋体"/>
          <w:color w:val="auto"/>
          <w:szCs w:val="21"/>
          <w:highlight w:val="none"/>
        </w:rPr>
        <w:t>由于负有投保义务的一方当事人未按合同约定办理保险，或未能使保险持续有效的，另一方当事人可代为办理，所需费用由对方当事人承担。</w:t>
      </w:r>
    </w:p>
    <w:p w14:paraId="1B896E84">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w:t>
      </w:r>
      <w:r>
        <w:rPr>
          <w:rFonts w:hAnsi="宋体"/>
          <w:color w:val="auto"/>
          <w:szCs w:val="21"/>
          <w:highlight w:val="none"/>
        </w:rPr>
        <w:t>由于负有投保义务的一方当事人未按合同约定办理某项保险，导致受益人未能得到保险人的赔偿，原应从该项保险得到的保险金应由负有投保义务的一方当事人支付。</w:t>
      </w:r>
    </w:p>
    <w:p w14:paraId="7AAC2558">
      <w:pPr>
        <w:spacing w:line="360" w:lineRule="auto"/>
        <w:ind w:firstLine="420" w:firstLineChars="200"/>
        <w:rPr>
          <w:color w:val="auto"/>
          <w:szCs w:val="21"/>
          <w:highlight w:val="none"/>
        </w:rPr>
      </w:pPr>
      <w:r>
        <w:rPr>
          <w:color w:val="auto"/>
          <w:highlight w:val="none"/>
        </w:rPr>
        <w:t>20.5.6</w:t>
      </w:r>
      <w:r>
        <w:rPr>
          <w:color w:val="auto"/>
          <w:szCs w:val="21"/>
          <w:highlight w:val="none"/>
        </w:rPr>
        <w:t xml:space="preserve"> </w:t>
      </w:r>
      <w:r>
        <w:rPr>
          <w:rFonts w:hAnsi="宋体"/>
          <w:color w:val="auto"/>
          <w:szCs w:val="21"/>
          <w:highlight w:val="none"/>
        </w:rPr>
        <w:t>报告义务</w:t>
      </w:r>
    </w:p>
    <w:p w14:paraId="7C40C3EA">
      <w:pPr>
        <w:spacing w:line="360" w:lineRule="auto"/>
        <w:ind w:firstLine="420" w:firstLineChars="200"/>
        <w:rPr>
          <w:color w:val="auto"/>
          <w:szCs w:val="21"/>
          <w:highlight w:val="none"/>
        </w:rPr>
      </w:pPr>
      <w:r>
        <w:rPr>
          <w:rFonts w:hAnsi="宋体"/>
          <w:color w:val="auto"/>
          <w:szCs w:val="21"/>
          <w:highlight w:val="none"/>
        </w:rPr>
        <w:t>当保险事故发生时，投保人应按照保险单规定的条件和期限及时向保险人报告。</w:t>
      </w:r>
    </w:p>
    <w:p w14:paraId="19096BD8">
      <w:pPr>
        <w:pStyle w:val="5"/>
        <w:spacing w:before="159"/>
        <w:rPr>
          <w:rFonts w:ascii="Times New Roman" w:hAnsi="Times New Roman" w:eastAsia="宋体"/>
          <w:color w:val="auto"/>
          <w:highlight w:val="none"/>
        </w:rPr>
      </w:pPr>
      <w:bookmarkStart w:id="2704" w:name="_Toc5512"/>
      <w:bookmarkStart w:id="2705" w:name="_Toc7261"/>
      <w:bookmarkStart w:id="2706" w:name="_Toc519085531"/>
      <w:bookmarkStart w:id="2707" w:name="_Toc300835182"/>
      <w:bookmarkStart w:id="2708" w:name="_Toc10699"/>
      <w:bookmarkStart w:id="2709" w:name="_Toc30620"/>
      <w:bookmarkStart w:id="2710" w:name="_Toc13486_WPSOffice_Level1"/>
      <w:bookmarkStart w:id="2711" w:name="_Toc15450"/>
      <w:r>
        <w:rPr>
          <w:rFonts w:ascii="Times New Roman" w:hAnsi="Times New Roman" w:eastAsia="宋体"/>
          <w:color w:val="auto"/>
          <w:highlight w:val="none"/>
        </w:rPr>
        <w:t xml:space="preserve">21. </w:t>
      </w:r>
      <w:r>
        <w:rPr>
          <w:rStyle w:val="65"/>
          <w:color w:val="auto"/>
          <w:highlight w:val="none"/>
        </w:rPr>
        <w:t>不可抗力</w:t>
      </w:r>
      <w:bookmarkEnd w:id="2704"/>
      <w:bookmarkEnd w:id="2705"/>
      <w:bookmarkEnd w:id="2706"/>
      <w:bookmarkEnd w:id="2707"/>
      <w:bookmarkEnd w:id="2708"/>
      <w:bookmarkEnd w:id="2709"/>
      <w:bookmarkEnd w:id="2710"/>
      <w:bookmarkEnd w:id="2711"/>
    </w:p>
    <w:p w14:paraId="3CAAC1C6">
      <w:pPr>
        <w:pStyle w:val="6"/>
        <w:spacing w:before="159"/>
        <w:rPr>
          <w:color w:val="auto"/>
          <w:highlight w:val="none"/>
        </w:rPr>
      </w:pPr>
      <w:bookmarkStart w:id="2712" w:name="_Toc17311"/>
      <w:bookmarkStart w:id="2713" w:name="_Toc21069"/>
      <w:bookmarkStart w:id="2714" w:name="_Toc5420"/>
      <w:bookmarkStart w:id="2715" w:name="_Toc300835183"/>
      <w:bookmarkStart w:id="2716" w:name="_Toc29826_WPSOffice_Level2"/>
      <w:bookmarkStart w:id="2717" w:name="_Toc2740"/>
      <w:bookmarkStart w:id="2718" w:name="_Toc519085532"/>
      <w:bookmarkStart w:id="2719" w:name="_Toc21938"/>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1</w:t>
      </w:r>
      <w:bookmarkEnd w:id="2712"/>
      <w:bookmarkEnd w:id="2713"/>
      <w:r>
        <w:rPr>
          <w:color w:val="auto"/>
          <w:highlight w:val="none"/>
        </w:rPr>
        <w:t xml:space="preserve"> </w:t>
      </w:r>
      <w:r>
        <w:rPr>
          <w:rStyle w:val="79"/>
          <w:color w:val="auto"/>
          <w:highlight w:val="none"/>
        </w:rPr>
        <w:t>不可抗力的确认</w:t>
      </w:r>
      <w:bookmarkEnd w:id="2714"/>
      <w:bookmarkEnd w:id="2715"/>
      <w:bookmarkEnd w:id="2716"/>
      <w:bookmarkEnd w:id="2717"/>
      <w:bookmarkEnd w:id="2718"/>
      <w:bookmarkEnd w:id="2719"/>
    </w:p>
    <w:p w14:paraId="404F6CE3">
      <w:pPr>
        <w:spacing w:line="360" w:lineRule="auto"/>
        <w:ind w:firstLine="420" w:firstLineChars="200"/>
        <w:rPr>
          <w:color w:val="auto"/>
          <w:highlight w:val="none"/>
        </w:rPr>
      </w:pPr>
      <w:r>
        <w:rPr>
          <w:color w:val="auto"/>
          <w:highlight w:val="none"/>
        </w:rPr>
        <w:t>21.1.1</w:t>
      </w:r>
      <w:r>
        <w:rPr>
          <w:color w:val="auto"/>
          <w:szCs w:val="21"/>
          <w:highlight w:val="none"/>
        </w:rPr>
        <w:t xml:space="preserve"> </w:t>
      </w:r>
      <w:r>
        <w:rPr>
          <w:rFonts w:hAnsi="宋体"/>
          <w:color w:val="auto"/>
          <w:szCs w:val="21"/>
          <w:highlight w:val="none"/>
        </w:rPr>
        <w:t>不可抗力是指承包人和发包人在订立合同时不可预见，在履行合同过程中不可避免发生并不能克服的自然灾害和社会性突发事件，如地震、海啸、瘟疫、水灾、骚乱、暴动、战争和专用合同条款约定的其</w:t>
      </w:r>
      <w:r>
        <w:rPr>
          <w:rFonts w:hAnsi="宋体"/>
          <w:color w:val="auto"/>
          <w:highlight w:val="none"/>
        </w:rPr>
        <w:t>他情形。</w:t>
      </w:r>
    </w:p>
    <w:p w14:paraId="08C27D62">
      <w:pPr>
        <w:spacing w:line="360" w:lineRule="auto"/>
        <w:ind w:firstLine="420" w:firstLineChars="200"/>
        <w:rPr>
          <w:color w:val="auto"/>
          <w:szCs w:val="21"/>
          <w:highlight w:val="none"/>
        </w:rPr>
      </w:pPr>
      <w:r>
        <w:rPr>
          <w:color w:val="auto"/>
          <w:highlight w:val="none"/>
        </w:rPr>
        <w:t>21.1.2</w:t>
      </w:r>
      <w:r>
        <w:rPr>
          <w:color w:val="auto"/>
          <w:szCs w:val="21"/>
          <w:highlight w:val="none"/>
        </w:rPr>
        <w:t xml:space="preserve"> </w:t>
      </w:r>
      <w:r>
        <w:rPr>
          <w:rFonts w:hAnsi="宋体"/>
          <w:color w:val="auto"/>
          <w:szCs w:val="21"/>
          <w:highlight w:val="none"/>
        </w:rPr>
        <w:t>不可抗力发生后，发包人和承包人应及时认真统计所造成的损失，收集不可抗力造成损失的证据。合同双方对是否属于不可抗力或其损失的意见不一致的，由监理人按第</w:t>
      </w:r>
      <w:r>
        <w:rPr>
          <w:color w:val="auto"/>
          <w:highlight w:val="none"/>
        </w:rPr>
        <w:t>3.5</w:t>
      </w:r>
      <w:r>
        <w:rPr>
          <w:color w:val="auto"/>
          <w:szCs w:val="21"/>
          <w:highlight w:val="none"/>
        </w:rPr>
        <w:t xml:space="preserve"> </w:t>
      </w:r>
      <w:r>
        <w:rPr>
          <w:rFonts w:hAnsi="宋体"/>
          <w:color w:val="auto"/>
          <w:szCs w:val="21"/>
          <w:highlight w:val="none"/>
        </w:rPr>
        <w:t>款商定或确定。发生争议时，按第</w:t>
      </w:r>
      <w:r>
        <w:rPr>
          <w:color w:val="auto"/>
          <w:szCs w:val="21"/>
          <w:highlight w:val="none"/>
        </w:rPr>
        <w:t>24</w:t>
      </w:r>
      <w:r>
        <w:rPr>
          <w:rFonts w:hAnsi="宋体"/>
          <w:color w:val="auto"/>
          <w:szCs w:val="21"/>
          <w:highlight w:val="none"/>
        </w:rPr>
        <w:t>条的约定执行。</w:t>
      </w:r>
    </w:p>
    <w:p w14:paraId="72ADA5DE">
      <w:pPr>
        <w:pStyle w:val="6"/>
        <w:spacing w:before="159"/>
        <w:rPr>
          <w:color w:val="auto"/>
          <w:highlight w:val="none"/>
        </w:rPr>
      </w:pPr>
      <w:bookmarkStart w:id="2720" w:name="_Toc739"/>
      <w:bookmarkStart w:id="2721" w:name="_Toc581"/>
      <w:bookmarkStart w:id="2722" w:name="_Toc519085533"/>
      <w:bookmarkStart w:id="2723" w:name="_Toc13389"/>
      <w:bookmarkStart w:id="2724" w:name="_Toc31730"/>
      <w:bookmarkStart w:id="2725" w:name="_Toc8687_WPSOffice_Level2"/>
      <w:bookmarkStart w:id="2726" w:name="_Toc300835184"/>
      <w:bookmarkStart w:id="2727" w:name="_Toc27447"/>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2</w:t>
      </w:r>
      <w:bookmarkEnd w:id="2720"/>
      <w:bookmarkEnd w:id="2721"/>
      <w:r>
        <w:rPr>
          <w:color w:val="auto"/>
          <w:highlight w:val="none"/>
        </w:rPr>
        <w:t xml:space="preserve"> </w:t>
      </w:r>
      <w:r>
        <w:rPr>
          <w:rStyle w:val="79"/>
          <w:color w:val="auto"/>
          <w:highlight w:val="none"/>
        </w:rPr>
        <w:t>不可抗力的通知</w:t>
      </w:r>
      <w:bookmarkEnd w:id="2722"/>
      <w:bookmarkEnd w:id="2723"/>
      <w:bookmarkEnd w:id="2724"/>
      <w:bookmarkEnd w:id="2725"/>
      <w:bookmarkEnd w:id="2726"/>
      <w:bookmarkEnd w:id="2727"/>
    </w:p>
    <w:p w14:paraId="00086914">
      <w:pPr>
        <w:spacing w:line="360" w:lineRule="auto"/>
        <w:ind w:firstLine="420" w:firstLineChars="200"/>
        <w:rPr>
          <w:color w:val="auto"/>
          <w:szCs w:val="21"/>
          <w:highlight w:val="none"/>
        </w:rPr>
      </w:pPr>
      <w:r>
        <w:rPr>
          <w:color w:val="auto"/>
          <w:highlight w:val="none"/>
        </w:rPr>
        <w:t>21.2.1</w:t>
      </w:r>
      <w:r>
        <w:rPr>
          <w:color w:val="auto"/>
          <w:szCs w:val="21"/>
          <w:highlight w:val="none"/>
        </w:rPr>
        <w:t xml:space="preserve"> </w:t>
      </w:r>
      <w:r>
        <w:rPr>
          <w:rFonts w:hAnsi="宋体"/>
          <w:color w:val="auto"/>
          <w:szCs w:val="21"/>
          <w:highlight w:val="none"/>
        </w:rPr>
        <w:t>合同一方当事人遇到不可抗力事件，使其履行合同义务受到阻碍时，应立即通知合同另一方当事人和监理人，书面说明不可抗力和受阻碍的详细情况，并提供必要的证明。</w:t>
      </w:r>
    </w:p>
    <w:p w14:paraId="3F4E1C1C">
      <w:pPr>
        <w:spacing w:line="360" w:lineRule="auto"/>
        <w:ind w:firstLine="420" w:firstLineChars="200"/>
        <w:rPr>
          <w:color w:val="auto"/>
          <w:szCs w:val="21"/>
          <w:highlight w:val="none"/>
        </w:rPr>
      </w:pPr>
      <w:r>
        <w:rPr>
          <w:color w:val="auto"/>
          <w:highlight w:val="none"/>
        </w:rPr>
        <w:t xml:space="preserve">21.2.2 </w:t>
      </w:r>
      <w:r>
        <w:rPr>
          <w:rFonts w:hAnsi="宋体"/>
          <w:color w:val="auto"/>
          <w:szCs w:val="21"/>
          <w:highlight w:val="none"/>
        </w:rPr>
        <w:t>如不可抗力持续发生，合同一方当事人应及时向合同另一方当事人和监理人提交中间报告，说明不可抗力和履行合同受阻的情况，并于不可抗力事件结束后</w:t>
      </w:r>
      <w:r>
        <w:rPr>
          <w:color w:val="auto"/>
          <w:szCs w:val="21"/>
          <w:highlight w:val="none"/>
        </w:rPr>
        <w:t>28</w:t>
      </w:r>
      <w:r>
        <w:rPr>
          <w:rFonts w:hAnsi="宋体"/>
          <w:color w:val="auto"/>
          <w:szCs w:val="21"/>
          <w:highlight w:val="none"/>
        </w:rPr>
        <w:t>天内提交最终报告及有关资料。</w:t>
      </w:r>
    </w:p>
    <w:p w14:paraId="42A515F3">
      <w:pPr>
        <w:pStyle w:val="6"/>
        <w:spacing w:before="159"/>
        <w:rPr>
          <w:color w:val="auto"/>
          <w:highlight w:val="none"/>
        </w:rPr>
      </w:pPr>
      <w:bookmarkStart w:id="2728" w:name="_Toc21151"/>
      <w:bookmarkStart w:id="2729" w:name="_Toc24669"/>
      <w:bookmarkStart w:id="2730" w:name="_Toc26501"/>
      <w:bookmarkStart w:id="2731" w:name="_Toc519085534"/>
      <w:bookmarkStart w:id="2732" w:name="_Toc300835185"/>
      <w:bookmarkStart w:id="2733" w:name="_Toc7387_WPSOffice_Level2"/>
      <w:bookmarkStart w:id="2734" w:name="_Toc8288"/>
      <w:bookmarkStart w:id="2735" w:name="_Toc10327"/>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3</w:t>
      </w:r>
      <w:bookmarkEnd w:id="2728"/>
      <w:bookmarkEnd w:id="2729"/>
      <w:r>
        <w:rPr>
          <w:color w:val="auto"/>
          <w:highlight w:val="none"/>
        </w:rPr>
        <w:t xml:space="preserve"> </w:t>
      </w:r>
      <w:r>
        <w:rPr>
          <w:rStyle w:val="79"/>
          <w:color w:val="auto"/>
          <w:highlight w:val="none"/>
        </w:rPr>
        <w:t>不可抗力后果及其处理</w:t>
      </w:r>
      <w:bookmarkEnd w:id="2730"/>
      <w:bookmarkEnd w:id="2731"/>
      <w:bookmarkEnd w:id="2732"/>
      <w:bookmarkEnd w:id="2733"/>
      <w:bookmarkEnd w:id="2734"/>
      <w:bookmarkEnd w:id="2735"/>
    </w:p>
    <w:p w14:paraId="1DD6FD80">
      <w:pPr>
        <w:spacing w:line="360" w:lineRule="auto"/>
        <w:ind w:firstLine="420" w:firstLineChars="200"/>
        <w:rPr>
          <w:color w:val="auto"/>
          <w:szCs w:val="21"/>
          <w:highlight w:val="none"/>
        </w:rPr>
      </w:pPr>
      <w:r>
        <w:rPr>
          <w:color w:val="auto"/>
          <w:highlight w:val="none"/>
        </w:rPr>
        <w:t>21.3.1</w:t>
      </w:r>
      <w:r>
        <w:rPr>
          <w:color w:val="auto"/>
          <w:szCs w:val="21"/>
          <w:highlight w:val="none"/>
        </w:rPr>
        <w:t xml:space="preserve"> </w:t>
      </w:r>
      <w:r>
        <w:rPr>
          <w:rFonts w:hAnsi="宋体"/>
          <w:color w:val="auto"/>
          <w:szCs w:val="21"/>
          <w:highlight w:val="none"/>
        </w:rPr>
        <w:t>不可抗力造成损害的责任</w:t>
      </w:r>
    </w:p>
    <w:p w14:paraId="29A86060">
      <w:pPr>
        <w:spacing w:line="360" w:lineRule="auto"/>
        <w:ind w:firstLine="420" w:firstLineChars="200"/>
        <w:rPr>
          <w:color w:val="auto"/>
          <w:szCs w:val="21"/>
          <w:highlight w:val="none"/>
        </w:rPr>
      </w:pPr>
      <w:r>
        <w:rPr>
          <w:rFonts w:hAnsi="宋体"/>
          <w:color w:val="auto"/>
          <w:szCs w:val="21"/>
          <w:highlight w:val="none"/>
        </w:rPr>
        <w:t>除专用合同条款另有约定外，不可抗力导致的人员伤亡、财产损失、费用增加和（或）工期延误等后果，由合同双方按以下原则承担：</w:t>
      </w:r>
    </w:p>
    <w:p w14:paraId="7BCC2417">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）永久工程，包括已运至施工场地的材料和工程设备的损害，以及因工程损害造成的第三者人员伤亡和财产损失由发包人承担；</w:t>
      </w:r>
    </w:p>
    <w:p w14:paraId="175ECE08">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）承包人设备的损坏由承包人承担；</w:t>
      </w:r>
    </w:p>
    <w:p w14:paraId="7D9C31E5">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）发包人和承包人各自承担其人员伤亡和其他财产损失及其相关费用；</w:t>
      </w:r>
    </w:p>
    <w:p w14:paraId="652E7FE1">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）承包人的停工损失由承包人承担，但停工期间应监理人要求照管工程和清理、修复工程的金额由发包人承担；</w:t>
      </w:r>
    </w:p>
    <w:p w14:paraId="35B8E632">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）不能按</w:t>
      </w:r>
      <w:r>
        <w:rPr>
          <w:rFonts w:hAnsi="宋体"/>
          <w:color w:val="auto"/>
          <w:szCs w:val="21"/>
          <w:highlight w:val="none"/>
        </w:rPr>
        <w:t>期竣工的，应合理延长工期，承包人不需支付逾期竣工违约金。发包人要求赶工的，承包人应采取赶工措施，赶工费用由发包人承担。</w:t>
      </w:r>
    </w:p>
    <w:p w14:paraId="1F597828">
      <w:pPr>
        <w:spacing w:line="360" w:lineRule="auto"/>
        <w:ind w:firstLine="420" w:firstLineChars="200"/>
        <w:rPr>
          <w:color w:val="auto"/>
          <w:szCs w:val="21"/>
          <w:highlight w:val="none"/>
        </w:rPr>
      </w:pPr>
      <w:r>
        <w:rPr>
          <w:color w:val="auto"/>
          <w:highlight w:val="none"/>
        </w:rPr>
        <w:t>21.3.2</w:t>
      </w:r>
      <w:r>
        <w:rPr>
          <w:color w:val="auto"/>
          <w:szCs w:val="21"/>
          <w:highlight w:val="none"/>
        </w:rPr>
        <w:t xml:space="preserve"> </w:t>
      </w:r>
      <w:r>
        <w:rPr>
          <w:rFonts w:hAnsi="宋体"/>
          <w:color w:val="auto"/>
          <w:szCs w:val="21"/>
          <w:highlight w:val="none"/>
        </w:rPr>
        <w:t>延迟履行期间发生的不可抗力</w:t>
      </w:r>
    </w:p>
    <w:p w14:paraId="05DB3136">
      <w:pPr>
        <w:spacing w:line="360" w:lineRule="auto"/>
        <w:ind w:firstLine="420" w:firstLineChars="200"/>
        <w:rPr>
          <w:color w:val="auto"/>
          <w:szCs w:val="21"/>
          <w:highlight w:val="none"/>
        </w:rPr>
      </w:pPr>
      <w:r>
        <w:rPr>
          <w:rFonts w:hAnsi="宋体"/>
          <w:color w:val="auto"/>
          <w:szCs w:val="21"/>
          <w:highlight w:val="none"/>
        </w:rPr>
        <w:t>合同一方当事人延迟履行，在延迟履行期间发生不可抗力的，不免除其责任。</w:t>
      </w:r>
    </w:p>
    <w:p w14:paraId="7C2F3836">
      <w:pPr>
        <w:spacing w:line="360" w:lineRule="auto"/>
        <w:ind w:firstLine="420" w:firstLineChars="200"/>
        <w:rPr>
          <w:color w:val="auto"/>
          <w:szCs w:val="21"/>
          <w:highlight w:val="none"/>
        </w:rPr>
      </w:pPr>
      <w:r>
        <w:rPr>
          <w:color w:val="auto"/>
          <w:highlight w:val="none"/>
        </w:rPr>
        <w:t>21.3.3</w:t>
      </w:r>
      <w:r>
        <w:rPr>
          <w:color w:val="auto"/>
          <w:szCs w:val="21"/>
          <w:highlight w:val="none"/>
        </w:rPr>
        <w:t xml:space="preserve"> </w:t>
      </w:r>
      <w:r>
        <w:rPr>
          <w:rFonts w:hAnsi="宋体"/>
          <w:color w:val="auto"/>
          <w:szCs w:val="21"/>
          <w:highlight w:val="none"/>
        </w:rPr>
        <w:t>避免和减少不可抗力损失</w:t>
      </w:r>
    </w:p>
    <w:p w14:paraId="715949F3">
      <w:pPr>
        <w:spacing w:line="360" w:lineRule="auto"/>
        <w:ind w:firstLine="420" w:firstLineChars="200"/>
        <w:rPr>
          <w:color w:val="auto"/>
          <w:szCs w:val="21"/>
          <w:highlight w:val="none"/>
        </w:rPr>
      </w:pPr>
      <w:r>
        <w:rPr>
          <w:rFonts w:hAnsi="宋体"/>
          <w:color w:val="auto"/>
          <w:szCs w:val="21"/>
          <w:highlight w:val="none"/>
        </w:rPr>
        <w:t>不可抗力发生后，发包人和承包人均应采取措施尽量避免和减少损失的扩大，任何一方没有采取有效措施导致损失扩大的，应对扩大的损失承担责任。</w:t>
      </w:r>
    </w:p>
    <w:p w14:paraId="473EA8C4">
      <w:pPr>
        <w:spacing w:line="360" w:lineRule="auto"/>
        <w:ind w:firstLine="420" w:firstLineChars="200"/>
        <w:rPr>
          <w:color w:val="auto"/>
          <w:szCs w:val="21"/>
          <w:highlight w:val="none"/>
        </w:rPr>
      </w:pPr>
      <w:r>
        <w:rPr>
          <w:color w:val="auto"/>
          <w:highlight w:val="none"/>
        </w:rPr>
        <w:t xml:space="preserve">21.3.4 </w:t>
      </w:r>
      <w:r>
        <w:rPr>
          <w:rFonts w:hAnsi="宋体"/>
          <w:color w:val="auto"/>
          <w:szCs w:val="21"/>
          <w:highlight w:val="none"/>
        </w:rPr>
        <w:t>因不可抗力解除合同</w:t>
      </w:r>
    </w:p>
    <w:p w14:paraId="1A6A2E7F">
      <w:pPr>
        <w:spacing w:line="360" w:lineRule="auto"/>
        <w:ind w:firstLine="420" w:firstLineChars="200"/>
        <w:rPr>
          <w:color w:val="auto"/>
          <w:szCs w:val="21"/>
          <w:highlight w:val="none"/>
        </w:rPr>
      </w:pPr>
      <w:r>
        <w:rPr>
          <w:rFonts w:hAnsi="宋体"/>
          <w:color w:val="auto"/>
          <w:szCs w:val="21"/>
          <w:highlight w:val="none"/>
        </w:rPr>
        <w:t>合同一方当事人因不可抗力不能履行合同的，应当及时通知对方解除合同。合同解除后，承包人应按照第</w:t>
      </w:r>
      <w:r>
        <w:rPr>
          <w:color w:val="auto"/>
          <w:highlight w:val="none"/>
        </w:rPr>
        <w:t>22.2.4</w:t>
      </w:r>
      <w:r>
        <w:rPr>
          <w:color w:val="auto"/>
          <w:szCs w:val="21"/>
          <w:highlight w:val="none"/>
        </w:rPr>
        <w:t xml:space="preserve"> </w:t>
      </w:r>
      <w:r>
        <w:rPr>
          <w:rFonts w:hAnsi="宋体"/>
          <w:color w:val="auto"/>
          <w:szCs w:val="21"/>
          <w:highlight w:val="none"/>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color w:val="auto"/>
          <w:highlight w:val="none"/>
        </w:rPr>
        <w:t xml:space="preserve">22.2.3 </w:t>
      </w:r>
      <w:r>
        <w:rPr>
          <w:rFonts w:hAnsi="宋体"/>
          <w:color w:val="auto"/>
          <w:szCs w:val="21"/>
          <w:highlight w:val="none"/>
        </w:rPr>
        <w:t>项约定，由监理人按第</w:t>
      </w:r>
      <w:r>
        <w:rPr>
          <w:color w:val="auto"/>
          <w:highlight w:val="none"/>
        </w:rPr>
        <w:t xml:space="preserve">3.5 </w:t>
      </w:r>
      <w:r>
        <w:rPr>
          <w:rFonts w:hAnsi="宋体"/>
          <w:color w:val="auto"/>
          <w:szCs w:val="21"/>
          <w:highlight w:val="none"/>
        </w:rPr>
        <w:t>款商定或确定。</w:t>
      </w:r>
    </w:p>
    <w:p w14:paraId="65A1B17C">
      <w:pPr>
        <w:pStyle w:val="5"/>
        <w:spacing w:before="159"/>
        <w:rPr>
          <w:rFonts w:ascii="Times New Roman" w:hAnsi="Times New Roman" w:eastAsia="宋体"/>
          <w:color w:val="auto"/>
          <w:highlight w:val="none"/>
        </w:rPr>
      </w:pPr>
      <w:bookmarkStart w:id="2736" w:name="_Toc1773"/>
      <w:bookmarkStart w:id="2737" w:name="_Toc30844"/>
      <w:bookmarkStart w:id="2738" w:name="_Toc519085535"/>
      <w:bookmarkStart w:id="2739" w:name="_Toc24479"/>
      <w:bookmarkStart w:id="2740" w:name="_Toc3864"/>
      <w:bookmarkStart w:id="2741" w:name="_Toc27989"/>
      <w:bookmarkStart w:id="2742" w:name="_Toc300835186"/>
      <w:bookmarkStart w:id="2743" w:name="_Toc1197_WPSOffice_Level1"/>
      <w:r>
        <w:rPr>
          <w:rFonts w:ascii="Times New Roman" w:hAnsi="Times New Roman" w:eastAsia="宋体"/>
          <w:color w:val="auto"/>
          <w:highlight w:val="none"/>
        </w:rPr>
        <w:t xml:space="preserve">22. </w:t>
      </w:r>
      <w:r>
        <w:rPr>
          <w:rStyle w:val="65"/>
          <w:color w:val="auto"/>
          <w:highlight w:val="none"/>
        </w:rPr>
        <w:t>违约</w:t>
      </w:r>
      <w:bookmarkEnd w:id="2736"/>
      <w:bookmarkEnd w:id="2737"/>
      <w:bookmarkEnd w:id="2738"/>
      <w:bookmarkEnd w:id="2739"/>
      <w:bookmarkEnd w:id="2740"/>
      <w:bookmarkEnd w:id="2741"/>
      <w:bookmarkEnd w:id="2742"/>
      <w:bookmarkEnd w:id="2743"/>
    </w:p>
    <w:p w14:paraId="2DD65EBC">
      <w:pPr>
        <w:pStyle w:val="6"/>
        <w:spacing w:before="159"/>
        <w:rPr>
          <w:color w:val="auto"/>
          <w:highlight w:val="none"/>
        </w:rPr>
      </w:pPr>
      <w:bookmarkStart w:id="2744" w:name="_Toc5545"/>
      <w:bookmarkStart w:id="2745" w:name="_Toc28723"/>
      <w:bookmarkStart w:id="2746" w:name="_Toc23777_WPSOffice_Level2"/>
      <w:bookmarkStart w:id="2747" w:name="_Toc519085536"/>
      <w:bookmarkStart w:id="2748" w:name="_Toc28949"/>
      <w:bookmarkStart w:id="2749" w:name="_Toc2299"/>
      <w:bookmarkStart w:id="2750" w:name="_Toc8428"/>
      <w:bookmarkStart w:id="2751" w:name="_Toc300835187"/>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1</w:t>
      </w:r>
      <w:bookmarkEnd w:id="2744"/>
      <w:bookmarkEnd w:id="2745"/>
      <w:r>
        <w:rPr>
          <w:color w:val="auto"/>
          <w:highlight w:val="none"/>
        </w:rPr>
        <w:t xml:space="preserve"> </w:t>
      </w:r>
      <w:r>
        <w:rPr>
          <w:rStyle w:val="79"/>
          <w:color w:val="auto"/>
          <w:highlight w:val="none"/>
        </w:rPr>
        <w:t>承包人违约</w:t>
      </w:r>
      <w:bookmarkEnd w:id="2746"/>
      <w:bookmarkEnd w:id="2747"/>
      <w:bookmarkEnd w:id="2748"/>
      <w:bookmarkEnd w:id="2749"/>
      <w:bookmarkEnd w:id="2750"/>
      <w:bookmarkEnd w:id="2751"/>
    </w:p>
    <w:p w14:paraId="6D1B7C36">
      <w:pPr>
        <w:spacing w:line="360" w:lineRule="auto"/>
        <w:ind w:firstLine="420" w:firstLineChars="200"/>
        <w:rPr>
          <w:color w:val="auto"/>
          <w:szCs w:val="21"/>
          <w:highlight w:val="none"/>
        </w:rPr>
      </w:pPr>
      <w:r>
        <w:rPr>
          <w:color w:val="auto"/>
          <w:highlight w:val="none"/>
        </w:rPr>
        <w:t>22.1.1</w:t>
      </w:r>
      <w:r>
        <w:rPr>
          <w:color w:val="auto"/>
          <w:szCs w:val="21"/>
          <w:highlight w:val="none"/>
        </w:rPr>
        <w:t xml:space="preserve"> </w:t>
      </w:r>
      <w:r>
        <w:rPr>
          <w:rFonts w:hAnsi="宋体"/>
          <w:color w:val="auto"/>
          <w:szCs w:val="21"/>
          <w:highlight w:val="none"/>
        </w:rPr>
        <w:t>承包人违约的情形</w:t>
      </w:r>
    </w:p>
    <w:p w14:paraId="18ACAEDC">
      <w:pPr>
        <w:spacing w:line="360" w:lineRule="auto"/>
        <w:ind w:firstLine="420" w:firstLineChars="200"/>
        <w:rPr>
          <w:color w:val="auto"/>
          <w:szCs w:val="21"/>
          <w:highlight w:val="none"/>
        </w:rPr>
      </w:pPr>
      <w:r>
        <w:rPr>
          <w:rFonts w:hAnsi="宋体"/>
          <w:color w:val="auto"/>
          <w:szCs w:val="21"/>
          <w:highlight w:val="none"/>
        </w:rPr>
        <w:t>在履行合同过程中发生的下列情况之一的，属承包人违约：</w:t>
      </w:r>
    </w:p>
    <w:p w14:paraId="3AA4021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）承包人的设计、承包人文件、实施和竣工的工程不符合法律以及合同约定；</w:t>
      </w:r>
    </w:p>
    <w:p w14:paraId="4F25437B">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）承包人违反第</w:t>
      </w:r>
      <w:r>
        <w:rPr>
          <w:color w:val="auto"/>
          <w:highlight w:val="none"/>
        </w:rPr>
        <w:t xml:space="preserve">1.8 </w:t>
      </w:r>
      <w:r>
        <w:rPr>
          <w:rFonts w:hAnsi="宋体"/>
          <w:color w:val="auto"/>
          <w:highlight w:val="none"/>
        </w:rPr>
        <w:t>款或第</w:t>
      </w:r>
      <w:r>
        <w:rPr>
          <w:color w:val="auto"/>
          <w:highlight w:val="none"/>
        </w:rPr>
        <w:t xml:space="preserve">4.3 </w:t>
      </w:r>
      <w:r>
        <w:rPr>
          <w:rFonts w:hAnsi="宋体"/>
          <w:color w:val="auto"/>
          <w:highlight w:val="none"/>
        </w:rPr>
        <w:t>款的约定，私自将合同的全部或部分权利转让给其他人，或私自将合同的全部或部分义务转移给其他人；</w:t>
      </w:r>
    </w:p>
    <w:p w14:paraId="1318045F">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）承包人违反第</w:t>
      </w:r>
      <w:r>
        <w:rPr>
          <w:color w:val="auto"/>
          <w:highlight w:val="none"/>
        </w:rPr>
        <w:t xml:space="preserve">6.3 </w:t>
      </w:r>
      <w:r>
        <w:rPr>
          <w:rFonts w:hAnsi="宋体"/>
          <w:color w:val="auto"/>
          <w:highlight w:val="none"/>
        </w:rPr>
        <w:t>款或第</w:t>
      </w:r>
      <w:r>
        <w:rPr>
          <w:color w:val="auto"/>
          <w:highlight w:val="none"/>
        </w:rPr>
        <w:t xml:space="preserve">7.4 </w:t>
      </w:r>
      <w:r>
        <w:rPr>
          <w:rFonts w:hAnsi="宋体"/>
          <w:color w:val="auto"/>
          <w:highlight w:val="none"/>
        </w:rPr>
        <w:t>款的约定，未经监理人批准，私自将已按合同约定进入施工场地的施工设备、临时设施或材料撤离施工场地；</w:t>
      </w:r>
    </w:p>
    <w:p w14:paraId="4E125E52">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）承包人违反第</w:t>
      </w:r>
      <w:r>
        <w:rPr>
          <w:color w:val="auto"/>
          <w:highlight w:val="none"/>
        </w:rPr>
        <w:t xml:space="preserve">6.5 </w:t>
      </w:r>
      <w:r>
        <w:rPr>
          <w:rFonts w:hAnsi="宋体"/>
          <w:color w:val="auto"/>
          <w:highlight w:val="none"/>
        </w:rPr>
        <w:t>款的约定使用了不合格材料或工程设备，工程质量达不到标准要求，又拒绝清除不合格工程；</w:t>
      </w:r>
    </w:p>
    <w:p w14:paraId="61080C52">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）承包人未能按合同进度计划及时完成合同约定的工作，造成工期延误；</w:t>
      </w:r>
    </w:p>
    <w:p w14:paraId="1B194475">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）由于承包人原因未能通过竣工试验或竣工后试验的；</w:t>
      </w:r>
    </w:p>
    <w:p w14:paraId="7AA77EBC">
      <w:pPr>
        <w:spacing w:line="360" w:lineRule="auto"/>
        <w:ind w:firstLine="420" w:firstLineChars="200"/>
        <w:rPr>
          <w:color w:val="auto"/>
          <w:szCs w:val="21"/>
          <w:highlight w:val="none"/>
        </w:rPr>
      </w:pPr>
      <w:r>
        <w:rPr>
          <w:rFonts w:hAnsi="宋体"/>
          <w:color w:val="auto"/>
          <w:highlight w:val="none"/>
        </w:rPr>
        <w:t>（</w:t>
      </w:r>
      <w:r>
        <w:rPr>
          <w:color w:val="auto"/>
          <w:highlight w:val="none"/>
        </w:rPr>
        <w:t>7</w:t>
      </w:r>
      <w:r>
        <w:rPr>
          <w:rFonts w:hAnsi="宋体"/>
          <w:color w:val="auto"/>
          <w:highlight w:val="none"/>
        </w:rPr>
        <w:t>）承包人在</w:t>
      </w:r>
      <w:r>
        <w:rPr>
          <w:rFonts w:hAnsi="宋体"/>
          <w:color w:val="auto"/>
          <w:szCs w:val="21"/>
          <w:highlight w:val="none"/>
        </w:rPr>
        <w:t>缺陷责任期内，未能对工程接收证书所列的缺陷清单的内容或缺陷责任期内发生的缺陷进行修复，而又拒绝按监理人指示再进行修补；</w:t>
      </w:r>
    </w:p>
    <w:p w14:paraId="2CC1EC65">
      <w:pPr>
        <w:spacing w:line="360" w:lineRule="auto"/>
        <w:ind w:firstLine="420" w:firstLineChars="200"/>
        <w:rPr>
          <w:color w:val="auto"/>
          <w:highlight w:val="none"/>
        </w:rPr>
      </w:pPr>
      <w:r>
        <w:rPr>
          <w:rFonts w:hAnsi="宋体"/>
          <w:color w:val="auto"/>
          <w:highlight w:val="none"/>
        </w:rPr>
        <w:t>（</w:t>
      </w:r>
      <w:r>
        <w:rPr>
          <w:color w:val="auto"/>
          <w:highlight w:val="none"/>
        </w:rPr>
        <w:t>8</w:t>
      </w:r>
      <w:r>
        <w:rPr>
          <w:rFonts w:hAnsi="宋体"/>
          <w:color w:val="auto"/>
          <w:highlight w:val="none"/>
        </w:rPr>
        <w:t>）承包人无法继续履行或明确表示不履行或实质上已停止履行合同；</w:t>
      </w:r>
    </w:p>
    <w:p w14:paraId="33EF389F">
      <w:pPr>
        <w:spacing w:line="360" w:lineRule="auto"/>
        <w:ind w:firstLine="420" w:firstLineChars="200"/>
        <w:rPr>
          <w:color w:val="auto"/>
          <w:szCs w:val="21"/>
          <w:highlight w:val="none"/>
        </w:rPr>
      </w:pPr>
      <w:r>
        <w:rPr>
          <w:rFonts w:hAnsi="宋体"/>
          <w:color w:val="auto"/>
          <w:highlight w:val="none"/>
        </w:rPr>
        <w:t>（</w:t>
      </w:r>
      <w:r>
        <w:rPr>
          <w:color w:val="auto"/>
          <w:highlight w:val="none"/>
        </w:rPr>
        <w:t>9</w:t>
      </w:r>
      <w:r>
        <w:rPr>
          <w:rFonts w:hAnsi="宋体"/>
          <w:color w:val="auto"/>
          <w:highlight w:val="none"/>
        </w:rPr>
        <w:t>）承</w:t>
      </w:r>
      <w:r>
        <w:rPr>
          <w:rFonts w:hAnsi="宋体"/>
          <w:color w:val="auto"/>
          <w:szCs w:val="21"/>
          <w:highlight w:val="none"/>
        </w:rPr>
        <w:t>包人不按合同约定履行义务的其他情况。</w:t>
      </w:r>
    </w:p>
    <w:p w14:paraId="76FE6DAA">
      <w:pPr>
        <w:spacing w:line="360" w:lineRule="auto"/>
        <w:ind w:firstLine="420" w:firstLineChars="200"/>
        <w:rPr>
          <w:color w:val="auto"/>
          <w:szCs w:val="21"/>
          <w:highlight w:val="none"/>
        </w:rPr>
      </w:pPr>
      <w:r>
        <w:rPr>
          <w:color w:val="auto"/>
          <w:highlight w:val="none"/>
        </w:rPr>
        <w:t>22.1.2</w:t>
      </w:r>
      <w:r>
        <w:rPr>
          <w:color w:val="auto"/>
          <w:szCs w:val="21"/>
          <w:highlight w:val="none"/>
        </w:rPr>
        <w:t xml:space="preserve"> </w:t>
      </w:r>
      <w:r>
        <w:rPr>
          <w:rFonts w:hAnsi="宋体"/>
          <w:color w:val="auto"/>
          <w:szCs w:val="21"/>
          <w:highlight w:val="none"/>
        </w:rPr>
        <w:t>对承包人违约的处理</w:t>
      </w:r>
    </w:p>
    <w:p w14:paraId="7A0AB0EA">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）承包人发生第</w:t>
      </w:r>
      <w:r>
        <w:rPr>
          <w:color w:val="auto"/>
          <w:highlight w:val="none"/>
        </w:rPr>
        <w:t>22.1.1</w:t>
      </w:r>
      <w:r>
        <w:rPr>
          <w:rFonts w:hAnsi="宋体"/>
          <w:color w:val="auto"/>
          <w:highlight w:val="none"/>
        </w:rPr>
        <w:t>（</w:t>
      </w:r>
      <w:r>
        <w:rPr>
          <w:color w:val="auto"/>
          <w:highlight w:val="none"/>
        </w:rPr>
        <w:t>6</w:t>
      </w:r>
      <w:r>
        <w:rPr>
          <w:rFonts w:hAnsi="宋体"/>
          <w:color w:val="auto"/>
          <w:highlight w:val="none"/>
        </w:rPr>
        <w:t>）目约定的违约情况时，按照发包人要求中的未能通过竣工</w:t>
      </w:r>
      <w:r>
        <w:rPr>
          <w:color w:val="auto"/>
          <w:highlight w:val="none"/>
        </w:rPr>
        <w:t>/</w:t>
      </w:r>
      <w:r>
        <w:rPr>
          <w:rFonts w:hAnsi="宋体"/>
          <w:color w:val="auto"/>
          <w:highlight w:val="none"/>
        </w:rPr>
        <w:t>竣工后试验的损害进行赔偿。发生延期的，承包人应承担延期责任。</w:t>
      </w:r>
    </w:p>
    <w:p w14:paraId="35D05A81">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）承包人发生第</w:t>
      </w:r>
      <w:r>
        <w:rPr>
          <w:color w:val="auto"/>
          <w:highlight w:val="none"/>
        </w:rPr>
        <w:t>22.1.1</w:t>
      </w:r>
      <w:r>
        <w:rPr>
          <w:rFonts w:hAnsi="宋体"/>
          <w:color w:val="auto"/>
          <w:highlight w:val="none"/>
        </w:rPr>
        <w:t>（</w:t>
      </w:r>
      <w:r>
        <w:rPr>
          <w:color w:val="auto"/>
          <w:highlight w:val="none"/>
        </w:rPr>
        <w:t>8</w:t>
      </w:r>
      <w:r>
        <w:rPr>
          <w:rFonts w:hAnsi="宋体"/>
          <w:color w:val="auto"/>
          <w:highlight w:val="none"/>
        </w:rPr>
        <w:t>）目约定的违约情况时，发包人可通知承包人立即解除合同，并按第</w:t>
      </w:r>
      <w:r>
        <w:rPr>
          <w:color w:val="auto"/>
          <w:highlight w:val="none"/>
        </w:rPr>
        <w:t>22.1.3</w:t>
      </w:r>
      <w:r>
        <w:rPr>
          <w:rFonts w:hAnsi="宋体"/>
          <w:color w:val="auto"/>
          <w:highlight w:val="none"/>
        </w:rPr>
        <w:t>项、第</w:t>
      </w:r>
      <w:r>
        <w:rPr>
          <w:color w:val="auto"/>
          <w:highlight w:val="none"/>
        </w:rPr>
        <w:t>22.1.4</w:t>
      </w:r>
      <w:r>
        <w:rPr>
          <w:rFonts w:hAnsi="宋体"/>
          <w:color w:val="auto"/>
          <w:highlight w:val="none"/>
        </w:rPr>
        <w:t>项、第</w:t>
      </w:r>
      <w:r>
        <w:rPr>
          <w:color w:val="auto"/>
          <w:highlight w:val="none"/>
        </w:rPr>
        <w:t>22.1.5</w:t>
      </w:r>
      <w:r>
        <w:rPr>
          <w:rFonts w:hAnsi="宋体"/>
          <w:color w:val="auto"/>
          <w:highlight w:val="none"/>
        </w:rPr>
        <w:t>项约定处理。</w:t>
      </w:r>
    </w:p>
    <w:p w14:paraId="7359D773">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）承包人发生除第</w:t>
      </w:r>
      <w:r>
        <w:rPr>
          <w:color w:val="auto"/>
          <w:highlight w:val="none"/>
        </w:rPr>
        <w:t>22.1.1</w:t>
      </w:r>
      <w:r>
        <w:rPr>
          <w:rFonts w:hAnsi="宋体"/>
          <w:color w:val="auto"/>
          <w:highlight w:val="none"/>
        </w:rPr>
        <w:t>（</w:t>
      </w:r>
      <w:r>
        <w:rPr>
          <w:color w:val="auto"/>
          <w:highlight w:val="none"/>
        </w:rPr>
        <w:t>6</w:t>
      </w:r>
      <w:r>
        <w:rPr>
          <w:rFonts w:hAnsi="宋体"/>
          <w:color w:val="auto"/>
          <w:highlight w:val="none"/>
        </w:rPr>
        <w:t>）目和第</w:t>
      </w:r>
      <w:r>
        <w:rPr>
          <w:color w:val="auto"/>
          <w:highlight w:val="none"/>
        </w:rPr>
        <w:t>22.1.1</w:t>
      </w:r>
      <w:r>
        <w:rPr>
          <w:rFonts w:hAnsi="宋体"/>
          <w:color w:val="auto"/>
          <w:highlight w:val="none"/>
        </w:rPr>
        <w:t>（</w:t>
      </w:r>
      <w:r>
        <w:rPr>
          <w:color w:val="auto"/>
          <w:highlight w:val="none"/>
        </w:rPr>
        <w:t>8</w:t>
      </w:r>
      <w:r>
        <w:rPr>
          <w:rFonts w:hAnsi="宋体"/>
          <w:color w:val="auto"/>
          <w:highlight w:val="none"/>
        </w:rPr>
        <w:t>）目约定以外的其他违约情况时，监理人可向承包人发出整改通知，要求其在指定的期限内纠正。除合同条款另有约定外，承包人应承担其违约所引起的费用增加和（或）工期延误。</w:t>
      </w:r>
    </w:p>
    <w:p w14:paraId="0CDED2E7">
      <w:pPr>
        <w:spacing w:line="360" w:lineRule="auto"/>
        <w:ind w:firstLine="420" w:firstLineChars="200"/>
        <w:rPr>
          <w:color w:val="auto"/>
          <w:szCs w:val="21"/>
          <w:highlight w:val="none"/>
        </w:rPr>
      </w:pPr>
      <w:r>
        <w:rPr>
          <w:color w:val="auto"/>
          <w:highlight w:val="none"/>
        </w:rPr>
        <w:t xml:space="preserve">22.1.3 </w:t>
      </w:r>
      <w:r>
        <w:rPr>
          <w:rFonts w:hAnsi="宋体"/>
          <w:color w:val="auto"/>
          <w:szCs w:val="21"/>
          <w:highlight w:val="none"/>
        </w:rPr>
        <w:t>因承包人违约解除合同</w:t>
      </w:r>
    </w:p>
    <w:p w14:paraId="67614FF3">
      <w:pPr>
        <w:spacing w:line="360" w:lineRule="auto"/>
        <w:ind w:firstLine="420" w:firstLineChars="200"/>
        <w:rPr>
          <w:color w:val="auto"/>
          <w:szCs w:val="21"/>
          <w:highlight w:val="none"/>
        </w:rPr>
      </w:pPr>
      <w:r>
        <w:rPr>
          <w:rFonts w:hAnsi="宋体"/>
          <w:color w:val="auto"/>
          <w:szCs w:val="21"/>
          <w:highlight w:val="none"/>
        </w:rPr>
        <w:t>监理人发出整改通知</w:t>
      </w:r>
      <w:r>
        <w:rPr>
          <w:color w:val="auto"/>
          <w:szCs w:val="21"/>
          <w:highlight w:val="none"/>
        </w:rPr>
        <w:t>28</w:t>
      </w:r>
      <w:r>
        <w:rPr>
          <w:rFonts w:hAnsi="宋体"/>
          <w:color w:val="auto"/>
          <w:szCs w:val="21"/>
          <w:highlight w:val="none"/>
        </w:rPr>
        <w:t>天后，承包人仍不纠正违约行为的，发包人有权解除合同并向承包人发出解除合同通知。承包人收到发包人解除合同通知后</w:t>
      </w:r>
      <w:r>
        <w:rPr>
          <w:color w:val="auto"/>
          <w:szCs w:val="21"/>
          <w:highlight w:val="none"/>
        </w:rPr>
        <w:t>14</w:t>
      </w:r>
      <w:r>
        <w:rPr>
          <w:rFonts w:hAnsi="宋体"/>
          <w:color w:val="auto"/>
          <w:szCs w:val="21"/>
          <w:highlight w:val="none"/>
        </w:rPr>
        <w:t>天内，承包人应撤离现场，发包人派员进驻施工场地完成现场交接手续，发包人有权另行组织人员或委托其他承包人。发包人因继续完成该工程的需要，有权扣留使用承包人在现场的材料、设备和临时设施。但发包人的这一行动不免除承包人应承担的违约责任，也不影响发包人根据合同约定享有的索赔权利。</w:t>
      </w:r>
    </w:p>
    <w:p w14:paraId="2D4E71D9">
      <w:pPr>
        <w:spacing w:line="360" w:lineRule="auto"/>
        <w:ind w:firstLine="420" w:firstLineChars="200"/>
        <w:rPr>
          <w:color w:val="auto"/>
          <w:szCs w:val="21"/>
          <w:highlight w:val="none"/>
        </w:rPr>
      </w:pPr>
      <w:r>
        <w:rPr>
          <w:color w:val="auto"/>
          <w:highlight w:val="none"/>
        </w:rPr>
        <w:t xml:space="preserve">22.1.4 </w:t>
      </w:r>
      <w:r>
        <w:rPr>
          <w:rFonts w:hAnsi="宋体"/>
          <w:color w:val="auto"/>
          <w:szCs w:val="21"/>
          <w:highlight w:val="none"/>
        </w:rPr>
        <w:t>发包人发出合同解除通知后的估价、付款和结清</w:t>
      </w:r>
    </w:p>
    <w:p w14:paraId="79605B56">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）承包人收到发包人解除合同通知后</w:t>
      </w:r>
      <w:r>
        <w:rPr>
          <w:color w:val="auto"/>
          <w:highlight w:val="none"/>
        </w:rPr>
        <w:t>28</w:t>
      </w:r>
      <w:r>
        <w:rPr>
          <w:rFonts w:hAnsi="宋体"/>
          <w:color w:val="auto"/>
          <w:highlight w:val="none"/>
        </w:rPr>
        <w:t>天内，监理人按第</w:t>
      </w:r>
      <w:r>
        <w:rPr>
          <w:color w:val="auto"/>
          <w:highlight w:val="none"/>
        </w:rPr>
        <w:t xml:space="preserve">3.5 </w:t>
      </w:r>
      <w:r>
        <w:rPr>
          <w:rFonts w:hAnsi="宋体"/>
          <w:color w:val="auto"/>
          <w:highlight w:val="none"/>
        </w:rPr>
        <w:t>款商定或确定承包人实际完成工作的价值，包括发包人扣留承包人的材料、设备及临时设施和承包人已提供的设计、材料、施工设备、工程设备、临时工程等的价值。</w:t>
      </w:r>
    </w:p>
    <w:p w14:paraId="42ED8122">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）发包人发出解除合同通知后，发包人有权暂停对承包人的一切付款，查清各项付款和已扣款金额，包括承包人应支付的违约金。</w:t>
      </w:r>
    </w:p>
    <w:p w14:paraId="30DC2396">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）发包人发出解除合同通知后，发包人有权按第</w:t>
      </w:r>
      <w:r>
        <w:rPr>
          <w:color w:val="auto"/>
          <w:highlight w:val="none"/>
        </w:rPr>
        <w:t xml:space="preserve">23.4 </w:t>
      </w:r>
      <w:r>
        <w:rPr>
          <w:rFonts w:hAnsi="宋体"/>
          <w:color w:val="auto"/>
          <w:highlight w:val="none"/>
        </w:rPr>
        <w:t>款的约定向承包人索赔由于解除合同给发包人造成的损失。</w:t>
      </w:r>
    </w:p>
    <w:p w14:paraId="7D8D5747">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）合同双方确认合同价款后，发包人颁发最终结清付款证书，并结清全部合同款项。</w:t>
      </w:r>
    </w:p>
    <w:p w14:paraId="67539E0D">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）发包</w:t>
      </w:r>
      <w:r>
        <w:rPr>
          <w:rFonts w:hAnsi="宋体"/>
          <w:color w:val="auto"/>
          <w:szCs w:val="21"/>
          <w:highlight w:val="none"/>
        </w:rPr>
        <w:t>人和承包人未能就解除合同后的结清达成一致而形成争议的，按第</w:t>
      </w:r>
      <w:r>
        <w:rPr>
          <w:color w:val="auto"/>
          <w:highlight w:val="none"/>
        </w:rPr>
        <w:t>24</w:t>
      </w:r>
      <w:r>
        <w:rPr>
          <w:rFonts w:hAnsi="宋体"/>
          <w:color w:val="auto"/>
          <w:szCs w:val="21"/>
          <w:highlight w:val="none"/>
        </w:rPr>
        <w:t>条的约定执行。</w:t>
      </w:r>
    </w:p>
    <w:p w14:paraId="1E593091">
      <w:pPr>
        <w:spacing w:line="360" w:lineRule="auto"/>
        <w:ind w:firstLine="420" w:firstLineChars="200"/>
        <w:rPr>
          <w:color w:val="auto"/>
          <w:szCs w:val="21"/>
          <w:highlight w:val="none"/>
        </w:rPr>
      </w:pPr>
      <w:r>
        <w:rPr>
          <w:color w:val="auto"/>
          <w:highlight w:val="none"/>
        </w:rPr>
        <w:t>22.1.5</w:t>
      </w:r>
      <w:r>
        <w:rPr>
          <w:color w:val="auto"/>
          <w:szCs w:val="21"/>
          <w:highlight w:val="none"/>
        </w:rPr>
        <w:t xml:space="preserve"> </w:t>
      </w:r>
      <w:r>
        <w:rPr>
          <w:rFonts w:hAnsi="宋体"/>
          <w:color w:val="auto"/>
          <w:szCs w:val="21"/>
          <w:highlight w:val="none"/>
        </w:rPr>
        <w:t>协议利益的转让</w:t>
      </w:r>
    </w:p>
    <w:p w14:paraId="0E2D15F2">
      <w:pPr>
        <w:spacing w:line="360" w:lineRule="auto"/>
        <w:ind w:firstLine="420" w:firstLineChars="200"/>
        <w:rPr>
          <w:color w:val="auto"/>
          <w:szCs w:val="21"/>
          <w:highlight w:val="none"/>
        </w:rPr>
      </w:pPr>
      <w:r>
        <w:rPr>
          <w:rFonts w:hAnsi="宋体"/>
          <w:color w:val="auto"/>
          <w:szCs w:val="21"/>
          <w:highlight w:val="none"/>
        </w:rPr>
        <w:t>因承包人违约解除合同的，发包人有权要求承包人将其为实施合同而签订的材料和设备的订货协议或任何服务协议利益转让给发包人，并在承包人收到解除合同通知后的</w:t>
      </w:r>
      <w:r>
        <w:rPr>
          <w:color w:val="auto"/>
          <w:szCs w:val="21"/>
          <w:highlight w:val="none"/>
        </w:rPr>
        <w:t>14</w:t>
      </w:r>
      <w:r>
        <w:rPr>
          <w:rFonts w:hAnsi="宋体"/>
          <w:color w:val="auto"/>
          <w:szCs w:val="21"/>
          <w:highlight w:val="none"/>
        </w:rPr>
        <w:t>天内，依法办理转让手续。发包人有权使用承包人文件和由承包人或以其名义编制的其他设计文件。</w:t>
      </w:r>
    </w:p>
    <w:p w14:paraId="3ED90502">
      <w:pPr>
        <w:spacing w:line="360" w:lineRule="auto"/>
        <w:ind w:firstLine="420" w:firstLineChars="200"/>
        <w:rPr>
          <w:color w:val="auto"/>
          <w:szCs w:val="21"/>
          <w:highlight w:val="none"/>
        </w:rPr>
      </w:pPr>
      <w:r>
        <w:rPr>
          <w:color w:val="auto"/>
          <w:highlight w:val="none"/>
        </w:rPr>
        <w:t>22.1.6</w:t>
      </w:r>
      <w:r>
        <w:rPr>
          <w:color w:val="auto"/>
          <w:szCs w:val="21"/>
          <w:highlight w:val="none"/>
        </w:rPr>
        <w:t xml:space="preserve"> </w:t>
      </w:r>
      <w:r>
        <w:rPr>
          <w:rFonts w:hAnsi="宋体"/>
          <w:color w:val="auto"/>
          <w:szCs w:val="21"/>
          <w:highlight w:val="none"/>
        </w:rPr>
        <w:t>紧急情况下无能力或不愿进行抢救</w:t>
      </w:r>
    </w:p>
    <w:p w14:paraId="7BA45C48">
      <w:pPr>
        <w:spacing w:line="360" w:lineRule="auto"/>
        <w:ind w:firstLine="420" w:firstLineChars="200"/>
        <w:rPr>
          <w:color w:val="auto"/>
          <w:szCs w:val="21"/>
          <w:highlight w:val="none"/>
        </w:rPr>
      </w:pPr>
      <w:r>
        <w:rPr>
          <w:rFonts w:hAnsi="宋体"/>
          <w:color w:val="auto"/>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5031B03F">
      <w:pPr>
        <w:pStyle w:val="6"/>
        <w:spacing w:before="159"/>
        <w:rPr>
          <w:color w:val="auto"/>
          <w:highlight w:val="none"/>
        </w:rPr>
      </w:pPr>
      <w:bookmarkStart w:id="2752" w:name="_Toc5848"/>
      <w:bookmarkStart w:id="2753" w:name="_Toc4013"/>
      <w:bookmarkStart w:id="2754" w:name="_Toc300835188"/>
      <w:bookmarkStart w:id="2755" w:name="_Toc6393_WPSOffice_Level2"/>
      <w:bookmarkStart w:id="2756" w:name="_Toc19544"/>
      <w:bookmarkStart w:id="2757" w:name="_Toc3440"/>
      <w:bookmarkStart w:id="2758" w:name="_Toc15221"/>
      <w:bookmarkStart w:id="2759" w:name="_Toc519085537"/>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2</w:t>
      </w:r>
      <w:bookmarkEnd w:id="2752"/>
      <w:bookmarkEnd w:id="2753"/>
      <w:r>
        <w:rPr>
          <w:color w:val="auto"/>
          <w:highlight w:val="none"/>
        </w:rPr>
        <w:t xml:space="preserve"> </w:t>
      </w:r>
      <w:r>
        <w:rPr>
          <w:rStyle w:val="79"/>
          <w:color w:val="auto"/>
          <w:highlight w:val="none"/>
        </w:rPr>
        <w:t>发包人违约</w:t>
      </w:r>
      <w:bookmarkEnd w:id="2754"/>
      <w:bookmarkEnd w:id="2755"/>
      <w:bookmarkEnd w:id="2756"/>
      <w:bookmarkEnd w:id="2757"/>
      <w:bookmarkEnd w:id="2758"/>
      <w:bookmarkEnd w:id="2759"/>
    </w:p>
    <w:p w14:paraId="233FE43A">
      <w:pPr>
        <w:spacing w:before="159"/>
        <w:rPr>
          <w:color w:val="auto"/>
          <w:highlight w:val="none"/>
        </w:rPr>
      </w:pPr>
      <w:bookmarkStart w:id="2760" w:name="_Toc32447"/>
      <w:bookmarkStart w:id="2761" w:name="_Toc3981106"/>
      <w:bookmarkStart w:id="2762" w:name="_Toc2909"/>
      <w:bookmarkStart w:id="2763" w:name="_Toc519085538"/>
      <w:r>
        <w:rPr>
          <w:color w:val="auto"/>
          <w:highlight w:val="none"/>
        </w:rPr>
        <w:t xml:space="preserve">22.2.1 </w:t>
      </w:r>
      <w:r>
        <w:rPr>
          <w:rFonts w:hAnsi="宋体"/>
          <w:color w:val="auto"/>
          <w:highlight w:val="none"/>
        </w:rPr>
        <w:t>发包人违约的情形</w:t>
      </w:r>
      <w:bookmarkEnd w:id="2760"/>
      <w:bookmarkEnd w:id="2761"/>
      <w:bookmarkEnd w:id="2762"/>
      <w:bookmarkEnd w:id="2763"/>
    </w:p>
    <w:p w14:paraId="3C3EC4C6">
      <w:pPr>
        <w:spacing w:line="360" w:lineRule="auto"/>
        <w:ind w:firstLine="420" w:firstLineChars="200"/>
        <w:rPr>
          <w:color w:val="auto"/>
          <w:szCs w:val="21"/>
          <w:highlight w:val="none"/>
        </w:rPr>
      </w:pPr>
      <w:r>
        <w:rPr>
          <w:rFonts w:hAnsi="宋体"/>
          <w:color w:val="auto"/>
          <w:szCs w:val="21"/>
          <w:highlight w:val="none"/>
        </w:rPr>
        <w:t>在履行合同过程中发生下列情形之一的，属发包人违约：</w:t>
      </w:r>
    </w:p>
    <w:p w14:paraId="1527617F">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）发包人未能按合同约定支付价款，或拖延、拒绝批准付款申请和支付凭证，导致付款延误；</w:t>
      </w:r>
    </w:p>
    <w:p w14:paraId="722062C1">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）发包人原因造成停工；</w:t>
      </w:r>
    </w:p>
    <w:p w14:paraId="61A4F1A0">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）监理人无正当理由没有在约定期限内发出复工指示，导致承包人无法复工；</w:t>
      </w:r>
    </w:p>
    <w:p w14:paraId="59E206B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）发包人无法继续履行或明确表示不履行或实质上已停止履行合同；</w:t>
      </w:r>
    </w:p>
    <w:p w14:paraId="24970DAC">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）发包人不履</w:t>
      </w:r>
      <w:r>
        <w:rPr>
          <w:rFonts w:hAnsi="宋体"/>
          <w:color w:val="auto"/>
          <w:szCs w:val="21"/>
          <w:highlight w:val="none"/>
        </w:rPr>
        <w:t>行合同约定其他义务。</w:t>
      </w:r>
    </w:p>
    <w:p w14:paraId="74F30936">
      <w:pPr>
        <w:spacing w:before="159"/>
        <w:rPr>
          <w:color w:val="auto"/>
          <w:highlight w:val="none"/>
        </w:rPr>
      </w:pPr>
      <w:bookmarkStart w:id="2764" w:name="_Toc3981107"/>
      <w:bookmarkStart w:id="2765" w:name="_Toc519085539"/>
      <w:bookmarkStart w:id="2766" w:name="_Toc3094"/>
      <w:bookmarkStart w:id="2767" w:name="_Toc13155"/>
      <w:r>
        <w:rPr>
          <w:color w:val="auto"/>
          <w:highlight w:val="none"/>
        </w:rPr>
        <w:t>22.2.2 因发包人违约解除合同</w:t>
      </w:r>
      <w:bookmarkEnd w:id="2764"/>
      <w:bookmarkEnd w:id="2765"/>
      <w:bookmarkEnd w:id="2766"/>
      <w:bookmarkEnd w:id="2767"/>
    </w:p>
    <w:p w14:paraId="628B680B">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）发生第</w:t>
      </w:r>
      <w:r>
        <w:rPr>
          <w:color w:val="auto"/>
          <w:highlight w:val="none"/>
        </w:rPr>
        <w:t>22.2.1</w:t>
      </w:r>
      <w:r>
        <w:rPr>
          <w:rFonts w:hAnsi="宋体"/>
          <w:color w:val="auto"/>
          <w:highlight w:val="none"/>
        </w:rPr>
        <w:t>（</w:t>
      </w:r>
      <w:r>
        <w:rPr>
          <w:color w:val="auto"/>
          <w:highlight w:val="none"/>
        </w:rPr>
        <w:t>4</w:t>
      </w:r>
      <w:r>
        <w:rPr>
          <w:rFonts w:hAnsi="宋体"/>
          <w:color w:val="auto"/>
          <w:highlight w:val="none"/>
        </w:rPr>
        <w:t>）目的违约情况时，承包人可书面通知发包人解除合同。</w:t>
      </w:r>
    </w:p>
    <w:p w14:paraId="0E09D864">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）承包人按</w:t>
      </w:r>
      <w:r>
        <w:rPr>
          <w:color w:val="auto"/>
          <w:highlight w:val="none"/>
        </w:rPr>
        <w:t>12.2.1</w:t>
      </w:r>
      <w:r>
        <w:rPr>
          <w:rFonts w:hAnsi="宋体"/>
          <w:color w:val="auto"/>
          <w:highlight w:val="none"/>
        </w:rPr>
        <w:t>项约定暂停施工</w:t>
      </w:r>
      <w:r>
        <w:rPr>
          <w:color w:val="auto"/>
          <w:highlight w:val="none"/>
        </w:rPr>
        <w:t>28</w:t>
      </w:r>
      <w:r>
        <w:rPr>
          <w:rFonts w:hAnsi="宋体"/>
          <w:color w:val="auto"/>
          <w:highlight w:val="none"/>
        </w:rPr>
        <w:t>天后，发包人仍不纠正违约行为的，承包人可向发包人发出解除合同通知。但承包人的这一行为不免除发包人承担的违约责任，也不影响承包人根据合同约定享有的索赔权利。</w:t>
      </w:r>
    </w:p>
    <w:p w14:paraId="2599EFC0">
      <w:pPr>
        <w:spacing w:line="360" w:lineRule="auto"/>
        <w:ind w:firstLine="420" w:firstLineChars="200"/>
        <w:rPr>
          <w:color w:val="auto"/>
          <w:szCs w:val="21"/>
          <w:highlight w:val="none"/>
        </w:rPr>
      </w:pPr>
      <w:r>
        <w:rPr>
          <w:color w:val="auto"/>
          <w:highlight w:val="none"/>
        </w:rPr>
        <w:t>22.2.3</w:t>
      </w:r>
      <w:r>
        <w:rPr>
          <w:color w:val="auto"/>
          <w:szCs w:val="21"/>
          <w:highlight w:val="none"/>
        </w:rPr>
        <w:t xml:space="preserve"> </w:t>
      </w:r>
      <w:r>
        <w:rPr>
          <w:rFonts w:hAnsi="宋体"/>
          <w:color w:val="auto"/>
          <w:szCs w:val="21"/>
          <w:highlight w:val="none"/>
        </w:rPr>
        <w:t>解除合同后的付款</w:t>
      </w:r>
    </w:p>
    <w:p w14:paraId="6A8C68B3">
      <w:pPr>
        <w:spacing w:line="360" w:lineRule="auto"/>
        <w:ind w:firstLine="420" w:firstLineChars="200"/>
        <w:rPr>
          <w:color w:val="auto"/>
          <w:szCs w:val="21"/>
          <w:highlight w:val="none"/>
        </w:rPr>
      </w:pPr>
      <w:r>
        <w:rPr>
          <w:rFonts w:hAnsi="宋体"/>
          <w:color w:val="auto"/>
          <w:szCs w:val="21"/>
          <w:highlight w:val="none"/>
        </w:rPr>
        <w:t>因发包人违约解除合同的，发包人应在解除合同后</w:t>
      </w:r>
      <w:r>
        <w:rPr>
          <w:color w:val="auto"/>
          <w:szCs w:val="21"/>
          <w:highlight w:val="none"/>
        </w:rPr>
        <w:t>28</w:t>
      </w:r>
      <w:r>
        <w:rPr>
          <w:rFonts w:hAnsi="宋体"/>
          <w:color w:val="auto"/>
          <w:szCs w:val="21"/>
          <w:highlight w:val="none"/>
        </w:rPr>
        <w:t>天内向承包人支付下列款项，承包人应在此期限内及时向发包人提交要求支付下列金额的有关资料和凭证：</w:t>
      </w:r>
    </w:p>
    <w:p w14:paraId="05D8713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）承包人发出解除合同通知前所完成工作的价款；</w:t>
      </w:r>
    </w:p>
    <w:p w14:paraId="44018B8D">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）承包人为该工程施工订购并已付款的材料、工程设备和其他物品的金额。发包人付款后，该材料、工程设备和其他物品归发包人所有；</w:t>
      </w:r>
    </w:p>
    <w:p w14:paraId="10BDD5A9">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）承包人为完成工程所发生的，而发包人未支付的金额；</w:t>
      </w:r>
    </w:p>
    <w:p w14:paraId="704F209F">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）承包人撤离施工场地以及遣散承包人人员的金额；</w:t>
      </w:r>
    </w:p>
    <w:p w14:paraId="3AC796BC">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）因解除合同造成的承包人损失；</w:t>
      </w:r>
    </w:p>
    <w:p w14:paraId="7EC86E76">
      <w:pPr>
        <w:spacing w:line="360" w:lineRule="auto"/>
        <w:ind w:firstLine="420" w:firstLineChars="200"/>
        <w:rPr>
          <w:color w:val="auto"/>
          <w:szCs w:val="21"/>
          <w:highlight w:val="none"/>
        </w:rPr>
      </w:pPr>
      <w:r>
        <w:rPr>
          <w:rFonts w:hAnsi="宋体"/>
          <w:color w:val="auto"/>
          <w:highlight w:val="none"/>
        </w:rPr>
        <w:t>（</w:t>
      </w:r>
      <w:r>
        <w:rPr>
          <w:color w:val="auto"/>
          <w:highlight w:val="none"/>
        </w:rPr>
        <w:t>6</w:t>
      </w:r>
      <w:r>
        <w:rPr>
          <w:rFonts w:hAnsi="宋体"/>
          <w:color w:val="auto"/>
          <w:highlight w:val="none"/>
        </w:rPr>
        <w:t>）按合同</w:t>
      </w:r>
      <w:r>
        <w:rPr>
          <w:rFonts w:hAnsi="宋体"/>
          <w:color w:val="auto"/>
          <w:szCs w:val="21"/>
          <w:highlight w:val="none"/>
        </w:rPr>
        <w:t>约定在承包人发出解除合同通知前应支付给承包人的其他金额。</w:t>
      </w:r>
    </w:p>
    <w:p w14:paraId="0405B3ED">
      <w:pPr>
        <w:spacing w:line="360" w:lineRule="auto"/>
        <w:ind w:firstLine="420" w:firstLineChars="200"/>
        <w:rPr>
          <w:color w:val="auto"/>
          <w:szCs w:val="21"/>
          <w:highlight w:val="none"/>
        </w:rPr>
      </w:pPr>
      <w:r>
        <w:rPr>
          <w:rFonts w:hAnsi="宋体"/>
          <w:color w:val="auto"/>
          <w:szCs w:val="21"/>
          <w:highlight w:val="none"/>
        </w:rPr>
        <w:t>发包人应按本项约定支付上述金额并退还质量保证金和履约担保，但有权要求承包人支付应偿还给发包人的各项金额。</w:t>
      </w:r>
    </w:p>
    <w:p w14:paraId="6AF592E0">
      <w:pPr>
        <w:spacing w:before="159"/>
        <w:rPr>
          <w:color w:val="auto"/>
          <w:highlight w:val="none"/>
        </w:rPr>
      </w:pPr>
      <w:bookmarkStart w:id="2768" w:name="_Toc519085540"/>
      <w:bookmarkStart w:id="2769" w:name="_Toc12836"/>
      <w:bookmarkStart w:id="2770" w:name="_Toc3981108"/>
      <w:bookmarkStart w:id="2771" w:name="_Toc13404"/>
      <w:r>
        <w:rPr>
          <w:color w:val="auto"/>
          <w:highlight w:val="none"/>
        </w:rPr>
        <w:t>22.2.4 解除合同后的承包人撤离</w:t>
      </w:r>
      <w:bookmarkEnd w:id="2768"/>
      <w:bookmarkEnd w:id="2769"/>
      <w:bookmarkEnd w:id="2770"/>
      <w:bookmarkEnd w:id="2771"/>
    </w:p>
    <w:p w14:paraId="53D94387">
      <w:pPr>
        <w:spacing w:line="360" w:lineRule="auto"/>
        <w:ind w:firstLine="420" w:firstLineChars="200"/>
        <w:rPr>
          <w:color w:val="auto"/>
          <w:szCs w:val="21"/>
          <w:highlight w:val="none"/>
        </w:rPr>
      </w:pPr>
      <w:r>
        <w:rPr>
          <w:rFonts w:hAnsi="宋体"/>
          <w:color w:val="auto"/>
          <w:szCs w:val="21"/>
          <w:highlight w:val="none"/>
        </w:rPr>
        <w:t>因发包人违约而解除合同后，承包人应妥善处理正在施工的工程和已购材料、设备的保护和移交工作，并按发包人的要求将承包人设备和人员撤出施工场地。承包人撤出施工场地应</w:t>
      </w:r>
      <w:r>
        <w:rPr>
          <w:rFonts w:hAnsi="宋体"/>
          <w:color w:val="auto"/>
          <w:highlight w:val="none"/>
        </w:rPr>
        <w:t>遵守第</w:t>
      </w:r>
      <w:r>
        <w:rPr>
          <w:color w:val="auto"/>
          <w:highlight w:val="none"/>
        </w:rPr>
        <w:t xml:space="preserve">18.7.1 </w:t>
      </w:r>
      <w:r>
        <w:rPr>
          <w:rFonts w:hAnsi="宋体"/>
          <w:color w:val="auto"/>
          <w:highlight w:val="none"/>
        </w:rPr>
        <w:t>项的</w:t>
      </w:r>
      <w:r>
        <w:rPr>
          <w:rFonts w:hAnsi="宋体"/>
          <w:color w:val="auto"/>
          <w:szCs w:val="21"/>
          <w:highlight w:val="none"/>
        </w:rPr>
        <w:t>约定，发包人应为承包人撤出提供必要条件并办理移交手续。</w:t>
      </w:r>
    </w:p>
    <w:p w14:paraId="5DE5E185">
      <w:pPr>
        <w:pStyle w:val="69"/>
        <w:spacing w:before="159"/>
        <w:outlineLvl w:val="3"/>
        <w:rPr>
          <w:color w:val="auto"/>
          <w:highlight w:val="none"/>
        </w:rPr>
      </w:pPr>
      <w:bookmarkStart w:id="2772" w:name="_Toc31937"/>
      <w:bookmarkStart w:id="2773" w:name="_Toc300835189"/>
      <w:bookmarkStart w:id="2774" w:name="_Toc17779"/>
      <w:bookmarkStart w:id="2775" w:name="_Toc14869"/>
      <w:bookmarkStart w:id="2776" w:name="_Toc519085541"/>
      <w:bookmarkStart w:id="2777" w:name="_Toc2252"/>
      <w:bookmarkStart w:id="2778" w:name="_Toc31621_WPSOffice_Level2"/>
      <w:bookmarkStart w:id="2779" w:name="_Toc19224"/>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3</w:t>
      </w:r>
      <w:r>
        <w:rPr>
          <w:color w:val="auto"/>
          <w:highlight w:val="none"/>
        </w:rPr>
        <w:t xml:space="preserve"> </w:t>
      </w:r>
      <w:r>
        <w:rPr>
          <w:rStyle w:val="79"/>
          <w:color w:val="auto"/>
          <w:highlight w:val="none"/>
        </w:rPr>
        <w:t>第三人造成的违约</w:t>
      </w:r>
      <w:bookmarkEnd w:id="2772"/>
      <w:bookmarkEnd w:id="2773"/>
      <w:bookmarkEnd w:id="2774"/>
      <w:bookmarkEnd w:id="2775"/>
      <w:bookmarkEnd w:id="2776"/>
      <w:bookmarkEnd w:id="2777"/>
      <w:bookmarkEnd w:id="2778"/>
      <w:bookmarkEnd w:id="2779"/>
    </w:p>
    <w:p w14:paraId="039590F3">
      <w:pPr>
        <w:spacing w:line="360" w:lineRule="auto"/>
        <w:ind w:firstLine="420" w:firstLineChars="200"/>
        <w:rPr>
          <w:color w:val="auto"/>
          <w:szCs w:val="21"/>
          <w:highlight w:val="none"/>
        </w:rPr>
      </w:pPr>
      <w:r>
        <w:rPr>
          <w:rFonts w:hAnsi="宋体"/>
          <w:color w:val="auto"/>
          <w:szCs w:val="21"/>
          <w:highlight w:val="none"/>
        </w:rPr>
        <w:t>在履行合同过程中，一方当事人因第三人的原因造成违约的，应当向对方当事人承担违约责任。一方当事人和第三人之间的纠纷，依照法律规定或者按照约定解决。</w:t>
      </w:r>
    </w:p>
    <w:p w14:paraId="30217716">
      <w:pPr>
        <w:pStyle w:val="6"/>
        <w:spacing w:before="63"/>
        <w:rPr>
          <w:rFonts w:ascii="Times New Roman" w:hAnsi="Times New Roman"/>
          <w:color w:val="auto"/>
          <w:highlight w:val="none"/>
        </w:rPr>
      </w:pPr>
      <w:bookmarkStart w:id="2780" w:name="_Toc17430"/>
      <w:bookmarkStart w:id="2781" w:name="_Toc10853"/>
      <w:bookmarkStart w:id="2782" w:name="_Toc300835190"/>
      <w:bookmarkStart w:id="2783" w:name="_Toc8346_WPSOffice_Level1"/>
      <w:bookmarkStart w:id="2784" w:name="_Toc955"/>
      <w:bookmarkStart w:id="2785" w:name="_Toc519085542"/>
      <w:r>
        <w:rPr>
          <w:rFonts w:ascii="Times New Roman" w:hAnsi="Times New Roman"/>
          <w:color w:val="auto"/>
          <w:highlight w:val="none"/>
        </w:rPr>
        <w:t xml:space="preserve">23. </w:t>
      </w:r>
      <w:r>
        <w:rPr>
          <w:rStyle w:val="65"/>
          <w:color w:val="auto"/>
          <w:highlight w:val="none"/>
        </w:rPr>
        <w:t>索赔</w:t>
      </w:r>
      <w:bookmarkEnd w:id="2780"/>
      <w:bookmarkEnd w:id="2781"/>
      <w:bookmarkEnd w:id="2782"/>
      <w:bookmarkEnd w:id="2783"/>
      <w:bookmarkEnd w:id="2784"/>
      <w:bookmarkEnd w:id="2785"/>
    </w:p>
    <w:p w14:paraId="5625128E">
      <w:pPr>
        <w:pStyle w:val="7"/>
        <w:spacing w:before="159"/>
        <w:rPr>
          <w:color w:val="auto"/>
          <w:highlight w:val="none"/>
        </w:rPr>
      </w:pPr>
      <w:bookmarkStart w:id="2786" w:name="_Toc9031"/>
      <w:bookmarkStart w:id="2787" w:name="_Toc27119"/>
      <w:bookmarkStart w:id="2788" w:name="_Toc10405"/>
      <w:bookmarkStart w:id="2789" w:name="_Toc300835191"/>
      <w:bookmarkStart w:id="2790" w:name="_Toc22433_WPSOffice_Level2"/>
      <w:bookmarkStart w:id="2791" w:name="_Toc20253"/>
      <w:bookmarkStart w:id="2792" w:name="_Toc519085543"/>
      <w:bookmarkStart w:id="2793" w:name="_Toc4705"/>
      <w:r>
        <w:rPr>
          <w:rStyle w:val="68"/>
          <w:color w:val="auto"/>
          <w:highlight w:val="none"/>
        </w:rPr>
        <w:t>23.1</w:t>
      </w:r>
      <w:bookmarkEnd w:id="2786"/>
      <w:bookmarkEnd w:id="2787"/>
      <w:r>
        <w:rPr>
          <w:color w:val="auto"/>
          <w:highlight w:val="none"/>
        </w:rPr>
        <w:t xml:space="preserve"> </w:t>
      </w:r>
      <w:r>
        <w:rPr>
          <w:rStyle w:val="79"/>
          <w:color w:val="auto"/>
          <w:highlight w:val="none"/>
        </w:rPr>
        <w:t>承包人索赔的提出</w:t>
      </w:r>
      <w:bookmarkEnd w:id="2788"/>
      <w:bookmarkEnd w:id="2789"/>
      <w:bookmarkEnd w:id="2790"/>
      <w:bookmarkEnd w:id="2791"/>
      <w:bookmarkEnd w:id="2792"/>
      <w:bookmarkEnd w:id="2793"/>
    </w:p>
    <w:p w14:paraId="6F6F77F6">
      <w:pPr>
        <w:spacing w:line="360" w:lineRule="auto"/>
        <w:ind w:firstLine="420" w:firstLineChars="200"/>
        <w:rPr>
          <w:color w:val="auto"/>
          <w:szCs w:val="21"/>
          <w:highlight w:val="none"/>
        </w:rPr>
      </w:pPr>
      <w:r>
        <w:rPr>
          <w:rFonts w:hAnsi="宋体"/>
          <w:color w:val="auto"/>
          <w:szCs w:val="21"/>
          <w:highlight w:val="none"/>
        </w:rPr>
        <w:t>根据合同约定，承包人认为有权得到追加付款和（或）延长工期的，应按以下程序向发包人提出索赔：</w:t>
      </w:r>
    </w:p>
    <w:p w14:paraId="628AAE1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）承包人应在知道或应当知道索赔事件发生后</w:t>
      </w:r>
      <w:r>
        <w:rPr>
          <w:color w:val="auto"/>
          <w:highlight w:val="none"/>
        </w:rPr>
        <w:t xml:space="preserve">28 </w:t>
      </w:r>
      <w:r>
        <w:rPr>
          <w:rFonts w:hAnsi="宋体"/>
          <w:color w:val="auto"/>
          <w:highlight w:val="none"/>
        </w:rPr>
        <w:t>天内，向监理人递交索赔意向通知书，并说明发生索赔事件的事由。承包人未在前述</w:t>
      </w:r>
      <w:r>
        <w:rPr>
          <w:color w:val="auto"/>
          <w:highlight w:val="none"/>
        </w:rPr>
        <w:t>28</w:t>
      </w:r>
      <w:r>
        <w:rPr>
          <w:rFonts w:hAnsi="宋体"/>
          <w:color w:val="auto"/>
          <w:highlight w:val="none"/>
        </w:rPr>
        <w:t>天内发出索赔意向通知书的，工期不予顺延，且承包人无权获得追加付款；</w:t>
      </w:r>
    </w:p>
    <w:p w14:paraId="2B74FB01">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）承包人应在发出索赔意向通知书后</w:t>
      </w:r>
      <w:r>
        <w:rPr>
          <w:color w:val="auto"/>
          <w:highlight w:val="none"/>
        </w:rPr>
        <w:t>28</w:t>
      </w:r>
      <w:r>
        <w:rPr>
          <w:rFonts w:hAnsi="宋体"/>
          <w:color w:val="auto"/>
          <w:highlight w:val="none"/>
        </w:rPr>
        <w:t>天内，向监理人正式递交索赔通知书。索赔通知书应详细说明索赔理由以及要求追加的付款金额和（或）延长的工期，并附必要的记录和证明材料；</w:t>
      </w:r>
    </w:p>
    <w:p w14:paraId="04AD3DE5">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）索赔事件具有连续影响的，承包人应按合理时间间隔继续递交延续索赔通知，说明连续影响的实际情况和记录，列出累计的追加付款金额和（或）工期延长天数；</w:t>
      </w:r>
    </w:p>
    <w:p w14:paraId="571F87CE">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w:t>
      </w:r>
      <w:r>
        <w:rPr>
          <w:rFonts w:hAnsi="宋体"/>
          <w:color w:val="auto"/>
          <w:szCs w:val="21"/>
          <w:highlight w:val="none"/>
        </w:rPr>
        <w:t>在索赔事件影响结束后的</w:t>
      </w:r>
      <w:r>
        <w:rPr>
          <w:color w:val="auto"/>
          <w:szCs w:val="21"/>
          <w:highlight w:val="none"/>
        </w:rPr>
        <w:t xml:space="preserve">28 </w:t>
      </w:r>
      <w:r>
        <w:rPr>
          <w:rFonts w:hAnsi="宋体"/>
          <w:color w:val="auto"/>
          <w:szCs w:val="21"/>
          <w:highlight w:val="none"/>
        </w:rPr>
        <w:t>天内，承包人应向监理人递交最终索赔通知书，说明最终要求索赔的追加付款金额和延长的工期，并附必要的记录和证明材料。</w:t>
      </w:r>
    </w:p>
    <w:p w14:paraId="75DA0E72">
      <w:pPr>
        <w:pStyle w:val="7"/>
        <w:spacing w:before="159"/>
        <w:rPr>
          <w:color w:val="auto"/>
          <w:highlight w:val="none"/>
        </w:rPr>
      </w:pPr>
      <w:bookmarkStart w:id="2794" w:name="_Toc9186"/>
      <w:bookmarkStart w:id="2795" w:name="_Toc28810"/>
      <w:bookmarkStart w:id="2796" w:name="_Toc4408"/>
      <w:bookmarkStart w:id="2797" w:name="_Toc23142_WPSOffice_Level2"/>
      <w:bookmarkStart w:id="2798" w:name="_Toc519085544"/>
      <w:bookmarkStart w:id="2799" w:name="_Toc14078"/>
      <w:bookmarkStart w:id="2800" w:name="_Toc7344"/>
      <w:bookmarkStart w:id="2801" w:name="_Toc300835192"/>
      <w:r>
        <w:rPr>
          <w:rStyle w:val="68"/>
          <w:color w:val="auto"/>
          <w:highlight w:val="none"/>
        </w:rPr>
        <w:t>23.2</w:t>
      </w:r>
      <w:bookmarkEnd w:id="2794"/>
      <w:bookmarkEnd w:id="2795"/>
      <w:r>
        <w:rPr>
          <w:color w:val="auto"/>
          <w:highlight w:val="none"/>
        </w:rPr>
        <w:t xml:space="preserve"> </w:t>
      </w:r>
      <w:r>
        <w:rPr>
          <w:rStyle w:val="79"/>
          <w:color w:val="auto"/>
          <w:highlight w:val="none"/>
        </w:rPr>
        <w:t>承包人索赔处理程序</w:t>
      </w:r>
      <w:bookmarkEnd w:id="2796"/>
      <w:bookmarkEnd w:id="2797"/>
      <w:bookmarkEnd w:id="2798"/>
      <w:bookmarkEnd w:id="2799"/>
      <w:bookmarkEnd w:id="2800"/>
      <w:bookmarkEnd w:id="2801"/>
    </w:p>
    <w:p w14:paraId="452D0ED7">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）监理人收到承包人提交的索赔通知书后，应及时审查索赔通知书的内容、查验承包人的记录和证明材料，必要时监理人可要求承包人提交全部原始记录副本。</w:t>
      </w:r>
    </w:p>
    <w:p w14:paraId="218972E8">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）监理人应按第</w:t>
      </w:r>
      <w:r>
        <w:rPr>
          <w:color w:val="auto"/>
          <w:highlight w:val="none"/>
        </w:rPr>
        <w:t xml:space="preserve">3.5 </w:t>
      </w:r>
      <w:r>
        <w:rPr>
          <w:rFonts w:hAnsi="宋体"/>
          <w:color w:val="auto"/>
          <w:highlight w:val="none"/>
        </w:rPr>
        <w:t>款商定或确定追加的付款和（或）延长的工期，并在收到上述索赔通知书或有关索赔的进一步证明材料后的</w:t>
      </w:r>
      <w:r>
        <w:rPr>
          <w:color w:val="auto"/>
          <w:highlight w:val="none"/>
        </w:rPr>
        <w:t>42</w:t>
      </w:r>
      <w:r>
        <w:rPr>
          <w:rFonts w:hAnsi="宋体"/>
          <w:color w:val="auto"/>
          <w:highlight w:val="none"/>
        </w:rPr>
        <w:t>天内，将索赔处理结果答复承包人。监理人应当在收到索赔通知书或有关索赔的进一步证明材料后的</w:t>
      </w:r>
      <w:r>
        <w:rPr>
          <w:color w:val="auto"/>
          <w:highlight w:val="none"/>
        </w:rPr>
        <w:t>42</w:t>
      </w:r>
      <w:r>
        <w:rPr>
          <w:rFonts w:hAnsi="宋体"/>
          <w:color w:val="auto"/>
          <w:highlight w:val="none"/>
        </w:rPr>
        <w:t>天内不予答复的，视为认可索赔。</w:t>
      </w:r>
    </w:p>
    <w:p w14:paraId="1BB441F4">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）承包人接受索赔处</w:t>
      </w:r>
      <w:r>
        <w:rPr>
          <w:rFonts w:hAnsi="宋体"/>
          <w:color w:val="auto"/>
          <w:szCs w:val="21"/>
          <w:highlight w:val="none"/>
        </w:rPr>
        <w:t>理结果的，发包人应在作出索赔处理结果答复后</w:t>
      </w:r>
      <w:r>
        <w:rPr>
          <w:color w:val="auto"/>
          <w:szCs w:val="21"/>
          <w:highlight w:val="none"/>
        </w:rPr>
        <w:t xml:space="preserve">28 </w:t>
      </w:r>
      <w:r>
        <w:rPr>
          <w:rFonts w:hAnsi="宋体"/>
          <w:color w:val="auto"/>
          <w:szCs w:val="21"/>
          <w:highlight w:val="none"/>
        </w:rPr>
        <w:t>天内完成赔付。承包人不接受索赔处理结果的，按第</w:t>
      </w:r>
      <w:r>
        <w:rPr>
          <w:color w:val="auto"/>
          <w:szCs w:val="21"/>
          <w:highlight w:val="none"/>
        </w:rPr>
        <w:t>24</w:t>
      </w:r>
      <w:r>
        <w:rPr>
          <w:rFonts w:hAnsi="宋体"/>
          <w:color w:val="auto"/>
          <w:szCs w:val="21"/>
          <w:highlight w:val="none"/>
        </w:rPr>
        <w:t>条的约定执行。</w:t>
      </w:r>
    </w:p>
    <w:p w14:paraId="47407D8F">
      <w:pPr>
        <w:pStyle w:val="7"/>
        <w:spacing w:before="159"/>
        <w:rPr>
          <w:color w:val="auto"/>
          <w:highlight w:val="none"/>
        </w:rPr>
      </w:pPr>
      <w:bookmarkStart w:id="2802" w:name="_Toc11821"/>
      <w:bookmarkStart w:id="2803" w:name="_Toc5879"/>
      <w:bookmarkStart w:id="2804" w:name="_Toc20114"/>
      <w:bookmarkStart w:id="2805" w:name="_Toc300835193"/>
      <w:bookmarkStart w:id="2806" w:name="_Toc32657"/>
      <w:bookmarkStart w:id="2807" w:name="_Toc19062_WPSOffice_Level2"/>
      <w:bookmarkStart w:id="2808" w:name="_Toc519085545"/>
      <w:bookmarkStart w:id="2809" w:name="_Toc31530"/>
      <w:r>
        <w:rPr>
          <w:rStyle w:val="68"/>
          <w:color w:val="auto"/>
          <w:highlight w:val="none"/>
        </w:rPr>
        <w:t>23.3</w:t>
      </w:r>
      <w:bookmarkEnd w:id="2802"/>
      <w:bookmarkEnd w:id="2803"/>
      <w:r>
        <w:rPr>
          <w:color w:val="auto"/>
          <w:highlight w:val="none"/>
        </w:rPr>
        <w:t xml:space="preserve"> </w:t>
      </w:r>
      <w:r>
        <w:rPr>
          <w:rStyle w:val="79"/>
          <w:color w:val="auto"/>
          <w:highlight w:val="none"/>
        </w:rPr>
        <w:t>承包人提出索赔的期限</w:t>
      </w:r>
      <w:bookmarkEnd w:id="2804"/>
      <w:bookmarkEnd w:id="2805"/>
      <w:bookmarkEnd w:id="2806"/>
      <w:bookmarkEnd w:id="2807"/>
      <w:bookmarkEnd w:id="2808"/>
      <w:bookmarkEnd w:id="2809"/>
    </w:p>
    <w:p w14:paraId="1B396855">
      <w:pPr>
        <w:spacing w:line="360" w:lineRule="auto"/>
        <w:ind w:firstLine="420" w:firstLineChars="200"/>
        <w:rPr>
          <w:color w:val="auto"/>
          <w:szCs w:val="21"/>
          <w:highlight w:val="none"/>
        </w:rPr>
      </w:pPr>
      <w:r>
        <w:rPr>
          <w:color w:val="auto"/>
          <w:highlight w:val="none"/>
        </w:rPr>
        <w:t>23.3.1</w:t>
      </w:r>
      <w:r>
        <w:rPr>
          <w:color w:val="auto"/>
          <w:szCs w:val="21"/>
          <w:highlight w:val="none"/>
        </w:rPr>
        <w:t xml:space="preserve"> </w:t>
      </w:r>
      <w:r>
        <w:rPr>
          <w:rFonts w:hAnsi="宋体"/>
          <w:color w:val="auto"/>
          <w:szCs w:val="21"/>
          <w:highlight w:val="none"/>
        </w:rPr>
        <w:t>承包人按</w:t>
      </w:r>
      <w:r>
        <w:rPr>
          <w:rFonts w:hAnsi="宋体"/>
          <w:color w:val="auto"/>
          <w:highlight w:val="none"/>
        </w:rPr>
        <w:t>第</w:t>
      </w:r>
      <w:r>
        <w:rPr>
          <w:color w:val="auto"/>
          <w:highlight w:val="none"/>
        </w:rPr>
        <w:t xml:space="preserve">17.5 </w:t>
      </w:r>
      <w:r>
        <w:rPr>
          <w:rFonts w:hAnsi="宋体"/>
          <w:color w:val="auto"/>
          <w:szCs w:val="21"/>
          <w:highlight w:val="none"/>
        </w:rPr>
        <w:t>款的约定接受了竣工付款证书后，应被认为已无权再提出在合同工程接收证书颁发前所发生的任何索赔。</w:t>
      </w:r>
    </w:p>
    <w:p w14:paraId="72629FC7">
      <w:pPr>
        <w:spacing w:line="360" w:lineRule="auto"/>
        <w:ind w:firstLine="420" w:firstLineChars="200"/>
        <w:rPr>
          <w:color w:val="auto"/>
          <w:szCs w:val="21"/>
          <w:highlight w:val="none"/>
        </w:rPr>
      </w:pPr>
      <w:r>
        <w:rPr>
          <w:color w:val="auto"/>
          <w:highlight w:val="none"/>
        </w:rPr>
        <w:t xml:space="preserve">23.3.2 </w:t>
      </w:r>
      <w:r>
        <w:rPr>
          <w:rFonts w:hAnsi="宋体"/>
          <w:color w:val="auto"/>
          <w:szCs w:val="21"/>
          <w:highlight w:val="none"/>
        </w:rPr>
        <w:t>承包人按</w:t>
      </w:r>
      <w:r>
        <w:rPr>
          <w:rFonts w:hAnsi="宋体"/>
          <w:color w:val="auto"/>
          <w:highlight w:val="none"/>
        </w:rPr>
        <w:t>第</w:t>
      </w:r>
      <w:r>
        <w:rPr>
          <w:color w:val="auto"/>
          <w:highlight w:val="none"/>
        </w:rPr>
        <w:t xml:space="preserve">17.6 </w:t>
      </w:r>
      <w:r>
        <w:rPr>
          <w:rFonts w:hAnsi="宋体"/>
          <w:color w:val="auto"/>
          <w:highlight w:val="none"/>
        </w:rPr>
        <w:t>款</w:t>
      </w:r>
      <w:r>
        <w:rPr>
          <w:rFonts w:hAnsi="宋体"/>
          <w:color w:val="auto"/>
          <w:szCs w:val="21"/>
          <w:highlight w:val="none"/>
        </w:rPr>
        <w:t>的约定提交的最终结清申请单中，只限于提出工程接收证书颁发后发生的索赔。提出索赔的期限自接受最终结清证书时终止。</w:t>
      </w:r>
    </w:p>
    <w:p w14:paraId="7FB09BE6">
      <w:pPr>
        <w:pStyle w:val="7"/>
        <w:spacing w:before="159"/>
        <w:rPr>
          <w:color w:val="auto"/>
          <w:highlight w:val="none"/>
        </w:rPr>
      </w:pPr>
      <w:bookmarkStart w:id="2810" w:name="_Toc8862"/>
      <w:bookmarkStart w:id="2811" w:name="_Toc12211"/>
      <w:bookmarkStart w:id="2812" w:name="_Toc5105"/>
      <w:bookmarkStart w:id="2813" w:name="_Toc349_WPSOffice_Level2"/>
      <w:bookmarkStart w:id="2814" w:name="_Toc300835194"/>
      <w:bookmarkStart w:id="2815" w:name="_Toc31280"/>
      <w:bookmarkStart w:id="2816" w:name="_Toc23289"/>
      <w:bookmarkStart w:id="2817" w:name="_Toc519085546"/>
      <w:r>
        <w:rPr>
          <w:rStyle w:val="68"/>
          <w:color w:val="auto"/>
          <w:highlight w:val="none"/>
        </w:rPr>
        <w:t>23.4</w:t>
      </w:r>
      <w:bookmarkEnd w:id="2810"/>
      <w:bookmarkEnd w:id="2811"/>
      <w:r>
        <w:rPr>
          <w:color w:val="auto"/>
          <w:highlight w:val="none"/>
        </w:rPr>
        <w:t xml:space="preserve"> </w:t>
      </w:r>
      <w:r>
        <w:rPr>
          <w:rStyle w:val="79"/>
          <w:color w:val="auto"/>
          <w:highlight w:val="none"/>
        </w:rPr>
        <w:t>发包人的索赔</w:t>
      </w:r>
      <w:bookmarkEnd w:id="2812"/>
      <w:bookmarkEnd w:id="2813"/>
      <w:bookmarkEnd w:id="2814"/>
      <w:bookmarkEnd w:id="2815"/>
      <w:bookmarkEnd w:id="2816"/>
      <w:bookmarkEnd w:id="2817"/>
    </w:p>
    <w:p w14:paraId="7D443031">
      <w:pPr>
        <w:spacing w:line="360" w:lineRule="auto"/>
        <w:ind w:firstLine="420" w:firstLineChars="200"/>
        <w:rPr>
          <w:color w:val="auto"/>
          <w:szCs w:val="21"/>
          <w:highlight w:val="none"/>
        </w:rPr>
      </w:pPr>
      <w:r>
        <w:rPr>
          <w:color w:val="auto"/>
          <w:highlight w:val="none"/>
        </w:rPr>
        <w:t>23.4.1</w:t>
      </w:r>
      <w:r>
        <w:rPr>
          <w:color w:val="auto"/>
          <w:szCs w:val="21"/>
          <w:highlight w:val="none"/>
        </w:rPr>
        <w:t xml:space="preserve"> </w:t>
      </w:r>
      <w:r>
        <w:rPr>
          <w:rFonts w:hAnsi="宋体"/>
          <w:color w:val="auto"/>
          <w:szCs w:val="21"/>
          <w:highlight w:val="none"/>
        </w:rPr>
        <w:t>发包人应在知道或应当知道索赔事件发生后</w:t>
      </w:r>
      <w:r>
        <w:rPr>
          <w:color w:val="auto"/>
          <w:szCs w:val="21"/>
          <w:highlight w:val="none"/>
        </w:rPr>
        <w:t>28</w:t>
      </w:r>
      <w:r>
        <w:rPr>
          <w:rFonts w:hAnsi="宋体"/>
          <w:color w:val="auto"/>
          <w:szCs w:val="21"/>
          <w:highlight w:val="none"/>
        </w:rPr>
        <w:t>天内，向承包人发出索赔通知，并说明发包人有权扣减的付款和（或）延长缺陷责任期的细节和依据。发包人未在前述</w:t>
      </w:r>
      <w:r>
        <w:rPr>
          <w:color w:val="auto"/>
          <w:szCs w:val="21"/>
          <w:highlight w:val="none"/>
        </w:rPr>
        <w:t>28</w:t>
      </w:r>
      <w:r>
        <w:rPr>
          <w:rFonts w:hAnsi="宋体"/>
          <w:color w:val="auto"/>
          <w:szCs w:val="21"/>
          <w:highlight w:val="none"/>
        </w:rPr>
        <w:t>天内发出索赔通知的，丧失要求扣减付款和（或）延长缺陷责任期的权利。发包人提出索赔的期限和要求与第</w:t>
      </w:r>
      <w:r>
        <w:rPr>
          <w:color w:val="auto"/>
          <w:highlight w:val="none"/>
        </w:rPr>
        <w:t xml:space="preserve">23.3 </w:t>
      </w:r>
      <w:r>
        <w:rPr>
          <w:rFonts w:hAnsi="宋体"/>
          <w:color w:val="auto"/>
          <w:szCs w:val="21"/>
          <w:highlight w:val="none"/>
        </w:rPr>
        <w:t>款的约定相同，要求延长缺陷责任期的通知应在缺陷责任期届满前发出。</w:t>
      </w:r>
    </w:p>
    <w:p w14:paraId="5E036F96">
      <w:pPr>
        <w:spacing w:line="360" w:lineRule="auto"/>
        <w:ind w:firstLine="420" w:firstLineChars="200"/>
        <w:rPr>
          <w:color w:val="auto"/>
          <w:szCs w:val="21"/>
          <w:highlight w:val="none"/>
        </w:rPr>
      </w:pPr>
      <w:r>
        <w:rPr>
          <w:color w:val="auto"/>
          <w:highlight w:val="none"/>
        </w:rPr>
        <w:t>23.4.2</w:t>
      </w:r>
      <w:r>
        <w:rPr>
          <w:color w:val="auto"/>
          <w:szCs w:val="21"/>
          <w:highlight w:val="none"/>
        </w:rPr>
        <w:t xml:space="preserve"> </w:t>
      </w:r>
      <w:r>
        <w:rPr>
          <w:rFonts w:hAnsi="宋体"/>
          <w:color w:val="auto"/>
          <w:szCs w:val="21"/>
          <w:highlight w:val="none"/>
        </w:rPr>
        <w:t>发包人按</w:t>
      </w:r>
      <w:r>
        <w:rPr>
          <w:rFonts w:hAnsi="宋体"/>
          <w:color w:val="auto"/>
          <w:highlight w:val="none"/>
        </w:rPr>
        <w:t>第</w:t>
      </w:r>
      <w:r>
        <w:rPr>
          <w:color w:val="auto"/>
          <w:highlight w:val="none"/>
        </w:rPr>
        <w:t xml:space="preserve">3.5 </w:t>
      </w:r>
      <w:r>
        <w:rPr>
          <w:rFonts w:hAnsi="宋体"/>
          <w:color w:val="auto"/>
          <w:highlight w:val="none"/>
        </w:rPr>
        <w:t>款商</w:t>
      </w:r>
      <w:r>
        <w:rPr>
          <w:rFonts w:hAnsi="宋体"/>
          <w:color w:val="auto"/>
          <w:szCs w:val="21"/>
          <w:highlight w:val="none"/>
        </w:rPr>
        <w:t>定或确定发包人从承包人处得到赔付的金额和（或）缺陷责任期的延长期。承包人应付给发包人的金额可从拟支付给承包人的合同价款中扣除，或由承包人以其他方式支付给发包人。</w:t>
      </w:r>
    </w:p>
    <w:p w14:paraId="39E3CF9F">
      <w:pPr>
        <w:pStyle w:val="6"/>
        <w:spacing w:before="63"/>
        <w:rPr>
          <w:rFonts w:ascii="Times New Roman" w:hAnsi="Times New Roman"/>
          <w:color w:val="auto"/>
          <w:highlight w:val="none"/>
        </w:rPr>
      </w:pPr>
      <w:bookmarkStart w:id="2818" w:name="_Toc16450"/>
      <w:bookmarkStart w:id="2819" w:name="_Toc519085547"/>
      <w:bookmarkStart w:id="2820" w:name="_Toc12165"/>
      <w:bookmarkStart w:id="2821" w:name="_Toc29115"/>
      <w:bookmarkStart w:id="2822" w:name="_Toc300835195"/>
      <w:bookmarkStart w:id="2823" w:name="_Toc14039_WPSOffice_Level1"/>
      <w:r>
        <w:rPr>
          <w:rFonts w:ascii="Times New Roman" w:hAnsi="Times New Roman"/>
          <w:color w:val="auto"/>
          <w:highlight w:val="none"/>
        </w:rPr>
        <w:t xml:space="preserve">24. </w:t>
      </w:r>
      <w:r>
        <w:rPr>
          <w:rStyle w:val="65"/>
          <w:color w:val="auto"/>
          <w:highlight w:val="none"/>
        </w:rPr>
        <w:t>争议的解决</w:t>
      </w:r>
      <w:bookmarkEnd w:id="2818"/>
      <w:bookmarkEnd w:id="2819"/>
      <w:bookmarkEnd w:id="2820"/>
      <w:bookmarkEnd w:id="2821"/>
      <w:bookmarkEnd w:id="2822"/>
      <w:bookmarkEnd w:id="2823"/>
    </w:p>
    <w:p w14:paraId="06DC685B">
      <w:pPr>
        <w:pStyle w:val="7"/>
        <w:spacing w:before="159"/>
        <w:rPr>
          <w:color w:val="auto"/>
          <w:highlight w:val="none"/>
        </w:rPr>
      </w:pPr>
      <w:bookmarkStart w:id="2824" w:name="_Toc15298"/>
      <w:bookmarkStart w:id="2825" w:name="_Toc14823"/>
      <w:bookmarkStart w:id="2826" w:name="_Toc30586"/>
      <w:bookmarkStart w:id="2827" w:name="_Toc31111_WPSOffice_Level2"/>
      <w:bookmarkStart w:id="2828" w:name="_Toc519085548"/>
      <w:bookmarkStart w:id="2829" w:name="_Toc25835"/>
      <w:bookmarkStart w:id="2830" w:name="_Toc6159"/>
      <w:bookmarkStart w:id="2831" w:name="_Toc300835196"/>
      <w:r>
        <w:rPr>
          <w:rStyle w:val="68"/>
          <w:color w:val="auto"/>
          <w:highlight w:val="none"/>
        </w:rPr>
        <w:t>24.1</w:t>
      </w:r>
      <w:bookmarkEnd w:id="2824"/>
      <w:bookmarkEnd w:id="2825"/>
      <w:r>
        <w:rPr>
          <w:color w:val="auto"/>
          <w:highlight w:val="none"/>
        </w:rPr>
        <w:t xml:space="preserve"> </w:t>
      </w:r>
      <w:r>
        <w:rPr>
          <w:rStyle w:val="79"/>
          <w:color w:val="auto"/>
          <w:highlight w:val="none"/>
        </w:rPr>
        <w:t>争议的解决方式</w:t>
      </w:r>
      <w:bookmarkEnd w:id="2826"/>
      <w:bookmarkEnd w:id="2827"/>
      <w:bookmarkEnd w:id="2828"/>
      <w:bookmarkEnd w:id="2829"/>
      <w:bookmarkEnd w:id="2830"/>
      <w:bookmarkEnd w:id="2831"/>
    </w:p>
    <w:p w14:paraId="57BB8CAB">
      <w:pPr>
        <w:spacing w:line="360" w:lineRule="auto"/>
        <w:ind w:firstLine="420" w:firstLineChars="200"/>
        <w:rPr>
          <w:color w:val="auto"/>
          <w:szCs w:val="21"/>
          <w:highlight w:val="none"/>
        </w:rPr>
      </w:pPr>
      <w:r>
        <w:rPr>
          <w:rFonts w:hAnsi="宋体"/>
          <w:color w:val="auto"/>
          <w:szCs w:val="21"/>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339E9E98">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）向约定的仲裁委员会申请仲裁；</w:t>
      </w:r>
    </w:p>
    <w:p w14:paraId="0DAEC240">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）向有管</w:t>
      </w:r>
      <w:r>
        <w:rPr>
          <w:rFonts w:hAnsi="宋体"/>
          <w:color w:val="auto"/>
          <w:szCs w:val="21"/>
          <w:highlight w:val="none"/>
        </w:rPr>
        <w:t>辖权的人民法院提起诉讼。</w:t>
      </w:r>
    </w:p>
    <w:p w14:paraId="51630778">
      <w:pPr>
        <w:pStyle w:val="7"/>
        <w:spacing w:before="159"/>
        <w:rPr>
          <w:color w:val="auto"/>
          <w:highlight w:val="none"/>
        </w:rPr>
      </w:pPr>
      <w:bookmarkStart w:id="2832" w:name="_Toc26077"/>
      <w:bookmarkStart w:id="2833" w:name="_Toc19070"/>
      <w:bookmarkStart w:id="2834" w:name="_Toc16072"/>
      <w:bookmarkStart w:id="2835" w:name="_Toc29863"/>
      <w:bookmarkStart w:id="2836" w:name="_Toc300835197"/>
      <w:bookmarkStart w:id="2837" w:name="_Toc29452_WPSOffice_Level2"/>
      <w:bookmarkStart w:id="2838" w:name="_Toc519085549"/>
      <w:bookmarkStart w:id="2839" w:name="_Toc18679"/>
      <w:r>
        <w:rPr>
          <w:rStyle w:val="68"/>
          <w:color w:val="auto"/>
          <w:highlight w:val="none"/>
        </w:rPr>
        <w:t>24.2</w:t>
      </w:r>
      <w:bookmarkEnd w:id="2832"/>
      <w:bookmarkEnd w:id="2833"/>
      <w:r>
        <w:rPr>
          <w:color w:val="auto"/>
          <w:highlight w:val="none"/>
        </w:rPr>
        <w:t xml:space="preserve"> </w:t>
      </w:r>
      <w:r>
        <w:rPr>
          <w:rStyle w:val="79"/>
          <w:color w:val="auto"/>
          <w:highlight w:val="none"/>
        </w:rPr>
        <w:t>友好解决</w:t>
      </w:r>
      <w:bookmarkEnd w:id="2834"/>
      <w:bookmarkEnd w:id="2835"/>
      <w:bookmarkEnd w:id="2836"/>
      <w:bookmarkEnd w:id="2837"/>
      <w:bookmarkEnd w:id="2838"/>
      <w:bookmarkEnd w:id="2839"/>
    </w:p>
    <w:p w14:paraId="6E5FB463">
      <w:pPr>
        <w:spacing w:line="360" w:lineRule="auto"/>
        <w:ind w:firstLine="420" w:firstLineChars="200"/>
        <w:rPr>
          <w:color w:val="auto"/>
          <w:szCs w:val="21"/>
          <w:highlight w:val="none"/>
        </w:rPr>
      </w:pPr>
      <w:r>
        <w:rPr>
          <w:rFonts w:hAnsi="宋体"/>
          <w:color w:val="auto"/>
          <w:szCs w:val="21"/>
          <w:highlight w:val="none"/>
        </w:rPr>
        <w:t>在提请争议评审、仲裁或者诉讼前，以及在争议评审、仲裁或诉讼过程中，发包人和承包人均可共同努力友好协商解决争议。</w:t>
      </w:r>
    </w:p>
    <w:p w14:paraId="78875972">
      <w:pPr>
        <w:pStyle w:val="7"/>
        <w:spacing w:before="159"/>
        <w:rPr>
          <w:color w:val="auto"/>
          <w:highlight w:val="none"/>
        </w:rPr>
      </w:pPr>
      <w:bookmarkStart w:id="2840" w:name="_Toc17877"/>
      <w:bookmarkStart w:id="2841" w:name="_Toc15393"/>
      <w:bookmarkStart w:id="2842" w:name="_Toc300835198"/>
      <w:bookmarkStart w:id="2843" w:name="_Toc29888"/>
      <w:bookmarkStart w:id="2844" w:name="_Toc18806"/>
      <w:bookmarkStart w:id="2845" w:name="_Toc16620_WPSOffice_Level2"/>
      <w:bookmarkStart w:id="2846" w:name="_Toc519085550"/>
      <w:bookmarkStart w:id="2847" w:name="_Toc1042"/>
      <w:r>
        <w:rPr>
          <w:rStyle w:val="68"/>
          <w:color w:val="auto"/>
          <w:highlight w:val="none"/>
        </w:rPr>
        <w:t>24.3</w:t>
      </w:r>
      <w:bookmarkEnd w:id="2840"/>
      <w:bookmarkEnd w:id="2841"/>
      <w:r>
        <w:rPr>
          <w:color w:val="auto"/>
          <w:highlight w:val="none"/>
        </w:rPr>
        <w:t xml:space="preserve"> </w:t>
      </w:r>
      <w:r>
        <w:rPr>
          <w:rStyle w:val="79"/>
          <w:color w:val="auto"/>
          <w:highlight w:val="none"/>
        </w:rPr>
        <w:t>争议评审</w:t>
      </w:r>
      <w:bookmarkEnd w:id="2842"/>
      <w:bookmarkEnd w:id="2843"/>
      <w:bookmarkEnd w:id="2844"/>
      <w:bookmarkEnd w:id="2845"/>
      <w:bookmarkEnd w:id="2846"/>
      <w:bookmarkEnd w:id="2847"/>
    </w:p>
    <w:p w14:paraId="545C3471">
      <w:pPr>
        <w:spacing w:line="360" w:lineRule="auto"/>
        <w:ind w:firstLine="420" w:firstLineChars="200"/>
        <w:rPr>
          <w:color w:val="auto"/>
          <w:szCs w:val="21"/>
          <w:highlight w:val="none"/>
        </w:rPr>
      </w:pPr>
      <w:r>
        <w:rPr>
          <w:color w:val="auto"/>
          <w:highlight w:val="none"/>
        </w:rPr>
        <w:t>24.3.1</w:t>
      </w:r>
      <w:r>
        <w:rPr>
          <w:color w:val="auto"/>
          <w:szCs w:val="21"/>
          <w:highlight w:val="none"/>
        </w:rPr>
        <w:t xml:space="preserve"> </w:t>
      </w:r>
      <w:r>
        <w:rPr>
          <w:rFonts w:hAnsi="宋体"/>
          <w:color w:val="auto"/>
          <w:szCs w:val="21"/>
          <w:highlight w:val="none"/>
        </w:rPr>
        <w:t>采用争议评审的，发包人和承包人应在开工日后的</w:t>
      </w:r>
      <w:r>
        <w:rPr>
          <w:color w:val="auto"/>
          <w:szCs w:val="21"/>
          <w:highlight w:val="none"/>
        </w:rPr>
        <w:t>28</w:t>
      </w:r>
      <w:r>
        <w:rPr>
          <w:rFonts w:hAnsi="宋体"/>
          <w:color w:val="auto"/>
          <w:szCs w:val="21"/>
          <w:highlight w:val="none"/>
        </w:rPr>
        <w:t>天内或在争议发生后，协商成立争议评审组。争议评审组由有合同管理和工程实践经验的专家组成。</w:t>
      </w:r>
    </w:p>
    <w:p w14:paraId="1A0CDA95">
      <w:pPr>
        <w:spacing w:line="360" w:lineRule="auto"/>
        <w:ind w:firstLine="420" w:firstLineChars="200"/>
        <w:rPr>
          <w:color w:val="auto"/>
          <w:szCs w:val="21"/>
          <w:highlight w:val="none"/>
        </w:rPr>
      </w:pPr>
      <w:r>
        <w:rPr>
          <w:color w:val="auto"/>
          <w:highlight w:val="none"/>
        </w:rPr>
        <w:t>24.3.2</w:t>
      </w:r>
      <w:r>
        <w:rPr>
          <w:color w:val="auto"/>
          <w:szCs w:val="21"/>
          <w:highlight w:val="none"/>
        </w:rPr>
        <w:t xml:space="preserve"> </w:t>
      </w:r>
      <w:r>
        <w:rPr>
          <w:rFonts w:hAnsi="宋体"/>
          <w:color w:val="auto"/>
          <w:szCs w:val="21"/>
          <w:highlight w:val="none"/>
        </w:rPr>
        <w:t>合同双方的争议，应首先由申请人向争议评审组提交一份详细的评审申请报告，并附必要的文件、图纸和证明材料，申请人还应将上述报告的副本同时提交给被申请人和监理人。</w:t>
      </w:r>
    </w:p>
    <w:p w14:paraId="715A45F9">
      <w:pPr>
        <w:spacing w:line="360" w:lineRule="auto"/>
        <w:ind w:firstLine="420" w:firstLineChars="200"/>
        <w:rPr>
          <w:color w:val="auto"/>
          <w:szCs w:val="21"/>
          <w:highlight w:val="none"/>
        </w:rPr>
      </w:pPr>
      <w:r>
        <w:rPr>
          <w:color w:val="auto"/>
          <w:highlight w:val="none"/>
        </w:rPr>
        <w:t>24.3.3</w:t>
      </w:r>
      <w:r>
        <w:rPr>
          <w:color w:val="auto"/>
          <w:szCs w:val="21"/>
          <w:highlight w:val="none"/>
        </w:rPr>
        <w:t xml:space="preserve"> </w:t>
      </w:r>
      <w:r>
        <w:rPr>
          <w:rFonts w:hAnsi="宋体"/>
          <w:color w:val="auto"/>
          <w:szCs w:val="21"/>
          <w:highlight w:val="none"/>
        </w:rPr>
        <w:t>被申请人在收到申请人评审申请报告副本后的</w:t>
      </w:r>
      <w:r>
        <w:rPr>
          <w:color w:val="auto"/>
          <w:szCs w:val="21"/>
          <w:highlight w:val="none"/>
        </w:rPr>
        <w:t xml:space="preserve">28 </w:t>
      </w:r>
      <w:r>
        <w:rPr>
          <w:rFonts w:hAnsi="宋体"/>
          <w:color w:val="auto"/>
          <w:szCs w:val="21"/>
          <w:highlight w:val="none"/>
        </w:rPr>
        <w:t>天内，向争议评审组提交一份答辩报告，并附证明材料。被申请人应将答辩报告的副本同时提交给申请人和监理人。</w:t>
      </w:r>
    </w:p>
    <w:p w14:paraId="21927890">
      <w:pPr>
        <w:spacing w:line="360" w:lineRule="auto"/>
        <w:ind w:firstLine="420" w:firstLineChars="200"/>
        <w:rPr>
          <w:color w:val="auto"/>
          <w:szCs w:val="21"/>
          <w:highlight w:val="none"/>
        </w:rPr>
      </w:pPr>
      <w:r>
        <w:rPr>
          <w:color w:val="auto"/>
          <w:highlight w:val="none"/>
        </w:rPr>
        <w:t>24.3.4</w:t>
      </w:r>
      <w:r>
        <w:rPr>
          <w:color w:val="auto"/>
          <w:szCs w:val="21"/>
          <w:highlight w:val="none"/>
        </w:rPr>
        <w:t xml:space="preserve"> </w:t>
      </w:r>
      <w:r>
        <w:rPr>
          <w:rFonts w:hAnsi="宋体"/>
          <w:color w:val="auto"/>
          <w:szCs w:val="21"/>
          <w:highlight w:val="none"/>
        </w:rPr>
        <w:t>除专用合同条款另有约定外，争议评审组在收到合同双方报告后的</w:t>
      </w:r>
      <w:r>
        <w:rPr>
          <w:color w:val="auto"/>
          <w:szCs w:val="21"/>
          <w:highlight w:val="none"/>
        </w:rPr>
        <w:t>14</w:t>
      </w:r>
      <w:r>
        <w:rPr>
          <w:rFonts w:hAnsi="宋体"/>
          <w:color w:val="auto"/>
          <w:szCs w:val="21"/>
          <w:highlight w:val="none"/>
        </w:rPr>
        <w:t>天内，邀请双方代表和有关人员举行调查会，向双方调查争议细节；必要时争议评审组可要求双方进一步提供补充材料。</w:t>
      </w:r>
    </w:p>
    <w:p w14:paraId="29DF95F9">
      <w:pPr>
        <w:spacing w:line="360" w:lineRule="auto"/>
        <w:ind w:firstLine="420" w:firstLineChars="200"/>
        <w:rPr>
          <w:color w:val="auto"/>
          <w:szCs w:val="21"/>
          <w:highlight w:val="none"/>
        </w:rPr>
      </w:pPr>
      <w:r>
        <w:rPr>
          <w:color w:val="auto"/>
          <w:highlight w:val="none"/>
        </w:rPr>
        <w:t>24.3.5</w:t>
      </w:r>
      <w:r>
        <w:rPr>
          <w:color w:val="auto"/>
          <w:szCs w:val="21"/>
          <w:highlight w:val="none"/>
        </w:rPr>
        <w:t xml:space="preserve"> </w:t>
      </w:r>
      <w:r>
        <w:rPr>
          <w:rFonts w:hAnsi="宋体"/>
          <w:color w:val="auto"/>
          <w:szCs w:val="21"/>
          <w:highlight w:val="none"/>
        </w:rPr>
        <w:t>除专用合同条款另有约定外，在调查会结束后的</w:t>
      </w:r>
      <w:r>
        <w:rPr>
          <w:color w:val="auto"/>
          <w:szCs w:val="21"/>
          <w:highlight w:val="none"/>
        </w:rPr>
        <w:t>14</w:t>
      </w:r>
      <w:r>
        <w:rPr>
          <w:rFonts w:hAnsi="宋体"/>
          <w:color w:val="auto"/>
          <w:szCs w:val="21"/>
          <w:highlight w:val="none"/>
        </w:rPr>
        <w:t>天内，争议评审组应在不受任何干扰的情况下进行独立、公正的评审，作出书面评审意见，并说明理由。在争议评审期间，争议双方暂按总监理工程师的确定执行。</w:t>
      </w:r>
    </w:p>
    <w:p w14:paraId="0D680FC0">
      <w:pPr>
        <w:spacing w:line="360" w:lineRule="auto"/>
        <w:ind w:firstLine="420" w:firstLineChars="200"/>
        <w:rPr>
          <w:color w:val="auto"/>
          <w:szCs w:val="21"/>
          <w:highlight w:val="none"/>
        </w:rPr>
      </w:pPr>
      <w:r>
        <w:rPr>
          <w:color w:val="auto"/>
          <w:highlight w:val="none"/>
        </w:rPr>
        <w:t xml:space="preserve">24.3.6 </w:t>
      </w:r>
      <w:r>
        <w:rPr>
          <w:rFonts w:hAnsi="宋体"/>
          <w:color w:val="auto"/>
          <w:szCs w:val="21"/>
          <w:highlight w:val="none"/>
        </w:rPr>
        <w:t>发包人和承包人接受评审意见的，由监理人根据评审意见拟定执行协议，经争议双方签字后作为合同的补充文件，并遵照执行。</w:t>
      </w:r>
    </w:p>
    <w:p w14:paraId="5A33EF7B">
      <w:pPr>
        <w:spacing w:line="360" w:lineRule="auto"/>
        <w:ind w:firstLine="420" w:firstLineChars="200"/>
        <w:rPr>
          <w:rFonts w:hint="eastAsia" w:hAnsi="宋体"/>
          <w:color w:val="auto"/>
          <w:szCs w:val="21"/>
          <w:highlight w:val="none"/>
        </w:rPr>
      </w:pPr>
      <w:r>
        <w:rPr>
          <w:color w:val="auto"/>
          <w:highlight w:val="none"/>
        </w:rPr>
        <w:t>24.3.7</w:t>
      </w:r>
      <w:r>
        <w:rPr>
          <w:color w:val="auto"/>
          <w:szCs w:val="21"/>
          <w:highlight w:val="none"/>
        </w:rPr>
        <w:t xml:space="preserve"> </w:t>
      </w:r>
      <w:r>
        <w:rPr>
          <w:rFonts w:hAnsi="宋体"/>
          <w:color w:val="auto"/>
          <w:szCs w:val="21"/>
          <w:highlight w:val="none"/>
        </w:rPr>
        <w:t>发包人或承包人不接受评审意见，并要求提交仲裁或提起诉讼的，应在收到评审意见后的</w:t>
      </w:r>
      <w:r>
        <w:rPr>
          <w:color w:val="auto"/>
          <w:szCs w:val="21"/>
          <w:highlight w:val="none"/>
        </w:rPr>
        <w:t xml:space="preserve">14 </w:t>
      </w:r>
      <w:r>
        <w:rPr>
          <w:rFonts w:hAnsi="宋体"/>
          <w:color w:val="auto"/>
          <w:szCs w:val="21"/>
          <w:highlight w:val="none"/>
        </w:rPr>
        <w:t>天内将仲裁或起诉意向书面通知另一方，并抄送监理人，但在仲裁或诉讼结束前应暂按总监理工程师的确定执行。</w:t>
      </w:r>
    </w:p>
    <w:p w14:paraId="1CD871F2">
      <w:pPr>
        <w:spacing w:line="360" w:lineRule="auto"/>
        <w:ind w:firstLine="420" w:firstLineChars="200"/>
        <w:rPr>
          <w:rFonts w:hint="eastAsia" w:hAnsi="宋体"/>
          <w:color w:val="auto"/>
          <w:szCs w:val="21"/>
          <w:highlight w:val="none"/>
        </w:rPr>
      </w:pPr>
      <w:r>
        <w:rPr>
          <w:rFonts w:hAnsi="宋体"/>
          <w:color w:val="auto"/>
          <w:szCs w:val="21"/>
          <w:highlight w:val="none"/>
        </w:rPr>
        <w:br w:type="page"/>
      </w:r>
    </w:p>
    <w:p w14:paraId="258B85A7">
      <w:pPr>
        <w:pStyle w:val="90"/>
        <w:spacing w:before="63"/>
        <w:rPr>
          <w:color w:val="auto"/>
          <w:sz w:val="28"/>
          <w:szCs w:val="28"/>
          <w:highlight w:val="none"/>
        </w:rPr>
      </w:pPr>
      <w:bookmarkStart w:id="2848" w:name="_Toc3410"/>
      <w:bookmarkStart w:id="2849" w:name="_Toc31531"/>
      <w:bookmarkStart w:id="2850" w:name="_Toc247527798"/>
      <w:bookmarkStart w:id="2851" w:name="_Toc519085551"/>
      <w:bookmarkStart w:id="2852" w:name="_Toc13531"/>
      <w:bookmarkStart w:id="2853" w:name="_Toc27240"/>
      <w:bookmarkStart w:id="2854" w:name="_Toc15687"/>
      <w:bookmarkStart w:id="2855" w:name="_Toc247514197"/>
      <w:bookmarkStart w:id="2856" w:name="_Toc184635122"/>
      <w:bookmarkStart w:id="2857" w:name="_Toc16280"/>
      <w:r>
        <w:rPr>
          <w:rFonts w:hint="eastAsia"/>
          <w:color w:val="auto"/>
          <w:sz w:val="28"/>
          <w:szCs w:val="28"/>
          <w:highlight w:val="none"/>
        </w:rPr>
        <w:t>第二节 专用合同条款</w:t>
      </w:r>
      <w:bookmarkEnd w:id="2848"/>
      <w:bookmarkEnd w:id="2849"/>
      <w:bookmarkEnd w:id="2850"/>
      <w:bookmarkEnd w:id="2851"/>
      <w:bookmarkEnd w:id="2852"/>
      <w:bookmarkEnd w:id="2853"/>
      <w:bookmarkEnd w:id="2854"/>
      <w:bookmarkEnd w:id="2855"/>
      <w:bookmarkEnd w:id="2856"/>
      <w:bookmarkEnd w:id="2857"/>
    </w:p>
    <w:p w14:paraId="6351991B">
      <w:pPr>
        <w:spacing w:line="400" w:lineRule="exact"/>
        <w:ind w:firstLine="560" w:firstLineChars="200"/>
        <w:jc w:val="center"/>
        <w:rPr>
          <w:rFonts w:hint="eastAsia" w:ascii="黑体" w:hAnsi="黑体" w:eastAsia="黑体"/>
          <w:color w:val="auto"/>
          <w:sz w:val="28"/>
          <w:szCs w:val="28"/>
          <w:highlight w:val="none"/>
        </w:rPr>
      </w:pPr>
      <w:bookmarkStart w:id="2858" w:name="_Toc27251_WPSOffice_Level1"/>
      <w:bookmarkStart w:id="2859" w:name="_Toc229305387"/>
      <w:bookmarkStart w:id="2860" w:name="_Toc222031029"/>
      <w:bookmarkStart w:id="2861" w:name="_Toc456173451"/>
      <w:bookmarkStart w:id="2862" w:name="_Toc222032696"/>
      <w:bookmarkStart w:id="2863" w:name="_Toc222033878"/>
      <w:bookmarkStart w:id="2864" w:name="_Toc221951111"/>
      <w:bookmarkStart w:id="2865" w:name="_Toc222029527"/>
      <w:r>
        <w:rPr>
          <w:rFonts w:hint="eastAsia" w:ascii="黑体" w:hAnsi="黑体" w:eastAsia="黑体"/>
          <w:color w:val="auto"/>
          <w:sz w:val="28"/>
          <w:szCs w:val="28"/>
          <w:highlight w:val="none"/>
        </w:rPr>
        <w:t>专用合同条款</w:t>
      </w:r>
      <w:bookmarkEnd w:id="2858"/>
    </w:p>
    <w:p w14:paraId="3D612C26">
      <w:pPr>
        <w:pStyle w:val="6"/>
        <w:spacing w:before="63"/>
        <w:rPr>
          <w:rFonts w:ascii="Times New Roman" w:hAnsi="Times New Roman"/>
          <w:color w:val="auto"/>
          <w:highlight w:val="none"/>
        </w:rPr>
      </w:pPr>
      <w:bookmarkStart w:id="2866" w:name="_Toc20476"/>
      <w:bookmarkStart w:id="2867" w:name="_Toc10151"/>
      <w:bookmarkStart w:id="2868" w:name="_Toc11547_WPSOffice_Level2"/>
      <w:bookmarkStart w:id="2869" w:name="_Toc11539"/>
      <w:bookmarkStart w:id="2870" w:name="_Toc519085552"/>
      <w:r>
        <w:rPr>
          <w:rFonts w:ascii="Times New Roman" w:hAnsi="Times New Roman"/>
          <w:color w:val="auto"/>
          <w:highlight w:val="none"/>
        </w:rPr>
        <w:t>1.</w:t>
      </w:r>
      <w:r>
        <w:rPr>
          <w:rFonts w:hint="eastAsia" w:ascii="Times New Roman" w:hAnsi="Times New Roman"/>
          <w:color w:val="auto"/>
          <w:highlight w:val="none"/>
        </w:rPr>
        <w:t xml:space="preserve"> </w:t>
      </w:r>
      <w:r>
        <w:rPr>
          <w:rFonts w:ascii="Times New Roman"/>
          <w:color w:val="auto"/>
          <w:highlight w:val="none"/>
        </w:rPr>
        <w:t>一般约定</w:t>
      </w:r>
      <w:bookmarkEnd w:id="2859"/>
      <w:bookmarkEnd w:id="2860"/>
      <w:bookmarkEnd w:id="2861"/>
      <w:bookmarkEnd w:id="2862"/>
      <w:bookmarkEnd w:id="2863"/>
      <w:bookmarkEnd w:id="2864"/>
      <w:bookmarkEnd w:id="2865"/>
      <w:bookmarkEnd w:id="2866"/>
      <w:bookmarkEnd w:id="2867"/>
      <w:bookmarkEnd w:id="2868"/>
      <w:bookmarkEnd w:id="2869"/>
      <w:bookmarkEnd w:id="2870"/>
    </w:p>
    <w:p w14:paraId="025628D6">
      <w:pPr>
        <w:pStyle w:val="7"/>
        <w:spacing w:before="159"/>
        <w:rPr>
          <w:color w:val="auto"/>
          <w:highlight w:val="none"/>
        </w:rPr>
      </w:pPr>
      <w:bookmarkStart w:id="2871" w:name="_Toc221951112"/>
      <w:bookmarkStart w:id="2872" w:name="_Toc10682"/>
      <w:bookmarkStart w:id="2873" w:name="_Toc519085553"/>
      <w:bookmarkStart w:id="2874" w:name="_Toc456173452"/>
      <w:r>
        <w:rPr>
          <w:color w:val="auto"/>
          <w:highlight w:val="none"/>
        </w:rPr>
        <w:t>1.1 词语定义</w:t>
      </w:r>
      <w:bookmarkEnd w:id="2871"/>
      <w:bookmarkEnd w:id="2872"/>
      <w:bookmarkEnd w:id="2873"/>
      <w:bookmarkEnd w:id="2874"/>
    </w:p>
    <w:p w14:paraId="4A76C672">
      <w:pPr>
        <w:spacing w:line="360" w:lineRule="auto"/>
        <w:ind w:firstLine="420" w:firstLineChars="200"/>
        <w:rPr>
          <w:color w:val="auto"/>
          <w:highlight w:val="none"/>
        </w:rPr>
      </w:pPr>
      <w:bookmarkStart w:id="2875" w:name="_Toc221951113"/>
      <w:bookmarkStart w:id="2876" w:name="_Toc387753609"/>
      <w:r>
        <w:rPr>
          <w:color w:val="auto"/>
          <w:highlight w:val="none"/>
        </w:rPr>
        <w:t xml:space="preserve">1.1.2  </w:t>
      </w:r>
      <w:r>
        <w:rPr>
          <w:rFonts w:hAnsi="宋体"/>
          <w:color w:val="auto"/>
          <w:highlight w:val="none"/>
        </w:rPr>
        <w:t>合同当事人和人员</w:t>
      </w:r>
      <w:bookmarkEnd w:id="2875"/>
      <w:bookmarkEnd w:id="2876"/>
    </w:p>
    <w:p w14:paraId="7E2A30DD">
      <w:pPr>
        <w:spacing w:line="360" w:lineRule="auto"/>
        <w:ind w:firstLine="420" w:firstLineChars="200"/>
        <w:rPr>
          <w:color w:val="auto"/>
          <w:szCs w:val="21"/>
          <w:highlight w:val="none"/>
        </w:rPr>
      </w:pPr>
      <w:bookmarkStart w:id="2877" w:name="_Toc221951114"/>
      <w:r>
        <w:rPr>
          <w:color w:val="auto"/>
          <w:szCs w:val="21"/>
          <w:highlight w:val="none"/>
        </w:rPr>
        <w:t xml:space="preserve">1.1.2.2  </w:t>
      </w:r>
      <w:r>
        <w:rPr>
          <w:rFonts w:hAnsi="宋体"/>
          <w:color w:val="auto"/>
          <w:szCs w:val="21"/>
          <w:highlight w:val="none"/>
        </w:rPr>
        <w:t>发包人：</w:t>
      </w:r>
      <w:r>
        <w:rPr>
          <w:color w:val="auto"/>
          <w:szCs w:val="21"/>
          <w:highlight w:val="none"/>
          <w:u w:val="single"/>
        </w:rPr>
        <w:t xml:space="preserve">                                                      </w:t>
      </w:r>
      <w:bookmarkEnd w:id="2877"/>
    </w:p>
    <w:p w14:paraId="47694C71">
      <w:pPr>
        <w:spacing w:line="360" w:lineRule="auto"/>
        <w:ind w:firstLine="420" w:firstLineChars="200"/>
        <w:rPr>
          <w:color w:val="auto"/>
          <w:szCs w:val="21"/>
          <w:highlight w:val="none"/>
        </w:rPr>
      </w:pPr>
      <w:bookmarkStart w:id="2878" w:name="_Toc221951115"/>
      <w:r>
        <w:rPr>
          <w:color w:val="auto"/>
          <w:szCs w:val="21"/>
          <w:highlight w:val="none"/>
        </w:rPr>
        <w:t xml:space="preserve">1.1.2.3  </w:t>
      </w:r>
      <w:r>
        <w:rPr>
          <w:rFonts w:hAnsi="宋体"/>
          <w:color w:val="auto"/>
          <w:szCs w:val="21"/>
          <w:highlight w:val="none"/>
        </w:rPr>
        <w:t>承包人：</w:t>
      </w:r>
      <w:r>
        <w:rPr>
          <w:color w:val="auto"/>
          <w:szCs w:val="21"/>
          <w:highlight w:val="none"/>
          <w:u w:val="single"/>
        </w:rPr>
        <w:t xml:space="preserve">                                                      </w:t>
      </w:r>
      <w:bookmarkEnd w:id="2878"/>
    </w:p>
    <w:p w14:paraId="72C58A5F">
      <w:pPr>
        <w:spacing w:line="360" w:lineRule="auto"/>
        <w:ind w:firstLine="420" w:firstLineChars="200"/>
        <w:rPr>
          <w:color w:val="auto"/>
          <w:szCs w:val="21"/>
          <w:highlight w:val="none"/>
        </w:rPr>
      </w:pPr>
      <w:bookmarkStart w:id="2879" w:name="_Toc221951116"/>
      <w:r>
        <w:rPr>
          <w:color w:val="auto"/>
          <w:szCs w:val="21"/>
          <w:highlight w:val="none"/>
        </w:rPr>
        <w:t xml:space="preserve">1.1.2.8  </w:t>
      </w:r>
      <w:r>
        <w:rPr>
          <w:rFonts w:hAnsi="宋体"/>
          <w:color w:val="auto"/>
          <w:szCs w:val="21"/>
          <w:highlight w:val="none"/>
        </w:rPr>
        <w:t>分包人：</w:t>
      </w:r>
      <w:r>
        <w:rPr>
          <w:color w:val="auto"/>
          <w:szCs w:val="21"/>
          <w:highlight w:val="none"/>
          <w:u w:val="single"/>
        </w:rPr>
        <w:t xml:space="preserve">                                                      </w:t>
      </w:r>
      <w:bookmarkEnd w:id="2879"/>
    </w:p>
    <w:p w14:paraId="3E0A4C58">
      <w:pPr>
        <w:spacing w:line="360" w:lineRule="auto"/>
        <w:ind w:firstLine="420" w:firstLineChars="200"/>
        <w:rPr>
          <w:color w:val="auto"/>
          <w:szCs w:val="21"/>
          <w:highlight w:val="none"/>
          <w:u w:val="single"/>
        </w:rPr>
      </w:pPr>
      <w:bookmarkStart w:id="2880" w:name="_Toc221951117"/>
      <w:r>
        <w:rPr>
          <w:color w:val="auto"/>
          <w:szCs w:val="21"/>
          <w:highlight w:val="none"/>
        </w:rPr>
        <w:t xml:space="preserve">1.1.2.9  </w:t>
      </w:r>
      <w:r>
        <w:rPr>
          <w:rFonts w:hAnsi="宋体"/>
          <w:color w:val="auto"/>
          <w:szCs w:val="21"/>
          <w:highlight w:val="none"/>
        </w:rPr>
        <w:t>监理人：</w:t>
      </w:r>
      <w:r>
        <w:rPr>
          <w:color w:val="auto"/>
          <w:szCs w:val="21"/>
          <w:highlight w:val="none"/>
          <w:u w:val="single"/>
        </w:rPr>
        <w:t xml:space="preserve">                                                      </w:t>
      </w:r>
      <w:bookmarkEnd w:id="2880"/>
    </w:p>
    <w:p w14:paraId="306C7B4A">
      <w:pPr>
        <w:spacing w:line="360" w:lineRule="auto"/>
        <w:ind w:firstLine="420" w:firstLineChars="200"/>
        <w:rPr>
          <w:color w:val="auto"/>
          <w:szCs w:val="21"/>
          <w:highlight w:val="none"/>
        </w:rPr>
      </w:pPr>
      <w:r>
        <w:rPr>
          <w:color w:val="auto"/>
          <w:szCs w:val="21"/>
          <w:highlight w:val="none"/>
        </w:rPr>
        <w:t xml:space="preserve">1.1.2.10 </w:t>
      </w:r>
      <w:r>
        <w:rPr>
          <w:rFonts w:hAnsi="宋体"/>
          <w:color w:val="auto"/>
          <w:szCs w:val="21"/>
          <w:highlight w:val="none"/>
        </w:rPr>
        <w:t>总监理工程师：</w:t>
      </w:r>
      <w:r>
        <w:rPr>
          <w:color w:val="auto"/>
          <w:szCs w:val="21"/>
          <w:highlight w:val="none"/>
          <w:u w:val="single"/>
        </w:rPr>
        <w:t xml:space="preserve">                                                </w:t>
      </w:r>
    </w:p>
    <w:p w14:paraId="127D2179">
      <w:pPr>
        <w:spacing w:line="360" w:lineRule="auto"/>
        <w:ind w:firstLine="420" w:firstLineChars="200"/>
        <w:rPr>
          <w:color w:val="auto"/>
          <w:szCs w:val="21"/>
          <w:highlight w:val="none"/>
        </w:rPr>
      </w:pPr>
      <w:bookmarkStart w:id="2881" w:name="_Toc221951125"/>
      <w:r>
        <w:rPr>
          <w:color w:val="auto"/>
          <w:szCs w:val="21"/>
          <w:highlight w:val="none"/>
        </w:rPr>
        <w:t xml:space="preserve">1.1.4  </w:t>
      </w:r>
      <w:r>
        <w:rPr>
          <w:rFonts w:hAnsi="宋体"/>
          <w:color w:val="auto"/>
          <w:szCs w:val="21"/>
          <w:highlight w:val="none"/>
        </w:rPr>
        <w:t>日期</w:t>
      </w:r>
      <w:bookmarkEnd w:id="2881"/>
    </w:p>
    <w:p w14:paraId="0168A020">
      <w:pPr>
        <w:spacing w:line="360" w:lineRule="auto"/>
        <w:ind w:firstLine="420" w:firstLineChars="200"/>
        <w:rPr>
          <w:color w:val="auto"/>
          <w:szCs w:val="21"/>
          <w:highlight w:val="none"/>
          <w:u w:val="single"/>
        </w:rPr>
      </w:pPr>
      <w:bookmarkStart w:id="2882" w:name="_Toc221951126"/>
      <w:r>
        <w:rPr>
          <w:color w:val="auto"/>
          <w:szCs w:val="21"/>
          <w:highlight w:val="none"/>
        </w:rPr>
        <w:t xml:space="preserve">1.1.4.5  </w:t>
      </w:r>
      <w:r>
        <w:rPr>
          <w:rFonts w:hAnsi="宋体"/>
          <w:color w:val="auto"/>
          <w:szCs w:val="21"/>
          <w:highlight w:val="none"/>
        </w:rPr>
        <w:t>缺陷责任期（工程质量保修期）：</w:t>
      </w:r>
      <w:r>
        <w:rPr>
          <w:color w:val="auto"/>
          <w:szCs w:val="21"/>
          <w:highlight w:val="none"/>
          <w:u w:val="single"/>
        </w:rPr>
        <w:t xml:space="preserve">                                 </w:t>
      </w:r>
      <w:bookmarkEnd w:id="2882"/>
    </w:p>
    <w:p w14:paraId="36383CEC">
      <w:pPr>
        <w:spacing w:line="360" w:lineRule="auto"/>
        <w:ind w:firstLine="420" w:firstLineChars="200"/>
        <w:rPr>
          <w:color w:val="auto"/>
          <w:szCs w:val="21"/>
          <w:highlight w:val="none"/>
          <w:u w:val="single"/>
        </w:rPr>
      </w:pPr>
      <w:r>
        <w:rPr>
          <w:color w:val="auto"/>
          <w:szCs w:val="21"/>
          <w:highlight w:val="none"/>
        </w:rPr>
        <w:t xml:space="preserve">1.1.3.4  </w:t>
      </w:r>
      <w:r>
        <w:rPr>
          <w:rFonts w:hAnsi="宋体"/>
          <w:color w:val="auto"/>
          <w:szCs w:val="21"/>
          <w:highlight w:val="none"/>
        </w:rPr>
        <w:t>区段工程：</w:t>
      </w:r>
      <w:r>
        <w:rPr>
          <w:color w:val="auto"/>
          <w:szCs w:val="21"/>
          <w:highlight w:val="none"/>
          <w:u w:val="single"/>
        </w:rPr>
        <w:t xml:space="preserve">                                                    </w:t>
      </w:r>
    </w:p>
    <w:p w14:paraId="1DAE923D">
      <w:pPr>
        <w:spacing w:line="360" w:lineRule="auto"/>
        <w:ind w:firstLine="420" w:firstLineChars="200"/>
        <w:rPr>
          <w:color w:val="auto"/>
          <w:szCs w:val="21"/>
          <w:highlight w:val="none"/>
          <w:u w:val="single"/>
        </w:rPr>
      </w:pPr>
      <w:r>
        <w:rPr>
          <w:color w:val="auto"/>
          <w:szCs w:val="21"/>
          <w:highlight w:val="none"/>
        </w:rPr>
        <w:t xml:space="preserve">1.1.3.10  </w:t>
      </w:r>
      <w:r>
        <w:rPr>
          <w:rFonts w:hAnsi="宋体"/>
          <w:color w:val="auto"/>
          <w:szCs w:val="21"/>
          <w:highlight w:val="none"/>
        </w:rPr>
        <w:t>永久占地：</w:t>
      </w:r>
      <w:r>
        <w:rPr>
          <w:color w:val="auto"/>
          <w:szCs w:val="21"/>
          <w:highlight w:val="none"/>
          <w:u w:val="single"/>
        </w:rPr>
        <w:t xml:space="preserve">                                                   </w:t>
      </w:r>
    </w:p>
    <w:p w14:paraId="48DC628B">
      <w:pPr>
        <w:spacing w:line="360" w:lineRule="auto"/>
        <w:ind w:firstLine="420" w:firstLineChars="200"/>
        <w:rPr>
          <w:color w:val="auto"/>
          <w:szCs w:val="21"/>
          <w:highlight w:val="none"/>
          <w:u w:val="single"/>
        </w:rPr>
      </w:pPr>
      <w:r>
        <w:rPr>
          <w:color w:val="auto"/>
          <w:szCs w:val="21"/>
          <w:highlight w:val="none"/>
        </w:rPr>
        <w:t xml:space="preserve">1.1.3.11  </w:t>
      </w:r>
      <w:r>
        <w:rPr>
          <w:rFonts w:hAnsi="宋体"/>
          <w:color w:val="auto"/>
          <w:szCs w:val="21"/>
          <w:highlight w:val="none"/>
        </w:rPr>
        <w:t>临时占地：</w:t>
      </w:r>
      <w:r>
        <w:rPr>
          <w:color w:val="auto"/>
          <w:szCs w:val="21"/>
          <w:highlight w:val="none"/>
          <w:u w:val="single"/>
        </w:rPr>
        <w:t xml:space="preserve">                                                    </w:t>
      </w:r>
    </w:p>
    <w:p w14:paraId="6AFC7E72">
      <w:pPr>
        <w:pStyle w:val="7"/>
        <w:spacing w:before="159"/>
        <w:rPr>
          <w:color w:val="auto"/>
          <w:highlight w:val="none"/>
        </w:rPr>
      </w:pPr>
      <w:bookmarkStart w:id="2883" w:name="_Toc456173453"/>
      <w:bookmarkStart w:id="2884" w:name="_Toc221951127"/>
      <w:bookmarkStart w:id="2885" w:name="_Toc519085554"/>
      <w:bookmarkStart w:id="2886" w:name="_Toc13504"/>
      <w:r>
        <w:rPr>
          <w:color w:val="auto"/>
          <w:highlight w:val="none"/>
        </w:rPr>
        <w:t>1.4 合同文件的优先顺序</w:t>
      </w:r>
      <w:bookmarkEnd w:id="2883"/>
      <w:bookmarkEnd w:id="2884"/>
      <w:bookmarkEnd w:id="2885"/>
      <w:bookmarkEnd w:id="2886"/>
    </w:p>
    <w:p w14:paraId="6A19E271">
      <w:pPr>
        <w:spacing w:line="360" w:lineRule="auto"/>
        <w:ind w:firstLine="420" w:firstLineChars="200"/>
        <w:rPr>
          <w:color w:val="auto"/>
          <w:szCs w:val="21"/>
          <w:highlight w:val="none"/>
          <w:u w:val="single"/>
        </w:rPr>
      </w:pPr>
      <w:bookmarkStart w:id="2887" w:name="_Toc221951128"/>
      <w:r>
        <w:rPr>
          <w:rFonts w:hAnsi="宋体"/>
          <w:color w:val="auto"/>
          <w:szCs w:val="21"/>
          <w:highlight w:val="none"/>
        </w:rPr>
        <w:t>进入合同的各项文件及其优先顺序</w:t>
      </w:r>
      <w:bookmarkEnd w:id="2887"/>
      <w:r>
        <w:rPr>
          <w:rFonts w:hAnsi="宋体"/>
          <w:color w:val="auto"/>
          <w:szCs w:val="21"/>
          <w:highlight w:val="none"/>
        </w:rPr>
        <w:t>是</w:t>
      </w:r>
      <w:r>
        <w:rPr>
          <w:color w:val="auto"/>
          <w:szCs w:val="21"/>
          <w:highlight w:val="none"/>
          <w:u w:val="single"/>
        </w:rPr>
        <w:t xml:space="preserve">                                        </w:t>
      </w:r>
    </w:p>
    <w:p w14:paraId="7891282B">
      <w:pPr>
        <w:pStyle w:val="7"/>
        <w:spacing w:before="159"/>
        <w:rPr>
          <w:color w:val="auto"/>
          <w:highlight w:val="none"/>
        </w:rPr>
      </w:pPr>
      <w:bookmarkStart w:id="2888" w:name="_Toc25581"/>
      <w:bookmarkStart w:id="2889" w:name="_Toc519085555"/>
      <w:r>
        <w:rPr>
          <w:color w:val="auto"/>
          <w:highlight w:val="none"/>
        </w:rPr>
        <w:t>1.6 文件的提供和照管</w:t>
      </w:r>
      <w:bookmarkEnd w:id="2888"/>
      <w:bookmarkEnd w:id="2889"/>
    </w:p>
    <w:p w14:paraId="6712D777">
      <w:pPr>
        <w:spacing w:line="360" w:lineRule="auto"/>
        <w:ind w:firstLine="420" w:firstLineChars="200"/>
        <w:rPr>
          <w:color w:val="auto"/>
          <w:szCs w:val="21"/>
          <w:highlight w:val="none"/>
          <w:u w:val="single"/>
        </w:rPr>
      </w:pPr>
      <w:r>
        <w:rPr>
          <w:color w:val="auto"/>
          <w:szCs w:val="21"/>
          <w:highlight w:val="none"/>
        </w:rPr>
        <w:t xml:space="preserve">1.6.1  </w:t>
      </w:r>
      <w:r>
        <w:rPr>
          <w:rFonts w:hAnsi="宋体"/>
          <w:color w:val="auto"/>
          <w:szCs w:val="21"/>
          <w:highlight w:val="none"/>
        </w:rPr>
        <w:t>承包人提供的文件：</w:t>
      </w:r>
      <w:r>
        <w:rPr>
          <w:color w:val="auto"/>
          <w:szCs w:val="21"/>
          <w:highlight w:val="none"/>
          <w:u w:val="single"/>
        </w:rPr>
        <w:t xml:space="preserve">                                               </w:t>
      </w:r>
    </w:p>
    <w:p w14:paraId="27F63019">
      <w:pPr>
        <w:spacing w:line="360" w:lineRule="auto"/>
        <w:ind w:firstLine="420" w:firstLineChars="200"/>
        <w:rPr>
          <w:color w:val="auto"/>
          <w:szCs w:val="21"/>
          <w:highlight w:val="none"/>
          <w:u w:val="single"/>
        </w:rPr>
      </w:pPr>
      <w:r>
        <w:rPr>
          <w:color w:val="auto"/>
          <w:szCs w:val="21"/>
          <w:highlight w:val="none"/>
        </w:rPr>
        <w:t xml:space="preserve">1.6.2  </w:t>
      </w:r>
      <w:r>
        <w:rPr>
          <w:rFonts w:hAnsi="宋体"/>
          <w:color w:val="auto"/>
          <w:szCs w:val="21"/>
          <w:highlight w:val="none"/>
        </w:rPr>
        <w:t>发包人提供的文件：</w:t>
      </w:r>
      <w:r>
        <w:rPr>
          <w:color w:val="auto"/>
          <w:szCs w:val="21"/>
          <w:highlight w:val="none"/>
          <w:u w:val="single"/>
        </w:rPr>
        <w:t xml:space="preserve">                                               </w:t>
      </w:r>
    </w:p>
    <w:p w14:paraId="7BF57C0E">
      <w:pPr>
        <w:pStyle w:val="7"/>
        <w:spacing w:before="159"/>
        <w:rPr>
          <w:color w:val="auto"/>
          <w:highlight w:val="none"/>
        </w:rPr>
      </w:pPr>
      <w:bookmarkStart w:id="2890" w:name="_Toc221951129"/>
      <w:bookmarkStart w:id="2891" w:name="_Toc11289"/>
      <w:bookmarkStart w:id="2892" w:name="_Toc456173454"/>
      <w:bookmarkStart w:id="2893" w:name="_Toc519085556"/>
      <w:r>
        <w:rPr>
          <w:color w:val="auto"/>
          <w:highlight w:val="none"/>
        </w:rPr>
        <w:t>1.7 联络</w:t>
      </w:r>
      <w:bookmarkEnd w:id="2890"/>
      <w:bookmarkEnd w:id="2891"/>
      <w:bookmarkEnd w:id="2892"/>
      <w:bookmarkEnd w:id="2893"/>
    </w:p>
    <w:p w14:paraId="1EB749AB">
      <w:pPr>
        <w:spacing w:line="360" w:lineRule="auto"/>
        <w:ind w:firstLine="420" w:firstLineChars="200"/>
        <w:rPr>
          <w:color w:val="auto"/>
          <w:highlight w:val="none"/>
          <w:u w:val="single"/>
        </w:rPr>
      </w:pPr>
      <w:bookmarkStart w:id="2894" w:name="_Toc221951130"/>
      <w:bookmarkStart w:id="2895" w:name="_Toc387753610"/>
      <w:r>
        <w:rPr>
          <w:color w:val="auto"/>
          <w:highlight w:val="none"/>
        </w:rPr>
        <w:t>1.7.2  来往函件均应按技术标准和要求（合同技术条款）约定的期限送达</w:t>
      </w:r>
      <w:r>
        <w:rPr>
          <w:color w:val="auto"/>
          <w:highlight w:val="none"/>
          <w:u w:val="single"/>
        </w:rPr>
        <w:t xml:space="preserve">        </w:t>
      </w:r>
      <w:bookmarkEnd w:id="2894"/>
      <w:bookmarkEnd w:id="2895"/>
    </w:p>
    <w:p w14:paraId="5C0BA3A6">
      <w:pPr>
        <w:spacing w:line="360" w:lineRule="auto"/>
        <w:rPr>
          <w:color w:val="auto"/>
          <w:highlight w:val="none"/>
        </w:rPr>
      </w:pPr>
      <w:bookmarkStart w:id="2896" w:name="_Toc519085557"/>
      <w:r>
        <w:rPr>
          <w:color w:val="auto"/>
          <w:highlight w:val="none"/>
        </w:rPr>
        <w:t>1.11 知识产权</w:t>
      </w:r>
      <w:bookmarkEnd w:id="2896"/>
    </w:p>
    <w:p w14:paraId="14536D27">
      <w:pPr>
        <w:spacing w:line="360" w:lineRule="auto"/>
        <w:ind w:firstLine="420" w:firstLineChars="200"/>
        <w:rPr>
          <w:color w:val="auto"/>
          <w:highlight w:val="none"/>
          <w:u w:val="single"/>
        </w:rPr>
      </w:pPr>
      <w:r>
        <w:rPr>
          <w:color w:val="auto"/>
          <w:highlight w:val="none"/>
        </w:rPr>
        <w:t>1.11.1  知识产权：</w:t>
      </w:r>
      <w:r>
        <w:rPr>
          <w:color w:val="auto"/>
          <w:highlight w:val="none"/>
          <w:u w:val="single"/>
        </w:rPr>
        <w:t xml:space="preserve">                                                         </w:t>
      </w:r>
    </w:p>
    <w:p w14:paraId="6F238470">
      <w:pPr>
        <w:pStyle w:val="7"/>
        <w:spacing w:before="159"/>
        <w:rPr>
          <w:color w:val="auto"/>
          <w:highlight w:val="none"/>
        </w:rPr>
      </w:pPr>
      <w:bookmarkStart w:id="2897" w:name="_Toc16171"/>
      <w:bookmarkStart w:id="2898" w:name="_Toc519085558"/>
      <w:r>
        <w:rPr>
          <w:color w:val="auto"/>
          <w:highlight w:val="none"/>
        </w:rPr>
        <w:t>1.13 发包人要求中的错误</w:t>
      </w:r>
      <w:bookmarkEnd w:id="2897"/>
      <w:bookmarkEnd w:id="2898"/>
    </w:p>
    <w:p w14:paraId="767CC073">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5A183116">
      <w:pPr>
        <w:pStyle w:val="6"/>
        <w:spacing w:before="63"/>
        <w:rPr>
          <w:color w:val="auto"/>
          <w:highlight w:val="none"/>
        </w:rPr>
      </w:pPr>
      <w:bookmarkStart w:id="2899" w:name="_Toc222032697"/>
      <w:bookmarkStart w:id="2900" w:name="_Toc229305388"/>
      <w:bookmarkStart w:id="2901" w:name="_Toc519085559"/>
      <w:bookmarkStart w:id="2902" w:name="_Toc222029528"/>
      <w:bookmarkStart w:id="2903" w:name="_Toc15399"/>
      <w:bookmarkStart w:id="2904" w:name="_Toc221951131"/>
      <w:bookmarkStart w:id="2905" w:name="_Toc456173455"/>
      <w:bookmarkStart w:id="2906" w:name="_Toc222033879"/>
      <w:bookmarkStart w:id="2907" w:name="_Toc222031030"/>
      <w:bookmarkStart w:id="2908" w:name="_Toc15653"/>
      <w:bookmarkStart w:id="2909" w:name="_Toc32092_WPSOffice_Level2"/>
      <w:bookmarkStart w:id="2910" w:name="_Toc28528"/>
      <w:r>
        <w:rPr>
          <w:color w:val="auto"/>
          <w:highlight w:val="none"/>
        </w:rPr>
        <w:t>2. 发包人义务</w:t>
      </w:r>
      <w:bookmarkEnd w:id="2899"/>
      <w:bookmarkEnd w:id="2900"/>
      <w:bookmarkEnd w:id="2901"/>
      <w:bookmarkEnd w:id="2902"/>
      <w:bookmarkEnd w:id="2903"/>
      <w:bookmarkEnd w:id="2904"/>
      <w:bookmarkEnd w:id="2905"/>
      <w:bookmarkEnd w:id="2906"/>
      <w:bookmarkEnd w:id="2907"/>
      <w:bookmarkEnd w:id="2908"/>
      <w:bookmarkEnd w:id="2909"/>
      <w:bookmarkEnd w:id="2910"/>
    </w:p>
    <w:p w14:paraId="19948606">
      <w:pPr>
        <w:pStyle w:val="7"/>
        <w:spacing w:before="159"/>
        <w:rPr>
          <w:color w:val="auto"/>
          <w:highlight w:val="none"/>
        </w:rPr>
      </w:pPr>
      <w:bookmarkStart w:id="2911" w:name="_Toc221951132"/>
      <w:bookmarkStart w:id="2912" w:name="_Toc28634"/>
      <w:bookmarkStart w:id="2913" w:name="_Toc456173456"/>
      <w:bookmarkStart w:id="2914" w:name="_Toc519085560"/>
      <w:r>
        <w:rPr>
          <w:color w:val="auto"/>
          <w:highlight w:val="none"/>
        </w:rPr>
        <w:t>2.3 提供施工场地</w:t>
      </w:r>
      <w:bookmarkEnd w:id="2911"/>
      <w:bookmarkEnd w:id="2912"/>
      <w:bookmarkEnd w:id="2913"/>
      <w:bookmarkEnd w:id="2914"/>
    </w:p>
    <w:p w14:paraId="288E437F">
      <w:pPr>
        <w:spacing w:line="360" w:lineRule="auto"/>
        <w:ind w:right="248" w:firstLine="420" w:firstLineChars="200"/>
        <w:rPr>
          <w:b/>
          <w:bCs/>
          <w:color w:val="auto"/>
          <w:sz w:val="24"/>
          <w:highlight w:val="none"/>
        </w:rPr>
      </w:pPr>
      <w:bookmarkStart w:id="2915" w:name="_Toc221951133"/>
      <w:r>
        <w:rPr>
          <w:color w:val="auto"/>
          <w:szCs w:val="21"/>
          <w:highlight w:val="none"/>
        </w:rPr>
        <w:t>发包人提供的施工场地范围为：</w:t>
      </w:r>
      <w:bookmarkEnd w:id="2915"/>
      <w:r>
        <w:rPr>
          <w:color w:val="auto"/>
          <w:szCs w:val="21"/>
          <w:highlight w:val="none"/>
          <w:u w:val="single"/>
        </w:rPr>
        <w:t xml:space="preserve">                                          </w:t>
      </w:r>
    </w:p>
    <w:p w14:paraId="10472BDE">
      <w:pPr>
        <w:pStyle w:val="7"/>
        <w:spacing w:before="159"/>
        <w:rPr>
          <w:color w:val="auto"/>
          <w:highlight w:val="none"/>
        </w:rPr>
      </w:pPr>
      <w:bookmarkStart w:id="2916" w:name="_Toc6976"/>
      <w:bookmarkStart w:id="2917" w:name="_Toc221951134"/>
      <w:bookmarkStart w:id="2918" w:name="_Toc519085561"/>
      <w:bookmarkStart w:id="2919" w:name="_Toc456173457"/>
      <w:r>
        <w:rPr>
          <w:color w:val="auto"/>
          <w:highlight w:val="none"/>
        </w:rPr>
        <w:t>2.7 其它义务</w:t>
      </w:r>
      <w:bookmarkEnd w:id="2916"/>
      <w:bookmarkEnd w:id="2917"/>
      <w:bookmarkEnd w:id="2918"/>
      <w:bookmarkEnd w:id="2919"/>
      <w:r>
        <w:rPr>
          <w:color w:val="auto"/>
          <w:highlight w:val="none"/>
        </w:rPr>
        <w:t xml:space="preserve">  </w:t>
      </w:r>
    </w:p>
    <w:p w14:paraId="61278D85">
      <w:pPr>
        <w:spacing w:line="360" w:lineRule="auto"/>
        <w:ind w:right="248" w:firstLine="480"/>
        <w:rPr>
          <w:color w:val="auto"/>
          <w:sz w:val="24"/>
          <w:highlight w:val="none"/>
        </w:rPr>
      </w:pPr>
      <w:bookmarkStart w:id="2920" w:name="_Toc221951136"/>
      <w:r>
        <w:rPr>
          <w:color w:val="auto"/>
          <w:sz w:val="24"/>
          <w:highlight w:val="none"/>
        </w:rPr>
        <w:t xml:space="preserve"> (1) ……</w:t>
      </w:r>
      <w:bookmarkEnd w:id="2920"/>
    </w:p>
    <w:p w14:paraId="6665A571">
      <w:pPr>
        <w:spacing w:line="360" w:lineRule="auto"/>
        <w:ind w:right="248" w:firstLine="600" w:firstLineChars="250"/>
        <w:rPr>
          <w:color w:val="auto"/>
          <w:sz w:val="24"/>
          <w:highlight w:val="none"/>
        </w:rPr>
      </w:pPr>
      <w:bookmarkStart w:id="2921" w:name="_Toc221951137"/>
      <w:r>
        <w:rPr>
          <w:color w:val="auto"/>
          <w:sz w:val="24"/>
          <w:highlight w:val="none"/>
        </w:rPr>
        <w:t>(2) ……</w:t>
      </w:r>
      <w:bookmarkEnd w:id="2921"/>
    </w:p>
    <w:p w14:paraId="0519BC65">
      <w:pPr>
        <w:pStyle w:val="6"/>
        <w:spacing w:before="63"/>
        <w:rPr>
          <w:color w:val="auto"/>
          <w:highlight w:val="none"/>
        </w:rPr>
      </w:pPr>
      <w:bookmarkStart w:id="2922" w:name="_Toc222029529"/>
      <w:bookmarkStart w:id="2923" w:name="_Toc540_WPSOffice_Level2"/>
      <w:bookmarkStart w:id="2924" w:name="_Toc456173458"/>
      <w:bookmarkStart w:id="2925" w:name="_Toc25940"/>
      <w:bookmarkStart w:id="2926" w:name="_Toc25642"/>
      <w:bookmarkStart w:id="2927" w:name="_Toc229305389"/>
      <w:bookmarkStart w:id="2928" w:name="_Toc221951140"/>
      <w:bookmarkStart w:id="2929" w:name="_Toc12845"/>
      <w:bookmarkStart w:id="2930" w:name="_Toc222031031"/>
      <w:bookmarkStart w:id="2931" w:name="_Toc222032698"/>
      <w:bookmarkStart w:id="2932" w:name="_Toc222033880"/>
      <w:bookmarkStart w:id="2933" w:name="_Toc519085562"/>
      <w:r>
        <w:rPr>
          <w:color w:val="auto"/>
          <w:highlight w:val="none"/>
        </w:rPr>
        <w:t>3. 监理人</w:t>
      </w:r>
      <w:bookmarkEnd w:id="2922"/>
      <w:bookmarkEnd w:id="2923"/>
      <w:bookmarkEnd w:id="2924"/>
      <w:bookmarkEnd w:id="2925"/>
      <w:bookmarkEnd w:id="2926"/>
      <w:bookmarkEnd w:id="2927"/>
      <w:bookmarkEnd w:id="2928"/>
      <w:bookmarkEnd w:id="2929"/>
      <w:bookmarkEnd w:id="2930"/>
      <w:bookmarkEnd w:id="2931"/>
      <w:bookmarkEnd w:id="2932"/>
      <w:bookmarkEnd w:id="2933"/>
    </w:p>
    <w:p w14:paraId="12BBC2AA">
      <w:pPr>
        <w:pStyle w:val="7"/>
        <w:spacing w:before="159"/>
        <w:rPr>
          <w:color w:val="auto"/>
          <w:highlight w:val="none"/>
        </w:rPr>
      </w:pPr>
      <w:bookmarkStart w:id="2934" w:name="_Toc221951141"/>
      <w:bookmarkStart w:id="2935" w:name="_Toc519085563"/>
      <w:bookmarkStart w:id="2936" w:name="_Toc14069"/>
      <w:bookmarkStart w:id="2937" w:name="_Toc456173459"/>
      <w:r>
        <w:rPr>
          <w:color w:val="auto"/>
          <w:highlight w:val="none"/>
        </w:rPr>
        <w:t>3.1 监理人的职责和权力</w:t>
      </w:r>
      <w:bookmarkEnd w:id="2934"/>
      <w:bookmarkEnd w:id="2935"/>
      <w:bookmarkEnd w:id="2936"/>
      <w:bookmarkEnd w:id="2937"/>
    </w:p>
    <w:p w14:paraId="47CBE537">
      <w:pPr>
        <w:spacing w:line="360" w:lineRule="auto"/>
        <w:ind w:firstLine="420" w:firstLineChars="200"/>
        <w:rPr>
          <w:color w:val="auto"/>
          <w:szCs w:val="21"/>
          <w:highlight w:val="none"/>
          <w:u w:val="single"/>
        </w:rPr>
      </w:pPr>
      <w:r>
        <w:rPr>
          <w:color w:val="auto"/>
          <w:szCs w:val="21"/>
          <w:highlight w:val="none"/>
        </w:rPr>
        <w:t>3.3.4总监理工程师委托工作：</w:t>
      </w:r>
      <w:r>
        <w:rPr>
          <w:color w:val="auto"/>
          <w:szCs w:val="21"/>
          <w:highlight w:val="none"/>
          <w:u w:val="single"/>
        </w:rPr>
        <w:t xml:space="preserve">                                                   </w:t>
      </w:r>
    </w:p>
    <w:p w14:paraId="446A675C">
      <w:pPr>
        <w:pStyle w:val="6"/>
        <w:spacing w:before="63"/>
        <w:rPr>
          <w:color w:val="auto"/>
          <w:highlight w:val="none"/>
        </w:rPr>
      </w:pPr>
      <w:bookmarkStart w:id="2938" w:name="_Toc222031032"/>
      <w:bookmarkStart w:id="2939" w:name="_Toc6340_WPSOffice_Level2"/>
      <w:bookmarkStart w:id="2940" w:name="_Toc221951150"/>
      <w:bookmarkStart w:id="2941" w:name="_Toc222033881"/>
      <w:bookmarkStart w:id="2942" w:name="_Toc4018"/>
      <w:bookmarkStart w:id="2943" w:name="_Toc19747"/>
      <w:bookmarkStart w:id="2944" w:name="_Toc222032699"/>
      <w:bookmarkStart w:id="2945" w:name="_Toc456173460"/>
      <w:bookmarkStart w:id="2946" w:name="_Toc519085564"/>
      <w:bookmarkStart w:id="2947" w:name="_Toc229305390"/>
      <w:bookmarkStart w:id="2948" w:name="_Toc222029530"/>
      <w:bookmarkStart w:id="2949" w:name="_Toc12395"/>
      <w:r>
        <w:rPr>
          <w:color w:val="auto"/>
          <w:highlight w:val="none"/>
        </w:rPr>
        <w:t>4. 承包人</w:t>
      </w:r>
      <w:bookmarkEnd w:id="2938"/>
      <w:bookmarkEnd w:id="2939"/>
      <w:bookmarkEnd w:id="2940"/>
      <w:bookmarkEnd w:id="2941"/>
      <w:bookmarkEnd w:id="2942"/>
      <w:bookmarkEnd w:id="2943"/>
      <w:bookmarkEnd w:id="2944"/>
      <w:bookmarkEnd w:id="2945"/>
      <w:bookmarkEnd w:id="2946"/>
      <w:bookmarkEnd w:id="2947"/>
      <w:bookmarkEnd w:id="2948"/>
      <w:bookmarkEnd w:id="2949"/>
    </w:p>
    <w:p w14:paraId="4D21AD8C">
      <w:pPr>
        <w:pStyle w:val="7"/>
        <w:spacing w:before="159"/>
        <w:rPr>
          <w:color w:val="auto"/>
          <w:highlight w:val="none"/>
        </w:rPr>
      </w:pPr>
      <w:bookmarkStart w:id="2950" w:name="_Toc21116"/>
      <w:bookmarkStart w:id="2951" w:name="_Toc221951151"/>
      <w:bookmarkStart w:id="2952" w:name="_Toc456173461"/>
      <w:bookmarkStart w:id="2953" w:name="_Toc519085565"/>
      <w:r>
        <w:rPr>
          <w:color w:val="auto"/>
          <w:highlight w:val="none"/>
        </w:rPr>
        <w:t>4.1 承包人的一般义务</w:t>
      </w:r>
      <w:bookmarkEnd w:id="2950"/>
      <w:bookmarkEnd w:id="2951"/>
      <w:bookmarkEnd w:id="2952"/>
      <w:bookmarkEnd w:id="2953"/>
    </w:p>
    <w:p w14:paraId="4FDFFC69">
      <w:pPr>
        <w:spacing w:line="360" w:lineRule="auto"/>
        <w:ind w:right="248" w:firstLine="480"/>
        <w:rPr>
          <w:color w:val="auto"/>
          <w:szCs w:val="21"/>
          <w:highlight w:val="none"/>
          <w:u w:val="single"/>
        </w:rPr>
      </w:pPr>
      <w:bookmarkStart w:id="2954" w:name="_Toc221951152"/>
      <w:r>
        <w:rPr>
          <w:color w:val="auto"/>
          <w:szCs w:val="21"/>
          <w:highlight w:val="none"/>
        </w:rPr>
        <w:t>4.1.3  承包人完成的工作：</w:t>
      </w:r>
      <w:r>
        <w:rPr>
          <w:color w:val="auto"/>
          <w:szCs w:val="21"/>
          <w:highlight w:val="none"/>
          <w:u w:val="single"/>
        </w:rPr>
        <w:t xml:space="preserve">                                                       </w:t>
      </w:r>
    </w:p>
    <w:p w14:paraId="2C6A01FC">
      <w:pPr>
        <w:spacing w:line="360" w:lineRule="auto"/>
        <w:ind w:right="248" w:firstLine="480"/>
        <w:rPr>
          <w:color w:val="auto"/>
          <w:highlight w:val="none"/>
        </w:rPr>
      </w:pPr>
      <w:r>
        <w:rPr>
          <w:color w:val="auto"/>
          <w:szCs w:val="21"/>
          <w:highlight w:val="none"/>
        </w:rPr>
        <w:t>4.1.10  其他义务</w:t>
      </w:r>
      <w:bookmarkEnd w:id="2954"/>
      <w:r>
        <w:rPr>
          <w:color w:val="auto"/>
          <w:szCs w:val="21"/>
          <w:highlight w:val="none"/>
        </w:rPr>
        <w:t>：</w:t>
      </w:r>
      <w:r>
        <w:rPr>
          <w:color w:val="auto"/>
          <w:szCs w:val="21"/>
          <w:highlight w:val="none"/>
          <w:u w:val="single"/>
        </w:rPr>
        <w:t xml:space="preserve">                                                              </w:t>
      </w:r>
    </w:p>
    <w:p w14:paraId="1B064682">
      <w:pPr>
        <w:pStyle w:val="7"/>
        <w:spacing w:before="159"/>
        <w:rPr>
          <w:color w:val="auto"/>
          <w:highlight w:val="none"/>
        </w:rPr>
      </w:pPr>
      <w:bookmarkStart w:id="2955" w:name="_Toc221951153"/>
      <w:bookmarkStart w:id="2956" w:name="_Toc456173462"/>
      <w:bookmarkStart w:id="2957" w:name="_Toc11600"/>
      <w:bookmarkStart w:id="2958" w:name="_Toc519085566"/>
      <w:r>
        <w:rPr>
          <w:color w:val="auto"/>
          <w:highlight w:val="none"/>
        </w:rPr>
        <w:t>4.3 分包</w:t>
      </w:r>
      <w:bookmarkEnd w:id="2955"/>
      <w:bookmarkEnd w:id="2956"/>
      <w:bookmarkEnd w:id="2957"/>
      <w:bookmarkEnd w:id="2958"/>
    </w:p>
    <w:p w14:paraId="6BC2ECFA">
      <w:pPr>
        <w:spacing w:line="360" w:lineRule="auto"/>
        <w:ind w:firstLine="420" w:firstLineChars="200"/>
        <w:rPr>
          <w:bCs/>
          <w:color w:val="auto"/>
          <w:szCs w:val="21"/>
          <w:highlight w:val="none"/>
        </w:rPr>
      </w:pPr>
      <w:bookmarkStart w:id="2959" w:name="_Toc221951154"/>
      <w:r>
        <w:rPr>
          <w:bCs/>
          <w:color w:val="auto"/>
          <w:szCs w:val="21"/>
          <w:highlight w:val="none"/>
        </w:rPr>
        <w:t>4.3.2  允许承包人分包的工程项目、工作内容与</w:t>
      </w:r>
      <w:r>
        <w:rPr>
          <w:rFonts w:hAnsi="宋体"/>
          <w:color w:val="auto"/>
          <w:szCs w:val="21"/>
          <w:highlight w:val="none"/>
          <w:lang w:val="zh-CN"/>
        </w:rPr>
        <w:t>分包金额</w:t>
      </w:r>
      <w:r>
        <w:rPr>
          <w:rFonts w:hAnsi="宋体"/>
          <w:bCs/>
          <w:color w:val="auto"/>
          <w:szCs w:val="21"/>
          <w:highlight w:val="none"/>
        </w:rPr>
        <w:t>限额为</w:t>
      </w:r>
      <w:r>
        <w:rPr>
          <w:bCs/>
          <w:color w:val="auto"/>
          <w:szCs w:val="21"/>
          <w:highlight w:val="none"/>
        </w:rPr>
        <w:t>：</w:t>
      </w:r>
      <w:bookmarkEnd w:id="2959"/>
    </w:p>
    <w:p w14:paraId="65E7DB7E">
      <w:pPr>
        <w:pStyle w:val="23"/>
        <w:spacing w:after="0" w:line="360" w:lineRule="auto"/>
        <w:ind w:left="0" w:leftChars="0" w:firstLine="422" w:firstLineChars="200"/>
        <w:rPr>
          <w:bCs/>
          <w:color w:val="auto"/>
          <w:szCs w:val="21"/>
          <w:highlight w:val="none"/>
        </w:rPr>
      </w:pPr>
      <w:r>
        <w:rPr>
          <w:b/>
          <w:color w:val="auto"/>
          <w:szCs w:val="21"/>
          <w:highlight w:val="none"/>
        </w:rPr>
        <w:t xml:space="preserve"> </w:t>
      </w:r>
      <w:bookmarkStart w:id="2960" w:name="_Toc221951155"/>
      <w:r>
        <w:rPr>
          <w:bCs/>
          <w:color w:val="auto"/>
          <w:szCs w:val="21"/>
          <w:highlight w:val="none"/>
        </w:rPr>
        <w:t>1</w:t>
      </w:r>
      <w:r>
        <w:rPr>
          <w:rFonts w:hAnsi="宋体"/>
          <w:bCs/>
          <w:color w:val="auto"/>
          <w:szCs w:val="21"/>
          <w:highlight w:val="none"/>
        </w:rPr>
        <w:t>）</w:t>
      </w:r>
      <w:r>
        <w:rPr>
          <w:bCs/>
          <w:color w:val="auto"/>
          <w:szCs w:val="21"/>
          <w:highlight w:val="none"/>
        </w:rPr>
        <w:t>工程项目：</w:t>
      </w:r>
      <w:r>
        <w:rPr>
          <w:bCs/>
          <w:color w:val="auto"/>
          <w:szCs w:val="21"/>
          <w:highlight w:val="none"/>
          <w:u w:val="single"/>
        </w:rPr>
        <w:t xml:space="preserve">                                                                      </w:t>
      </w:r>
      <w:bookmarkEnd w:id="2960"/>
    </w:p>
    <w:p w14:paraId="6523B5EB">
      <w:pPr>
        <w:pStyle w:val="23"/>
        <w:spacing w:after="0" w:line="360" w:lineRule="auto"/>
        <w:ind w:left="0" w:leftChars="0" w:firstLine="420" w:firstLineChars="200"/>
        <w:rPr>
          <w:bCs/>
          <w:color w:val="auto"/>
          <w:szCs w:val="21"/>
          <w:highlight w:val="none"/>
        </w:rPr>
      </w:pPr>
      <w:r>
        <w:rPr>
          <w:bCs/>
          <w:color w:val="auto"/>
          <w:szCs w:val="21"/>
          <w:highlight w:val="none"/>
        </w:rPr>
        <w:t xml:space="preserve"> </w:t>
      </w:r>
      <w:bookmarkStart w:id="2961" w:name="_Toc221951156"/>
      <w:r>
        <w:rPr>
          <w:bCs/>
          <w:color w:val="auto"/>
          <w:szCs w:val="21"/>
          <w:highlight w:val="none"/>
        </w:rPr>
        <w:t>2</w:t>
      </w:r>
      <w:r>
        <w:rPr>
          <w:rFonts w:hAnsi="宋体"/>
          <w:bCs/>
          <w:color w:val="auto"/>
          <w:szCs w:val="21"/>
          <w:highlight w:val="none"/>
        </w:rPr>
        <w:t>）</w:t>
      </w:r>
      <w:r>
        <w:rPr>
          <w:bCs/>
          <w:color w:val="auto"/>
          <w:szCs w:val="21"/>
          <w:highlight w:val="none"/>
        </w:rPr>
        <w:t>工作内容：</w:t>
      </w:r>
      <w:r>
        <w:rPr>
          <w:bCs/>
          <w:color w:val="auto"/>
          <w:szCs w:val="21"/>
          <w:highlight w:val="none"/>
          <w:u w:val="single"/>
        </w:rPr>
        <w:t xml:space="preserve">                                                                       </w:t>
      </w:r>
      <w:bookmarkEnd w:id="2961"/>
    </w:p>
    <w:p w14:paraId="3CC8A5EE">
      <w:pPr>
        <w:pStyle w:val="23"/>
        <w:spacing w:after="0" w:line="360" w:lineRule="auto"/>
        <w:ind w:left="0" w:leftChars="0" w:firstLine="525" w:firstLineChars="250"/>
        <w:rPr>
          <w:color w:val="auto"/>
          <w:highlight w:val="none"/>
        </w:rPr>
      </w:pPr>
      <w:bookmarkStart w:id="2962" w:name="_Toc221951157"/>
      <w:r>
        <w:rPr>
          <w:color w:val="auto"/>
          <w:szCs w:val="21"/>
          <w:highlight w:val="none"/>
        </w:rPr>
        <w:t>3）分包金额限额：</w:t>
      </w:r>
      <w:r>
        <w:rPr>
          <w:color w:val="auto"/>
          <w:szCs w:val="21"/>
          <w:highlight w:val="none"/>
          <w:u w:val="single"/>
        </w:rPr>
        <w:t xml:space="preserve">                                                               </w:t>
      </w:r>
      <w:bookmarkEnd w:id="2962"/>
    </w:p>
    <w:p w14:paraId="3B3EFBB4">
      <w:pPr>
        <w:pStyle w:val="7"/>
        <w:spacing w:before="159"/>
        <w:rPr>
          <w:color w:val="auto"/>
          <w:highlight w:val="none"/>
        </w:rPr>
      </w:pPr>
      <w:bookmarkStart w:id="2963" w:name="_Toc11126"/>
      <w:bookmarkStart w:id="2964" w:name="_Toc519085567"/>
      <w:r>
        <w:rPr>
          <w:color w:val="auto"/>
          <w:highlight w:val="none"/>
        </w:rPr>
        <w:t>4.6 承包人人员的管理</w:t>
      </w:r>
      <w:bookmarkEnd w:id="2963"/>
      <w:bookmarkEnd w:id="2964"/>
    </w:p>
    <w:p w14:paraId="24EE52D6">
      <w:pPr>
        <w:spacing w:line="360" w:lineRule="auto"/>
        <w:ind w:right="248" w:firstLine="525" w:firstLineChars="250"/>
        <w:rPr>
          <w:bCs/>
          <w:color w:val="auto"/>
          <w:szCs w:val="21"/>
          <w:highlight w:val="none"/>
        </w:rPr>
      </w:pPr>
      <w:r>
        <w:rPr>
          <w:bCs/>
          <w:color w:val="auto"/>
          <w:szCs w:val="21"/>
          <w:highlight w:val="none"/>
        </w:rPr>
        <w:t>4.6.5 主要施工管理人员的要求：</w:t>
      </w:r>
      <w:r>
        <w:rPr>
          <w:bCs/>
          <w:color w:val="auto"/>
          <w:szCs w:val="21"/>
          <w:highlight w:val="none"/>
          <w:u w:val="single"/>
        </w:rPr>
        <w:t xml:space="preserve">                                               </w:t>
      </w:r>
    </w:p>
    <w:p w14:paraId="311C4B92">
      <w:pPr>
        <w:pStyle w:val="7"/>
        <w:spacing w:before="159"/>
        <w:rPr>
          <w:color w:val="auto"/>
          <w:highlight w:val="none"/>
        </w:rPr>
      </w:pPr>
      <w:bookmarkStart w:id="2965" w:name="_Toc519085568"/>
      <w:bookmarkStart w:id="2966" w:name="_Toc456173463"/>
      <w:bookmarkStart w:id="2967" w:name="_Toc221951158"/>
      <w:bookmarkStart w:id="2968" w:name="_Toc9360"/>
      <w:r>
        <w:rPr>
          <w:color w:val="auto"/>
          <w:highlight w:val="none"/>
        </w:rPr>
        <w:t>4.11 不利物质条件</w:t>
      </w:r>
      <w:bookmarkEnd w:id="2965"/>
      <w:bookmarkEnd w:id="2966"/>
      <w:bookmarkEnd w:id="2967"/>
      <w:bookmarkEnd w:id="2968"/>
    </w:p>
    <w:p w14:paraId="3AA63CEE">
      <w:pPr>
        <w:spacing w:line="360" w:lineRule="auto"/>
        <w:ind w:firstLine="420" w:firstLineChars="200"/>
        <w:rPr>
          <w:color w:val="auto"/>
          <w:highlight w:val="none"/>
          <w:u w:val="single"/>
        </w:rPr>
      </w:pPr>
      <w:bookmarkStart w:id="2969" w:name="_Toc221951159"/>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226F9419">
      <w:pPr>
        <w:spacing w:line="360" w:lineRule="auto"/>
        <w:ind w:right="248" w:firstLine="420" w:firstLineChars="200"/>
        <w:rPr>
          <w:color w:val="auto"/>
          <w:szCs w:val="21"/>
          <w:highlight w:val="none"/>
          <w:u w:val="single"/>
        </w:rPr>
      </w:pPr>
      <w:r>
        <w:rPr>
          <w:color w:val="auto"/>
          <w:szCs w:val="21"/>
          <w:highlight w:val="none"/>
        </w:rPr>
        <w:t>不利物质条件的范围：</w:t>
      </w:r>
      <w:r>
        <w:rPr>
          <w:color w:val="auto"/>
          <w:szCs w:val="21"/>
          <w:highlight w:val="none"/>
          <w:u w:val="single"/>
        </w:rPr>
        <w:t xml:space="preserve">                                                         </w:t>
      </w:r>
      <w:bookmarkEnd w:id="2969"/>
    </w:p>
    <w:p w14:paraId="654EC17F">
      <w:pPr>
        <w:pStyle w:val="7"/>
        <w:spacing w:before="159"/>
        <w:rPr>
          <w:color w:val="auto"/>
          <w:highlight w:val="none"/>
        </w:rPr>
      </w:pPr>
      <w:bookmarkStart w:id="2970" w:name="_Toc519085569"/>
      <w:bookmarkStart w:id="2971" w:name="_Toc16461"/>
      <w:r>
        <w:rPr>
          <w:color w:val="auto"/>
          <w:highlight w:val="none"/>
        </w:rPr>
        <w:t>4.12 进度计划</w:t>
      </w:r>
      <w:bookmarkEnd w:id="2970"/>
      <w:bookmarkEnd w:id="2971"/>
    </w:p>
    <w:p w14:paraId="2A4EE5F4">
      <w:pPr>
        <w:spacing w:line="360" w:lineRule="auto"/>
        <w:ind w:right="248" w:firstLine="420" w:firstLineChars="200"/>
        <w:rPr>
          <w:color w:val="auto"/>
          <w:szCs w:val="21"/>
          <w:highlight w:val="none"/>
          <w:u w:val="single"/>
        </w:rPr>
      </w:pPr>
      <w:r>
        <w:rPr>
          <w:color w:val="auto"/>
          <w:szCs w:val="21"/>
          <w:highlight w:val="none"/>
        </w:rPr>
        <w:t>4.12.1合同进度计划申报：</w:t>
      </w:r>
      <w:r>
        <w:rPr>
          <w:color w:val="auto"/>
          <w:szCs w:val="21"/>
          <w:highlight w:val="none"/>
          <w:u w:val="single"/>
        </w:rPr>
        <w:t xml:space="preserve">                                                          </w:t>
      </w:r>
    </w:p>
    <w:p w14:paraId="4235B65A">
      <w:pPr>
        <w:spacing w:line="360" w:lineRule="auto"/>
        <w:ind w:right="248" w:firstLine="420" w:firstLineChars="200"/>
        <w:rPr>
          <w:color w:val="auto"/>
          <w:szCs w:val="21"/>
          <w:highlight w:val="none"/>
          <w:u w:val="single"/>
        </w:rPr>
      </w:pPr>
      <w:r>
        <w:rPr>
          <w:color w:val="auto"/>
          <w:szCs w:val="21"/>
          <w:highlight w:val="none"/>
        </w:rPr>
        <w:t xml:space="preserve">       进度计划审核：</w:t>
      </w:r>
      <w:r>
        <w:rPr>
          <w:color w:val="auto"/>
          <w:szCs w:val="21"/>
          <w:highlight w:val="none"/>
          <w:u w:val="single"/>
        </w:rPr>
        <w:t xml:space="preserve">                                                              </w:t>
      </w:r>
    </w:p>
    <w:p w14:paraId="751C313F">
      <w:pPr>
        <w:spacing w:line="360" w:lineRule="auto"/>
        <w:ind w:right="248" w:firstLine="420" w:firstLineChars="200"/>
        <w:rPr>
          <w:color w:val="auto"/>
          <w:szCs w:val="21"/>
          <w:highlight w:val="none"/>
          <w:u w:val="single"/>
        </w:rPr>
      </w:pPr>
      <w:r>
        <w:rPr>
          <w:color w:val="auto"/>
          <w:szCs w:val="21"/>
          <w:highlight w:val="none"/>
        </w:rPr>
        <w:t>4.12.2进度计划修订：</w:t>
      </w:r>
      <w:r>
        <w:rPr>
          <w:color w:val="auto"/>
          <w:szCs w:val="21"/>
          <w:highlight w:val="none"/>
          <w:u w:val="single"/>
        </w:rPr>
        <w:t xml:space="preserve">                                                              </w:t>
      </w:r>
    </w:p>
    <w:p w14:paraId="7C288F37">
      <w:pPr>
        <w:pStyle w:val="6"/>
        <w:spacing w:before="63"/>
        <w:rPr>
          <w:color w:val="auto"/>
          <w:highlight w:val="none"/>
        </w:rPr>
      </w:pPr>
      <w:bookmarkStart w:id="2972" w:name="_Toc20757"/>
      <w:bookmarkStart w:id="2973" w:name="_Toc5570_WPSOffice_Level2"/>
      <w:bookmarkStart w:id="2974" w:name="_Toc8519"/>
      <w:bookmarkStart w:id="2975" w:name="_Toc29418"/>
      <w:bookmarkStart w:id="2976" w:name="_Toc519085570"/>
      <w:r>
        <w:rPr>
          <w:color w:val="auto"/>
          <w:highlight w:val="none"/>
        </w:rPr>
        <w:t>5 设计</w:t>
      </w:r>
      <w:bookmarkEnd w:id="2972"/>
      <w:bookmarkEnd w:id="2973"/>
      <w:bookmarkEnd w:id="2974"/>
      <w:bookmarkEnd w:id="2975"/>
      <w:bookmarkEnd w:id="2976"/>
    </w:p>
    <w:p w14:paraId="6BFD52CC">
      <w:pPr>
        <w:pStyle w:val="7"/>
        <w:spacing w:before="159"/>
        <w:rPr>
          <w:color w:val="auto"/>
          <w:highlight w:val="none"/>
        </w:rPr>
      </w:pPr>
      <w:bookmarkStart w:id="2977" w:name="_Toc14540"/>
      <w:bookmarkStart w:id="2978" w:name="_Toc519085571"/>
      <w:r>
        <w:rPr>
          <w:color w:val="auto"/>
          <w:highlight w:val="none"/>
        </w:rPr>
        <w:t>5.3 设计审查</w:t>
      </w:r>
      <w:bookmarkEnd w:id="2977"/>
      <w:bookmarkEnd w:id="2978"/>
    </w:p>
    <w:p w14:paraId="5DFA464F">
      <w:pPr>
        <w:spacing w:line="360" w:lineRule="auto"/>
        <w:ind w:firstLine="420" w:firstLineChars="200"/>
        <w:rPr>
          <w:color w:val="auto"/>
          <w:highlight w:val="none"/>
          <w:u w:val="single"/>
        </w:rPr>
      </w:pPr>
      <w:r>
        <w:rPr>
          <w:color w:val="auto"/>
          <w:highlight w:val="none"/>
        </w:rPr>
        <w:t>5.3.1发包人的设计审查时间：</w:t>
      </w:r>
      <w:r>
        <w:rPr>
          <w:color w:val="auto"/>
          <w:highlight w:val="none"/>
          <w:u w:val="single"/>
        </w:rPr>
        <w:t xml:space="preserve">                                                             </w:t>
      </w:r>
    </w:p>
    <w:p w14:paraId="67821B0C">
      <w:pPr>
        <w:pStyle w:val="7"/>
        <w:spacing w:before="159"/>
        <w:rPr>
          <w:color w:val="auto"/>
          <w:highlight w:val="none"/>
        </w:rPr>
      </w:pPr>
      <w:bookmarkStart w:id="2979" w:name="_Toc1664"/>
      <w:bookmarkStart w:id="2980" w:name="_Toc519085572"/>
      <w:r>
        <w:rPr>
          <w:color w:val="auto"/>
          <w:highlight w:val="none"/>
        </w:rPr>
        <w:t>5.5 竣工文件</w:t>
      </w:r>
      <w:bookmarkEnd w:id="2979"/>
      <w:bookmarkEnd w:id="2980"/>
    </w:p>
    <w:p w14:paraId="539C26E3">
      <w:pPr>
        <w:spacing w:line="360" w:lineRule="auto"/>
        <w:ind w:right="248" w:firstLine="420" w:firstLineChars="200"/>
        <w:rPr>
          <w:color w:val="auto"/>
          <w:szCs w:val="21"/>
          <w:highlight w:val="none"/>
          <w:u w:val="single"/>
        </w:rPr>
      </w:pPr>
      <w:r>
        <w:rPr>
          <w:color w:val="auto"/>
          <w:szCs w:val="21"/>
          <w:highlight w:val="none"/>
        </w:rPr>
        <w:t>5.5.1竣工文件份数：</w:t>
      </w:r>
      <w:r>
        <w:rPr>
          <w:color w:val="auto"/>
          <w:szCs w:val="21"/>
          <w:highlight w:val="none"/>
          <w:u w:val="single"/>
        </w:rPr>
        <w:t xml:space="preserve">                                                                    </w:t>
      </w:r>
    </w:p>
    <w:p w14:paraId="28B6CC93">
      <w:pPr>
        <w:pStyle w:val="6"/>
        <w:spacing w:before="63"/>
        <w:rPr>
          <w:color w:val="auto"/>
          <w:highlight w:val="none"/>
        </w:rPr>
      </w:pPr>
      <w:bookmarkStart w:id="2981" w:name="_Toc9065"/>
      <w:bookmarkStart w:id="2982" w:name="_Toc3848"/>
      <w:bookmarkStart w:id="2983" w:name="_Toc519085573"/>
      <w:bookmarkStart w:id="2984" w:name="_Toc3282_WPSOffice_Level2"/>
      <w:bookmarkStart w:id="2985" w:name="_Toc456173464"/>
      <w:bookmarkStart w:id="2986" w:name="_Toc222033882"/>
      <w:bookmarkStart w:id="2987" w:name="_Toc222029531"/>
      <w:bookmarkStart w:id="2988" w:name="_Toc222031033"/>
      <w:bookmarkStart w:id="2989" w:name="_Toc221951160"/>
      <w:bookmarkStart w:id="2990" w:name="_Toc229305391"/>
      <w:bookmarkStart w:id="2991" w:name="_Toc29928"/>
      <w:bookmarkStart w:id="2992" w:name="_Toc222032700"/>
      <w:r>
        <w:rPr>
          <w:color w:val="auto"/>
          <w:highlight w:val="none"/>
        </w:rPr>
        <w:t>6. 材料和工程设备</w:t>
      </w:r>
      <w:bookmarkEnd w:id="2981"/>
      <w:bookmarkEnd w:id="2982"/>
      <w:bookmarkEnd w:id="2983"/>
      <w:bookmarkEnd w:id="2984"/>
      <w:bookmarkEnd w:id="2985"/>
      <w:bookmarkEnd w:id="2986"/>
      <w:bookmarkEnd w:id="2987"/>
      <w:bookmarkEnd w:id="2988"/>
      <w:bookmarkEnd w:id="2989"/>
      <w:bookmarkEnd w:id="2990"/>
      <w:bookmarkEnd w:id="2991"/>
      <w:bookmarkEnd w:id="2992"/>
    </w:p>
    <w:p w14:paraId="30025B0F">
      <w:pPr>
        <w:pStyle w:val="7"/>
        <w:spacing w:before="159"/>
        <w:rPr>
          <w:color w:val="auto"/>
          <w:highlight w:val="none"/>
        </w:rPr>
      </w:pPr>
      <w:bookmarkStart w:id="2993" w:name="_Toc519085574"/>
      <w:bookmarkStart w:id="2994" w:name="_Toc9089"/>
      <w:r>
        <w:rPr>
          <w:color w:val="auto"/>
          <w:highlight w:val="none"/>
        </w:rPr>
        <w:t>6.1 承包人提供的材料和工程设备</w:t>
      </w:r>
      <w:bookmarkEnd w:id="2993"/>
      <w:bookmarkEnd w:id="2994"/>
    </w:p>
    <w:p w14:paraId="5A034180">
      <w:pPr>
        <w:spacing w:line="360" w:lineRule="auto"/>
        <w:ind w:firstLine="420" w:firstLineChars="200"/>
        <w:rPr>
          <w:color w:val="auto"/>
          <w:highlight w:val="none"/>
        </w:rPr>
      </w:pPr>
      <w:r>
        <w:rPr>
          <w:color w:val="auto"/>
          <w:highlight w:val="none"/>
        </w:rPr>
        <w:t>6.1.1承包人提供材料和工程设备的要求：</w:t>
      </w:r>
      <w:r>
        <w:rPr>
          <w:color w:val="auto"/>
          <w:highlight w:val="none"/>
          <w:u w:val="single"/>
        </w:rPr>
        <w:t xml:space="preserve">                                                   </w:t>
      </w:r>
    </w:p>
    <w:p w14:paraId="6206BE26">
      <w:pPr>
        <w:spacing w:line="360" w:lineRule="auto"/>
        <w:ind w:firstLine="420" w:firstLineChars="200"/>
        <w:rPr>
          <w:color w:val="auto"/>
          <w:highlight w:val="none"/>
        </w:rPr>
      </w:pPr>
      <w:r>
        <w:rPr>
          <w:color w:val="auto"/>
          <w:highlight w:val="none"/>
        </w:rPr>
        <w:t>6.1.2承包人提供材料和工程设备的质量标准及验收：</w:t>
      </w:r>
      <w:r>
        <w:rPr>
          <w:color w:val="auto"/>
          <w:highlight w:val="none"/>
          <w:u w:val="single"/>
        </w:rPr>
        <w:t xml:space="preserve">                                         </w:t>
      </w:r>
    </w:p>
    <w:p w14:paraId="4F44FBEF">
      <w:pPr>
        <w:pStyle w:val="7"/>
        <w:spacing w:before="159"/>
        <w:rPr>
          <w:color w:val="auto"/>
          <w:highlight w:val="none"/>
        </w:rPr>
      </w:pPr>
      <w:bookmarkStart w:id="2995" w:name="_Toc9501"/>
      <w:bookmarkStart w:id="2996" w:name="_Toc456173465"/>
      <w:bookmarkStart w:id="2997" w:name="_Toc519085575"/>
      <w:bookmarkStart w:id="2998" w:name="_Toc221951163"/>
      <w:r>
        <w:rPr>
          <w:color w:val="auto"/>
          <w:highlight w:val="none"/>
        </w:rPr>
        <w:t>6.2 发包人提供的材料和工程设备</w:t>
      </w:r>
      <w:bookmarkEnd w:id="2995"/>
      <w:bookmarkEnd w:id="2996"/>
      <w:bookmarkEnd w:id="2997"/>
      <w:bookmarkEnd w:id="2998"/>
    </w:p>
    <w:p w14:paraId="284C84B6">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005A89E2">
      <w:pPr>
        <w:spacing w:line="360" w:lineRule="auto"/>
        <w:ind w:firstLine="420" w:firstLineChars="200"/>
        <w:rPr>
          <w:b/>
          <w:color w:val="auto"/>
          <w:szCs w:val="21"/>
          <w:highlight w:val="none"/>
        </w:rPr>
      </w:pPr>
      <w:r>
        <w:rPr>
          <w:color w:val="auto"/>
          <w:szCs w:val="21"/>
          <w:highlight w:val="none"/>
        </w:rPr>
        <w:t>6.2.1发包人提供的材料和工程设备（如有）见下表：</w:t>
      </w:r>
    </w:p>
    <w:p w14:paraId="4DABBA3D">
      <w:pPr>
        <w:spacing w:line="360" w:lineRule="auto"/>
        <w:ind w:right="248"/>
        <w:jc w:val="center"/>
        <w:rPr>
          <w:color w:val="auto"/>
          <w:szCs w:val="21"/>
          <w:highlight w:val="none"/>
        </w:rPr>
      </w:pPr>
      <w:r>
        <w:rPr>
          <w:b/>
          <w:color w:val="auto"/>
          <w:szCs w:val="21"/>
          <w:highlight w:val="none"/>
        </w:rPr>
        <w:t>发包人提供的主要材料表(</w:t>
      </w:r>
      <w:r>
        <w:rPr>
          <w:color w:val="auto"/>
          <w:szCs w:val="21"/>
          <w:highlight w:val="none"/>
        </w:rPr>
        <w:t>参考格式</w:t>
      </w:r>
      <w:r>
        <w:rPr>
          <w:b/>
          <w:color w:val="auto"/>
          <w:szCs w:val="21"/>
          <w:highlight w:val="none"/>
        </w:rPr>
        <w:t>)</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01"/>
        <w:gridCol w:w="1701"/>
        <w:gridCol w:w="1134"/>
        <w:gridCol w:w="1134"/>
        <w:gridCol w:w="1559"/>
        <w:gridCol w:w="992"/>
      </w:tblGrid>
      <w:tr w14:paraId="5BC2B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6FE20035">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701" w:type="dxa"/>
            <w:noWrap w:val="0"/>
            <w:vAlign w:val="center"/>
          </w:tcPr>
          <w:p w14:paraId="58C325BC">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材料名称</w:t>
            </w:r>
          </w:p>
        </w:tc>
        <w:tc>
          <w:tcPr>
            <w:tcW w:w="1701" w:type="dxa"/>
            <w:noWrap w:val="0"/>
            <w:vAlign w:val="center"/>
          </w:tcPr>
          <w:p w14:paraId="05AF9C41">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材料规格</w:t>
            </w:r>
          </w:p>
        </w:tc>
        <w:tc>
          <w:tcPr>
            <w:tcW w:w="1134" w:type="dxa"/>
            <w:noWrap w:val="0"/>
            <w:vAlign w:val="center"/>
          </w:tcPr>
          <w:p w14:paraId="42A2BA09">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04B87913">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559" w:type="dxa"/>
            <w:noWrap w:val="0"/>
            <w:vAlign w:val="center"/>
          </w:tcPr>
          <w:p w14:paraId="55AA1CBF">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992" w:type="dxa"/>
            <w:noWrap w:val="0"/>
            <w:vAlign w:val="center"/>
          </w:tcPr>
          <w:p w14:paraId="1B02F78E">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467DF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11B3783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4B37F70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3708431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74A1753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52D9AFC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4467787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3F7C94B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08BDD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2BDDEA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19B23C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448F1E68">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63915E8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33FB981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2691199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08B3F762">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08BCF7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350123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76B5E66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613FF79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361B6082">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7889A7E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28A4FFF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326B4165">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337AE46A">
      <w:pPr>
        <w:spacing w:line="360" w:lineRule="auto"/>
        <w:ind w:right="248" w:firstLine="1136" w:firstLineChars="539"/>
        <w:rPr>
          <w:b/>
          <w:color w:val="auto"/>
          <w:szCs w:val="21"/>
          <w:highlight w:val="none"/>
        </w:rPr>
      </w:pPr>
    </w:p>
    <w:p w14:paraId="393227C7">
      <w:pPr>
        <w:spacing w:line="360" w:lineRule="auto"/>
        <w:ind w:right="248"/>
        <w:jc w:val="center"/>
        <w:rPr>
          <w:color w:val="auto"/>
          <w:szCs w:val="21"/>
          <w:highlight w:val="none"/>
        </w:rPr>
      </w:pPr>
      <w:r>
        <w:rPr>
          <w:b/>
          <w:color w:val="auto"/>
          <w:szCs w:val="21"/>
          <w:highlight w:val="none"/>
        </w:rPr>
        <w:t>发包人提供的主要设备表(</w:t>
      </w:r>
      <w:r>
        <w:rPr>
          <w:color w:val="auto"/>
          <w:szCs w:val="21"/>
          <w:highlight w:val="none"/>
        </w:rPr>
        <w:t>参考格式</w:t>
      </w:r>
      <w:r>
        <w:rPr>
          <w:b/>
          <w:color w:val="auto"/>
          <w:szCs w:val="21"/>
          <w:highlight w:val="none"/>
        </w:rPr>
        <w:t>)</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1560"/>
        <w:gridCol w:w="992"/>
        <w:gridCol w:w="1134"/>
        <w:gridCol w:w="1701"/>
        <w:gridCol w:w="850"/>
      </w:tblGrid>
      <w:tr w14:paraId="559C25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0BF81758">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842" w:type="dxa"/>
            <w:noWrap w:val="0"/>
            <w:vAlign w:val="center"/>
          </w:tcPr>
          <w:p w14:paraId="177BF380">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工程设备名称</w:t>
            </w:r>
          </w:p>
        </w:tc>
        <w:tc>
          <w:tcPr>
            <w:tcW w:w="1560" w:type="dxa"/>
            <w:noWrap w:val="0"/>
            <w:vAlign w:val="center"/>
          </w:tcPr>
          <w:p w14:paraId="1D327135">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型号及规格</w:t>
            </w:r>
          </w:p>
        </w:tc>
        <w:tc>
          <w:tcPr>
            <w:tcW w:w="992" w:type="dxa"/>
            <w:noWrap w:val="0"/>
            <w:vAlign w:val="center"/>
          </w:tcPr>
          <w:p w14:paraId="390F5711">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370953B1">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701" w:type="dxa"/>
            <w:noWrap w:val="0"/>
            <w:vAlign w:val="center"/>
          </w:tcPr>
          <w:p w14:paraId="44315394">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850" w:type="dxa"/>
            <w:noWrap w:val="0"/>
            <w:vAlign w:val="center"/>
          </w:tcPr>
          <w:p w14:paraId="5ED9FD0C">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23F04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D90D0B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347BE10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59A050D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287781C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41709B4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783E605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5B5BC21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28BB9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B9FBFC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1C40566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19147841">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671534D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0856290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3598C74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60A9C76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23804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07D2938">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01E188D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013B432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4268DB7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764FBEC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3AB17A0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3F75286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68BE6496">
      <w:pPr>
        <w:spacing w:line="360" w:lineRule="auto"/>
        <w:ind w:firstLine="420" w:firstLineChars="200"/>
        <w:rPr>
          <w:color w:val="auto"/>
          <w:szCs w:val="21"/>
          <w:highlight w:val="none"/>
          <w:u w:val="single"/>
        </w:rPr>
      </w:pPr>
      <w:bookmarkStart w:id="2999" w:name="_Toc456173466"/>
      <w:bookmarkStart w:id="3000" w:name="_Toc222031034"/>
      <w:bookmarkStart w:id="3001" w:name="_Toc221951166"/>
      <w:bookmarkStart w:id="3002" w:name="_Toc222033883"/>
      <w:bookmarkStart w:id="3003" w:name="_Toc222029532"/>
      <w:bookmarkStart w:id="3004" w:name="_Toc222032701"/>
      <w:bookmarkStart w:id="3005" w:name="_Toc229305392"/>
      <w:r>
        <w:rPr>
          <w:color w:val="auto"/>
          <w:szCs w:val="21"/>
          <w:highlight w:val="none"/>
        </w:rPr>
        <w:t>6.2.3</w:t>
      </w:r>
      <w:r>
        <w:rPr>
          <w:color w:val="auto"/>
          <w:highlight w:val="none"/>
        </w:rPr>
        <w:t>发包人提供的材料和工程设备的验收：</w:t>
      </w:r>
      <w:r>
        <w:rPr>
          <w:color w:val="auto"/>
          <w:highlight w:val="none"/>
          <w:u w:val="single"/>
        </w:rPr>
        <w:t xml:space="preserve">                                           </w:t>
      </w:r>
    </w:p>
    <w:p w14:paraId="004C29BC">
      <w:pPr>
        <w:pStyle w:val="6"/>
        <w:spacing w:before="63"/>
        <w:rPr>
          <w:color w:val="auto"/>
          <w:highlight w:val="none"/>
        </w:rPr>
      </w:pPr>
      <w:bookmarkStart w:id="3006" w:name="_Toc5417"/>
      <w:bookmarkStart w:id="3007" w:name="_Toc313"/>
      <w:bookmarkStart w:id="3008" w:name="_Toc21518"/>
      <w:bookmarkStart w:id="3009" w:name="_Toc8255_WPSOffice_Level2"/>
      <w:bookmarkStart w:id="3010" w:name="_Toc519085576"/>
      <w:r>
        <w:rPr>
          <w:color w:val="auto"/>
          <w:highlight w:val="none"/>
        </w:rPr>
        <w:t>7. 施工设备和临时设施</w:t>
      </w:r>
      <w:bookmarkEnd w:id="2999"/>
      <w:bookmarkEnd w:id="3000"/>
      <w:bookmarkEnd w:id="3001"/>
      <w:bookmarkEnd w:id="3002"/>
      <w:bookmarkEnd w:id="3003"/>
      <w:bookmarkEnd w:id="3004"/>
      <w:bookmarkEnd w:id="3005"/>
      <w:bookmarkEnd w:id="3006"/>
      <w:bookmarkEnd w:id="3007"/>
      <w:bookmarkEnd w:id="3008"/>
      <w:bookmarkEnd w:id="3009"/>
      <w:bookmarkEnd w:id="3010"/>
      <w:r>
        <w:rPr>
          <w:color w:val="auto"/>
          <w:highlight w:val="none"/>
        </w:rPr>
        <w:t xml:space="preserve"> </w:t>
      </w:r>
    </w:p>
    <w:p w14:paraId="799722ED">
      <w:pPr>
        <w:pStyle w:val="7"/>
        <w:spacing w:before="159"/>
        <w:rPr>
          <w:color w:val="auto"/>
          <w:highlight w:val="none"/>
        </w:rPr>
      </w:pPr>
      <w:bookmarkStart w:id="3011" w:name="_Toc18715"/>
      <w:bookmarkStart w:id="3012" w:name="_Toc519085577"/>
      <w:r>
        <w:rPr>
          <w:color w:val="auto"/>
          <w:highlight w:val="none"/>
        </w:rPr>
        <w:t>7.1 承包人提供的施工设备和临时设施</w:t>
      </w:r>
      <w:bookmarkEnd w:id="3011"/>
      <w:bookmarkEnd w:id="3012"/>
    </w:p>
    <w:p w14:paraId="3F7C9ADA">
      <w:pPr>
        <w:spacing w:line="360" w:lineRule="auto"/>
        <w:ind w:firstLine="420" w:firstLineChars="200"/>
        <w:rPr>
          <w:color w:val="auto"/>
          <w:highlight w:val="none"/>
          <w:u w:val="single"/>
        </w:rPr>
      </w:pPr>
      <w:r>
        <w:rPr>
          <w:color w:val="auto"/>
          <w:highlight w:val="none"/>
        </w:rPr>
        <w:t>7.1.2修建临时设施的要求：</w:t>
      </w:r>
      <w:r>
        <w:rPr>
          <w:color w:val="auto"/>
          <w:highlight w:val="none"/>
          <w:u w:val="single"/>
        </w:rPr>
        <w:t xml:space="preserve">                                                          </w:t>
      </w:r>
    </w:p>
    <w:p w14:paraId="650AF1C0">
      <w:pPr>
        <w:pStyle w:val="7"/>
        <w:spacing w:before="159"/>
        <w:rPr>
          <w:color w:val="auto"/>
          <w:highlight w:val="none"/>
        </w:rPr>
      </w:pPr>
      <w:bookmarkStart w:id="3013" w:name="_Toc19654"/>
      <w:bookmarkStart w:id="3014" w:name="_Toc456173467"/>
      <w:bookmarkStart w:id="3015" w:name="_Toc221951167"/>
      <w:bookmarkStart w:id="3016" w:name="_Toc519085578"/>
      <w:r>
        <w:rPr>
          <w:color w:val="auto"/>
          <w:highlight w:val="none"/>
        </w:rPr>
        <w:t>7.2 发包人提供的施工设备和临时设施</w:t>
      </w:r>
      <w:bookmarkEnd w:id="3013"/>
      <w:bookmarkEnd w:id="3014"/>
      <w:bookmarkEnd w:id="3015"/>
      <w:bookmarkEnd w:id="3016"/>
    </w:p>
    <w:p w14:paraId="14FE6600">
      <w:pPr>
        <w:spacing w:line="360" w:lineRule="auto"/>
        <w:ind w:firstLine="420" w:firstLineChars="200"/>
        <w:rPr>
          <w:color w:val="auto"/>
          <w:highlight w:val="none"/>
          <w:u w:val="single"/>
        </w:rPr>
      </w:pPr>
      <w:bookmarkStart w:id="3017" w:name="_Toc221951169"/>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1F155C51">
      <w:pPr>
        <w:spacing w:line="360" w:lineRule="auto"/>
        <w:ind w:firstLine="424" w:firstLineChars="202"/>
        <w:rPr>
          <w:rFonts w:hint="eastAsia"/>
          <w:color w:val="auto"/>
          <w:szCs w:val="21"/>
          <w:highlight w:val="none"/>
        </w:rPr>
      </w:pPr>
      <w:r>
        <w:rPr>
          <w:color w:val="auto"/>
          <w:szCs w:val="21"/>
          <w:highlight w:val="none"/>
        </w:rPr>
        <w:t>（1）发包人提供的的施工设备见下表</w:t>
      </w:r>
      <w:bookmarkEnd w:id="3017"/>
      <w:r>
        <w:rPr>
          <w:color w:val="auto"/>
          <w:szCs w:val="21"/>
          <w:highlight w:val="none"/>
        </w:rPr>
        <w:t>：</w:t>
      </w:r>
    </w:p>
    <w:p w14:paraId="52E11E22">
      <w:pPr>
        <w:spacing w:line="360" w:lineRule="auto"/>
        <w:ind w:firstLine="424" w:firstLineChars="202"/>
        <w:rPr>
          <w:color w:val="auto"/>
          <w:szCs w:val="21"/>
          <w:highlight w:val="none"/>
        </w:rPr>
      </w:pPr>
    </w:p>
    <w:p w14:paraId="2608F8E5">
      <w:pPr>
        <w:spacing w:line="360" w:lineRule="auto"/>
        <w:ind w:right="248"/>
        <w:jc w:val="center"/>
        <w:rPr>
          <w:color w:val="auto"/>
          <w:szCs w:val="21"/>
          <w:highlight w:val="none"/>
        </w:rPr>
      </w:pPr>
      <w:bookmarkStart w:id="3018" w:name="_Toc221951170"/>
      <w:r>
        <w:rPr>
          <w:b/>
          <w:color w:val="auto"/>
          <w:szCs w:val="21"/>
          <w:highlight w:val="none"/>
        </w:rPr>
        <w:t>发包人提供的施工设备表(</w:t>
      </w:r>
      <w:r>
        <w:rPr>
          <w:color w:val="auto"/>
          <w:szCs w:val="21"/>
          <w:highlight w:val="none"/>
        </w:rPr>
        <w:t>参考格式</w:t>
      </w:r>
      <w:r>
        <w:rPr>
          <w:b/>
          <w:color w:val="auto"/>
          <w:szCs w:val="21"/>
          <w:highlight w:val="none"/>
        </w:rPr>
        <w:t>)</w:t>
      </w:r>
      <w:bookmarkEnd w:id="3018"/>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1560"/>
        <w:gridCol w:w="992"/>
        <w:gridCol w:w="1134"/>
        <w:gridCol w:w="1701"/>
        <w:gridCol w:w="850"/>
      </w:tblGrid>
      <w:tr w14:paraId="304AE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DE30767">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842" w:type="dxa"/>
            <w:noWrap w:val="0"/>
            <w:vAlign w:val="center"/>
          </w:tcPr>
          <w:p w14:paraId="36638679">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施工设备名称</w:t>
            </w:r>
          </w:p>
        </w:tc>
        <w:tc>
          <w:tcPr>
            <w:tcW w:w="1560" w:type="dxa"/>
            <w:noWrap w:val="0"/>
            <w:vAlign w:val="center"/>
          </w:tcPr>
          <w:p w14:paraId="52B299A1">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型号及规格</w:t>
            </w:r>
          </w:p>
        </w:tc>
        <w:tc>
          <w:tcPr>
            <w:tcW w:w="992" w:type="dxa"/>
            <w:noWrap w:val="0"/>
            <w:vAlign w:val="center"/>
          </w:tcPr>
          <w:p w14:paraId="287C6C81">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68682EA9">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701" w:type="dxa"/>
            <w:noWrap w:val="0"/>
            <w:vAlign w:val="center"/>
          </w:tcPr>
          <w:p w14:paraId="0432CAAA">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850" w:type="dxa"/>
            <w:noWrap w:val="0"/>
            <w:vAlign w:val="center"/>
          </w:tcPr>
          <w:p w14:paraId="6861DAE0">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6D14A9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DF2FA2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63DEEF25">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7BF5F12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5226E6F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108B3CB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ED2AA2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0CE2F26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52BC96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243EEF8">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77B83EB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163217B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2648F8B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0F49493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0FFF168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1ED887E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606FD6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5105C45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125DD235">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18529B3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6C2949A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109E268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7A139E08">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5F08BE7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3C4DC1B2">
      <w:pPr>
        <w:pStyle w:val="33"/>
        <w:spacing w:line="360" w:lineRule="auto"/>
        <w:rPr>
          <w:color w:val="auto"/>
          <w:sz w:val="18"/>
          <w:szCs w:val="18"/>
          <w:highlight w:val="none"/>
        </w:rPr>
      </w:pPr>
      <w:bookmarkStart w:id="3019" w:name="_Toc221951177"/>
      <w:r>
        <w:rPr>
          <w:rFonts w:hAnsi="宋体"/>
          <w:color w:val="auto"/>
          <w:sz w:val="18"/>
          <w:szCs w:val="18"/>
          <w:highlight w:val="none"/>
        </w:rPr>
        <w:t>注：设备状况栏内填写该设备的新旧程度、购进时间、已使用小时数和最近一次的大修时间。</w:t>
      </w:r>
      <w:bookmarkEnd w:id="3019"/>
    </w:p>
    <w:p w14:paraId="2F2CF54B">
      <w:pPr>
        <w:spacing w:line="360" w:lineRule="auto"/>
        <w:ind w:firstLine="420" w:firstLineChars="200"/>
        <w:rPr>
          <w:color w:val="auto"/>
          <w:szCs w:val="21"/>
          <w:highlight w:val="none"/>
        </w:rPr>
      </w:pPr>
      <w:r>
        <w:rPr>
          <w:color w:val="auto"/>
          <w:szCs w:val="21"/>
          <w:highlight w:val="none"/>
        </w:rPr>
        <w:t>（2）发包人提供的临时设施：</w:t>
      </w:r>
      <w:r>
        <w:rPr>
          <w:color w:val="auto"/>
          <w:szCs w:val="21"/>
          <w:highlight w:val="none"/>
          <w:u w:val="single"/>
        </w:rPr>
        <w:t xml:space="preserve">                                                   </w:t>
      </w:r>
      <w:r>
        <w:rPr>
          <w:color w:val="auto"/>
          <w:szCs w:val="21"/>
          <w:highlight w:val="none"/>
        </w:rPr>
        <w:t>。</w:t>
      </w:r>
    </w:p>
    <w:p w14:paraId="6F60B7D5">
      <w:pPr>
        <w:pStyle w:val="6"/>
        <w:spacing w:before="63"/>
        <w:rPr>
          <w:color w:val="auto"/>
          <w:highlight w:val="none"/>
        </w:rPr>
      </w:pPr>
      <w:bookmarkStart w:id="3020" w:name="_Toc519085579"/>
      <w:bookmarkStart w:id="3021" w:name="_Toc8190"/>
      <w:bookmarkStart w:id="3022" w:name="_Toc222032702"/>
      <w:bookmarkStart w:id="3023" w:name="_Toc17148"/>
      <w:bookmarkStart w:id="3024" w:name="_Toc18613_WPSOffice_Level2"/>
      <w:bookmarkStart w:id="3025" w:name="_Toc456173468"/>
      <w:bookmarkStart w:id="3026" w:name="_Toc221951178"/>
      <w:bookmarkStart w:id="3027" w:name="_Toc222031035"/>
      <w:bookmarkStart w:id="3028" w:name="_Toc222033884"/>
      <w:bookmarkStart w:id="3029" w:name="_Toc222029533"/>
      <w:bookmarkStart w:id="3030" w:name="_Toc1579"/>
      <w:r>
        <w:rPr>
          <w:color w:val="auto"/>
          <w:highlight w:val="none"/>
        </w:rPr>
        <w:t>8. 交通运输</w:t>
      </w:r>
      <w:bookmarkEnd w:id="3020"/>
      <w:bookmarkEnd w:id="3021"/>
      <w:bookmarkEnd w:id="3022"/>
      <w:bookmarkEnd w:id="3023"/>
      <w:bookmarkEnd w:id="3024"/>
      <w:bookmarkEnd w:id="3025"/>
      <w:bookmarkEnd w:id="3026"/>
      <w:bookmarkEnd w:id="3027"/>
      <w:bookmarkEnd w:id="3028"/>
      <w:bookmarkEnd w:id="3029"/>
      <w:bookmarkEnd w:id="3030"/>
    </w:p>
    <w:p w14:paraId="00894E54">
      <w:pPr>
        <w:pStyle w:val="7"/>
        <w:spacing w:before="159"/>
        <w:rPr>
          <w:color w:val="auto"/>
          <w:highlight w:val="none"/>
        </w:rPr>
      </w:pPr>
      <w:bookmarkStart w:id="3031" w:name="_Toc456173469"/>
      <w:bookmarkStart w:id="3032" w:name="_Toc519085580"/>
      <w:bookmarkStart w:id="3033" w:name="_Toc14232"/>
      <w:bookmarkStart w:id="3034" w:name="_Toc221951179"/>
      <w:r>
        <w:rPr>
          <w:color w:val="auto"/>
          <w:highlight w:val="none"/>
        </w:rPr>
        <w:t>8.1 道路通行权和场外设施</w:t>
      </w:r>
      <w:bookmarkEnd w:id="3031"/>
      <w:bookmarkEnd w:id="3032"/>
      <w:bookmarkEnd w:id="3033"/>
      <w:bookmarkEnd w:id="3034"/>
    </w:p>
    <w:p w14:paraId="17F15402">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1F24E8E1">
      <w:pPr>
        <w:pStyle w:val="7"/>
        <w:spacing w:before="159"/>
        <w:rPr>
          <w:color w:val="auto"/>
          <w:highlight w:val="none"/>
        </w:rPr>
      </w:pPr>
      <w:bookmarkStart w:id="3035" w:name="_Toc519085581"/>
      <w:bookmarkStart w:id="3036" w:name="_Toc31031"/>
      <w:r>
        <w:rPr>
          <w:color w:val="auto"/>
          <w:highlight w:val="none"/>
        </w:rPr>
        <w:t>8.2 场内施工道路</w:t>
      </w:r>
      <w:bookmarkEnd w:id="3035"/>
      <w:bookmarkEnd w:id="3036"/>
    </w:p>
    <w:p w14:paraId="71A517C1">
      <w:pPr>
        <w:ind w:firstLine="420" w:firstLineChars="200"/>
        <w:rPr>
          <w:color w:val="auto"/>
          <w:szCs w:val="21"/>
          <w:highlight w:val="none"/>
          <w:u w:val="single"/>
        </w:rPr>
      </w:pPr>
      <w:bookmarkStart w:id="3037" w:name="_Toc3981149"/>
      <w:bookmarkStart w:id="3038" w:name="_Toc3980701"/>
      <w:bookmarkStart w:id="3039" w:name="_Toc9861"/>
      <w:r>
        <w:rPr>
          <w:color w:val="auto"/>
          <w:szCs w:val="21"/>
          <w:highlight w:val="none"/>
        </w:rPr>
        <w:t>8.2.1  场内施工道路的修建：</w:t>
      </w:r>
      <w:bookmarkEnd w:id="3037"/>
      <w:bookmarkEnd w:id="3038"/>
      <w:bookmarkEnd w:id="3039"/>
      <w:r>
        <w:rPr>
          <w:color w:val="auto"/>
          <w:szCs w:val="21"/>
          <w:highlight w:val="none"/>
          <w:u w:val="single"/>
        </w:rPr>
        <w:t xml:space="preserve">                                                       </w:t>
      </w:r>
    </w:p>
    <w:p w14:paraId="3E111125">
      <w:pPr>
        <w:spacing w:line="360" w:lineRule="auto"/>
        <w:ind w:firstLine="420" w:firstLineChars="200"/>
        <w:rPr>
          <w:color w:val="auto"/>
          <w:szCs w:val="21"/>
          <w:highlight w:val="none"/>
          <w:u w:val="single"/>
        </w:rPr>
      </w:pPr>
      <w:r>
        <w:rPr>
          <w:color w:val="auto"/>
          <w:szCs w:val="21"/>
          <w:highlight w:val="none"/>
        </w:rPr>
        <w:t>8.2.2  场内施工道路的使用：</w:t>
      </w:r>
      <w:r>
        <w:rPr>
          <w:color w:val="auto"/>
          <w:szCs w:val="21"/>
          <w:highlight w:val="none"/>
          <w:u w:val="single"/>
        </w:rPr>
        <w:t xml:space="preserve">                                                       </w:t>
      </w:r>
    </w:p>
    <w:p w14:paraId="1898A1A1">
      <w:pPr>
        <w:pStyle w:val="7"/>
        <w:spacing w:before="159"/>
        <w:rPr>
          <w:color w:val="auto"/>
          <w:highlight w:val="none"/>
        </w:rPr>
      </w:pPr>
      <w:bookmarkStart w:id="3040" w:name="_Toc519085582"/>
      <w:bookmarkStart w:id="3041" w:name="_Toc26057"/>
      <w:r>
        <w:rPr>
          <w:color w:val="auto"/>
          <w:highlight w:val="none"/>
        </w:rPr>
        <w:t>8.4 超大件和超重件的运输</w:t>
      </w:r>
      <w:bookmarkEnd w:id="3040"/>
      <w:bookmarkEnd w:id="3041"/>
    </w:p>
    <w:p w14:paraId="56004D53">
      <w:pPr>
        <w:spacing w:line="360" w:lineRule="auto"/>
        <w:ind w:right="248" w:firstLine="480"/>
        <w:rPr>
          <w:color w:val="auto"/>
          <w:szCs w:val="21"/>
          <w:highlight w:val="none"/>
          <w:u w:val="single"/>
        </w:rPr>
      </w:pPr>
      <w:r>
        <w:rPr>
          <w:color w:val="auto"/>
          <w:szCs w:val="21"/>
          <w:highlight w:val="none"/>
        </w:rPr>
        <w:t>超大件和超重件运输的要求：</w:t>
      </w:r>
      <w:r>
        <w:rPr>
          <w:color w:val="auto"/>
          <w:szCs w:val="21"/>
          <w:highlight w:val="none"/>
          <w:u w:val="single"/>
        </w:rPr>
        <w:t xml:space="preserve">                                                     </w:t>
      </w:r>
    </w:p>
    <w:p w14:paraId="66D60BD4">
      <w:pPr>
        <w:pStyle w:val="6"/>
        <w:spacing w:before="63"/>
        <w:rPr>
          <w:color w:val="auto"/>
          <w:highlight w:val="none"/>
        </w:rPr>
      </w:pPr>
      <w:bookmarkStart w:id="3042" w:name="_Toc14693"/>
      <w:bookmarkStart w:id="3043" w:name="_Toc5277"/>
      <w:bookmarkStart w:id="3044" w:name="_Toc7939"/>
      <w:bookmarkStart w:id="3045" w:name="_Toc519085583"/>
      <w:bookmarkStart w:id="3046" w:name="_Toc4120_WPSOffice_Level2"/>
      <w:bookmarkStart w:id="3047" w:name="_Toc456173470"/>
      <w:r>
        <w:rPr>
          <w:color w:val="auto"/>
          <w:highlight w:val="none"/>
        </w:rPr>
        <w:t>9. 测量放线</w:t>
      </w:r>
      <w:bookmarkEnd w:id="3042"/>
      <w:bookmarkEnd w:id="3043"/>
      <w:bookmarkEnd w:id="3044"/>
      <w:bookmarkEnd w:id="3045"/>
      <w:bookmarkEnd w:id="3046"/>
      <w:bookmarkEnd w:id="3047"/>
    </w:p>
    <w:p w14:paraId="788E5E98">
      <w:pPr>
        <w:pStyle w:val="7"/>
        <w:spacing w:before="159"/>
        <w:rPr>
          <w:color w:val="auto"/>
          <w:highlight w:val="none"/>
        </w:rPr>
      </w:pPr>
      <w:bookmarkStart w:id="3048" w:name="_Toc519085584"/>
      <w:bookmarkStart w:id="3049" w:name="_Toc456173471"/>
      <w:bookmarkStart w:id="3050" w:name="_Toc5510"/>
      <w:r>
        <w:rPr>
          <w:color w:val="auto"/>
          <w:highlight w:val="none"/>
        </w:rPr>
        <w:t>9.1 施工控制网</w:t>
      </w:r>
      <w:bookmarkEnd w:id="3048"/>
      <w:bookmarkEnd w:id="3049"/>
      <w:bookmarkEnd w:id="3050"/>
    </w:p>
    <w:p w14:paraId="0A7ABFC0">
      <w:pPr>
        <w:spacing w:line="360" w:lineRule="auto"/>
        <w:ind w:right="248" w:firstLine="480"/>
        <w:rPr>
          <w:color w:val="auto"/>
          <w:szCs w:val="21"/>
          <w:highlight w:val="none"/>
        </w:rPr>
      </w:pPr>
      <w:r>
        <w:rPr>
          <w:color w:val="auto"/>
          <w:szCs w:val="21"/>
          <w:highlight w:val="none"/>
        </w:rPr>
        <w:t>9.1.1施工控制网的约定：</w:t>
      </w:r>
      <w:r>
        <w:rPr>
          <w:color w:val="auto"/>
          <w:szCs w:val="21"/>
          <w:highlight w:val="none"/>
          <w:u w:val="single"/>
        </w:rPr>
        <w:t xml:space="preserve">                                                        </w:t>
      </w:r>
    </w:p>
    <w:p w14:paraId="4B0DB8C7">
      <w:pPr>
        <w:pStyle w:val="6"/>
        <w:spacing w:before="63"/>
        <w:rPr>
          <w:color w:val="auto"/>
          <w:highlight w:val="none"/>
        </w:rPr>
      </w:pPr>
      <w:bookmarkStart w:id="3051" w:name="_Toc222032705"/>
      <w:bookmarkStart w:id="3052" w:name="_Toc456173476"/>
      <w:bookmarkStart w:id="3053" w:name="_Toc11604"/>
      <w:bookmarkStart w:id="3054" w:name="_Toc222031038"/>
      <w:bookmarkStart w:id="3055" w:name="_Toc221951188"/>
      <w:bookmarkStart w:id="3056" w:name="_Toc222033887"/>
      <w:bookmarkStart w:id="3057" w:name="_Toc6838"/>
      <w:bookmarkStart w:id="3058" w:name="_Toc229305394"/>
      <w:bookmarkStart w:id="3059" w:name="_Toc31532"/>
      <w:bookmarkStart w:id="3060" w:name="_Toc222029536"/>
      <w:bookmarkStart w:id="3061" w:name="_Toc519085585"/>
      <w:r>
        <w:rPr>
          <w:color w:val="auto"/>
          <w:highlight w:val="none"/>
        </w:rPr>
        <w:t>11. 开工和竣工</w:t>
      </w:r>
      <w:bookmarkEnd w:id="3051"/>
      <w:bookmarkEnd w:id="3052"/>
      <w:bookmarkEnd w:id="3053"/>
      <w:bookmarkEnd w:id="3054"/>
      <w:bookmarkEnd w:id="3055"/>
      <w:bookmarkEnd w:id="3056"/>
      <w:bookmarkEnd w:id="3057"/>
      <w:bookmarkEnd w:id="3058"/>
      <w:bookmarkEnd w:id="3059"/>
      <w:bookmarkEnd w:id="3060"/>
      <w:bookmarkEnd w:id="3061"/>
    </w:p>
    <w:p w14:paraId="54F5FFAC">
      <w:pPr>
        <w:pStyle w:val="7"/>
        <w:spacing w:before="159"/>
        <w:rPr>
          <w:color w:val="auto"/>
          <w:highlight w:val="none"/>
        </w:rPr>
      </w:pPr>
      <w:bookmarkStart w:id="3062" w:name="_Toc519085586"/>
      <w:bookmarkStart w:id="3063" w:name="_Toc8994"/>
      <w:bookmarkStart w:id="3064" w:name="_Toc221951189"/>
      <w:bookmarkStart w:id="3065" w:name="_Toc456173477"/>
      <w:r>
        <w:rPr>
          <w:color w:val="auto"/>
          <w:highlight w:val="none"/>
        </w:rPr>
        <w:t>11.1 开工</w:t>
      </w:r>
      <w:bookmarkEnd w:id="3062"/>
      <w:bookmarkEnd w:id="3063"/>
    </w:p>
    <w:p w14:paraId="383553AA">
      <w:pPr>
        <w:spacing w:line="360" w:lineRule="auto"/>
        <w:rPr>
          <w:color w:val="auto"/>
          <w:highlight w:val="none"/>
          <w:u w:val="single"/>
        </w:rPr>
      </w:pPr>
      <w:r>
        <w:rPr>
          <w:color w:val="auto"/>
          <w:highlight w:val="none"/>
        </w:rPr>
        <w:t xml:space="preserve">    11.1.1开工条件的约定：</w:t>
      </w:r>
      <w:r>
        <w:rPr>
          <w:color w:val="auto"/>
          <w:highlight w:val="none"/>
          <w:u w:val="single"/>
        </w:rPr>
        <w:t xml:space="preserve">                                                                </w:t>
      </w:r>
    </w:p>
    <w:p w14:paraId="566288BB">
      <w:pPr>
        <w:pStyle w:val="7"/>
        <w:spacing w:before="159"/>
        <w:rPr>
          <w:color w:val="auto"/>
          <w:highlight w:val="none"/>
        </w:rPr>
      </w:pPr>
      <w:bookmarkStart w:id="3066" w:name="_Toc519085587"/>
      <w:bookmarkStart w:id="3067" w:name="_Toc21467"/>
      <w:r>
        <w:rPr>
          <w:color w:val="auto"/>
          <w:highlight w:val="none"/>
        </w:rPr>
        <w:t>11.4 异常恶劣的气候条件</w:t>
      </w:r>
      <w:bookmarkEnd w:id="3064"/>
      <w:bookmarkEnd w:id="3065"/>
      <w:bookmarkEnd w:id="3066"/>
      <w:bookmarkEnd w:id="3067"/>
      <w:r>
        <w:rPr>
          <w:color w:val="auto"/>
          <w:highlight w:val="none"/>
        </w:rPr>
        <w:t xml:space="preserve"> </w:t>
      </w:r>
    </w:p>
    <w:p w14:paraId="231C362F">
      <w:pPr>
        <w:spacing w:line="360" w:lineRule="auto"/>
        <w:ind w:right="248" w:firstLine="480"/>
        <w:rPr>
          <w:color w:val="auto"/>
          <w:szCs w:val="21"/>
          <w:highlight w:val="none"/>
          <w:u w:val="single"/>
        </w:rPr>
      </w:pPr>
      <w:bookmarkStart w:id="3068" w:name="_Toc221951191"/>
      <w:r>
        <w:rPr>
          <w:color w:val="auto"/>
          <w:szCs w:val="21"/>
          <w:highlight w:val="none"/>
        </w:rPr>
        <w:t>本合同工程界定异常恶劣气候条件的范围为：</w:t>
      </w:r>
      <w:bookmarkEnd w:id="3068"/>
      <w:r>
        <w:rPr>
          <w:color w:val="auto"/>
          <w:szCs w:val="21"/>
          <w:highlight w:val="none"/>
          <w:u w:val="single"/>
        </w:rPr>
        <w:t xml:space="preserve">                                           </w:t>
      </w:r>
    </w:p>
    <w:p w14:paraId="0A4CEC34">
      <w:pPr>
        <w:pStyle w:val="7"/>
        <w:spacing w:before="159"/>
        <w:rPr>
          <w:color w:val="auto"/>
          <w:highlight w:val="none"/>
        </w:rPr>
      </w:pPr>
      <w:bookmarkStart w:id="3069" w:name="_Toc221951198"/>
      <w:bookmarkStart w:id="3070" w:name="_Toc28137"/>
      <w:bookmarkStart w:id="3071" w:name="_Toc456173478"/>
      <w:bookmarkStart w:id="3072" w:name="_Toc519085588"/>
      <w:r>
        <w:rPr>
          <w:color w:val="auto"/>
          <w:highlight w:val="none"/>
        </w:rPr>
        <w:t>11.5 承包人工期延误</w:t>
      </w:r>
      <w:bookmarkEnd w:id="3069"/>
      <w:bookmarkEnd w:id="3070"/>
      <w:bookmarkEnd w:id="3071"/>
      <w:bookmarkEnd w:id="3072"/>
      <w:r>
        <w:rPr>
          <w:color w:val="auto"/>
          <w:highlight w:val="none"/>
        </w:rPr>
        <w:t xml:space="preserve"> </w:t>
      </w:r>
    </w:p>
    <w:p w14:paraId="3B3C6284">
      <w:pPr>
        <w:spacing w:line="360" w:lineRule="auto"/>
        <w:ind w:right="248" w:firstLine="420" w:firstLineChars="200"/>
        <w:rPr>
          <w:bCs/>
          <w:color w:val="auto"/>
          <w:szCs w:val="21"/>
          <w:highlight w:val="none"/>
          <w:u w:val="single"/>
        </w:rPr>
      </w:pPr>
      <w:bookmarkStart w:id="3073" w:name="_Toc221951200"/>
      <w:r>
        <w:rPr>
          <w:bCs/>
          <w:color w:val="auto"/>
          <w:szCs w:val="21"/>
          <w:highlight w:val="none"/>
        </w:rPr>
        <w:t>（1）逾期竣工违约金</w:t>
      </w:r>
      <w:bookmarkEnd w:id="3073"/>
      <w:r>
        <w:rPr>
          <w:bCs/>
          <w:color w:val="auto"/>
          <w:szCs w:val="21"/>
          <w:highlight w:val="none"/>
        </w:rPr>
        <w:t>的计算：</w:t>
      </w:r>
      <w:r>
        <w:rPr>
          <w:bCs/>
          <w:color w:val="auto"/>
          <w:szCs w:val="21"/>
          <w:highlight w:val="none"/>
          <w:u w:val="single"/>
        </w:rPr>
        <w:t xml:space="preserve">                                                         </w:t>
      </w:r>
    </w:p>
    <w:p w14:paraId="688F9B2E">
      <w:pPr>
        <w:spacing w:line="360" w:lineRule="auto"/>
        <w:ind w:right="248" w:firstLine="420" w:firstLineChars="200"/>
        <w:rPr>
          <w:color w:val="auto"/>
          <w:szCs w:val="21"/>
          <w:highlight w:val="none"/>
        </w:rPr>
      </w:pPr>
      <w:bookmarkStart w:id="3074" w:name="_Toc221951205"/>
      <w:r>
        <w:rPr>
          <w:color w:val="auto"/>
          <w:szCs w:val="21"/>
          <w:highlight w:val="none"/>
        </w:rPr>
        <w:t>（2）逾期</w:t>
      </w:r>
      <w:r>
        <w:rPr>
          <w:rFonts w:hAnsi="宋体"/>
          <w:color w:val="auto"/>
          <w:szCs w:val="21"/>
          <w:highlight w:val="none"/>
        </w:rPr>
        <w:t>竣工违约金的最高限额为：</w:t>
      </w:r>
      <w:r>
        <w:rPr>
          <w:color w:val="auto"/>
          <w:szCs w:val="21"/>
          <w:highlight w:val="none"/>
          <w:u w:val="single"/>
        </w:rPr>
        <w:t xml:space="preserve">                                                 </w:t>
      </w:r>
      <w:bookmarkEnd w:id="3074"/>
    </w:p>
    <w:p w14:paraId="6AE8E5CF">
      <w:pPr>
        <w:pStyle w:val="7"/>
        <w:spacing w:before="159"/>
        <w:rPr>
          <w:color w:val="auto"/>
          <w:highlight w:val="none"/>
        </w:rPr>
      </w:pPr>
      <w:bookmarkStart w:id="3075" w:name="_Toc456173479"/>
      <w:bookmarkStart w:id="3076" w:name="_Toc519085589"/>
      <w:bookmarkStart w:id="3077" w:name="_Toc15490"/>
      <w:r>
        <w:rPr>
          <w:color w:val="auto"/>
          <w:highlight w:val="none"/>
        </w:rPr>
        <w:t>11.6 工期提前</w:t>
      </w:r>
      <w:bookmarkEnd w:id="3075"/>
      <w:bookmarkEnd w:id="3076"/>
      <w:bookmarkEnd w:id="3077"/>
    </w:p>
    <w:p w14:paraId="075D722F">
      <w:pPr>
        <w:spacing w:line="360" w:lineRule="auto"/>
        <w:ind w:right="248" w:firstLine="420" w:firstLineChars="200"/>
        <w:rPr>
          <w:color w:val="auto"/>
          <w:szCs w:val="21"/>
          <w:highlight w:val="none"/>
        </w:rPr>
      </w:pPr>
      <w:r>
        <w:rPr>
          <w:color w:val="auto"/>
          <w:szCs w:val="21"/>
          <w:highlight w:val="none"/>
        </w:rPr>
        <w:t>工期提前的约定：</w:t>
      </w:r>
      <w:r>
        <w:rPr>
          <w:color w:val="auto"/>
          <w:szCs w:val="21"/>
          <w:highlight w:val="none"/>
          <w:u w:val="single"/>
        </w:rPr>
        <w:t xml:space="preserve">                                                                  </w:t>
      </w:r>
    </w:p>
    <w:p w14:paraId="4B483C69">
      <w:pPr>
        <w:pStyle w:val="6"/>
        <w:spacing w:before="63"/>
        <w:rPr>
          <w:color w:val="auto"/>
          <w:highlight w:val="none"/>
        </w:rPr>
      </w:pPr>
      <w:bookmarkStart w:id="3078" w:name="_Toc222031039"/>
      <w:bookmarkStart w:id="3079" w:name="_Toc222033888"/>
      <w:bookmarkStart w:id="3080" w:name="_Toc221951206"/>
      <w:bookmarkStart w:id="3081" w:name="_Toc519085590"/>
      <w:bookmarkStart w:id="3082" w:name="_Toc22046"/>
      <w:bookmarkStart w:id="3083" w:name="_Toc222032706"/>
      <w:bookmarkStart w:id="3084" w:name="_Toc5275"/>
      <w:bookmarkStart w:id="3085" w:name="_Toc456173480"/>
      <w:bookmarkStart w:id="3086" w:name="_Toc229305395"/>
      <w:bookmarkStart w:id="3087" w:name="_Toc222029537"/>
      <w:bookmarkStart w:id="3088" w:name="_Toc25217"/>
      <w:r>
        <w:rPr>
          <w:color w:val="auto"/>
          <w:highlight w:val="none"/>
        </w:rPr>
        <w:t>12. 暂停施工</w:t>
      </w:r>
      <w:bookmarkEnd w:id="3078"/>
      <w:bookmarkEnd w:id="3079"/>
      <w:bookmarkEnd w:id="3080"/>
      <w:bookmarkEnd w:id="3081"/>
      <w:bookmarkEnd w:id="3082"/>
      <w:bookmarkEnd w:id="3083"/>
      <w:bookmarkEnd w:id="3084"/>
      <w:bookmarkEnd w:id="3085"/>
      <w:bookmarkEnd w:id="3086"/>
      <w:bookmarkEnd w:id="3087"/>
      <w:bookmarkEnd w:id="3088"/>
    </w:p>
    <w:p w14:paraId="252B98FE">
      <w:pPr>
        <w:pStyle w:val="7"/>
        <w:spacing w:before="159"/>
        <w:rPr>
          <w:color w:val="auto"/>
          <w:highlight w:val="none"/>
        </w:rPr>
      </w:pPr>
      <w:bookmarkStart w:id="3089" w:name="_Toc456173481"/>
      <w:bookmarkStart w:id="3090" w:name="_Toc9734"/>
      <w:bookmarkStart w:id="3091" w:name="_Toc221951207"/>
      <w:bookmarkStart w:id="3092" w:name="_Toc519085591"/>
      <w:r>
        <w:rPr>
          <w:color w:val="auto"/>
          <w:highlight w:val="none"/>
        </w:rPr>
        <w:t>12.1 承包人暂停施工的责任</w:t>
      </w:r>
      <w:bookmarkEnd w:id="3089"/>
      <w:bookmarkEnd w:id="3090"/>
      <w:bookmarkEnd w:id="3091"/>
      <w:bookmarkEnd w:id="3092"/>
    </w:p>
    <w:p w14:paraId="6DAE864B">
      <w:pPr>
        <w:spacing w:line="360" w:lineRule="auto"/>
        <w:ind w:right="248" w:firstLine="480"/>
        <w:rPr>
          <w:color w:val="auto"/>
          <w:szCs w:val="21"/>
          <w:highlight w:val="none"/>
        </w:rPr>
      </w:pPr>
      <w:bookmarkStart w:id="3093" w:name="_Toc221951209"/>
      <w:r>
        <w:rPr>
          <w:color w:val="auto"/>
          <w:szCs w:val="21"/>
          <w:highlight w:val="none"/>
        </w:rPr>
        <w:t>12.1.2 承包人承担暂停施工责任的其它情形：</w:t>
      </w:r>
      <w:r>
        <w:rPr>
          <w:color w:val="auto"/>
          <w:szCs w:val="21"/>
          <w:highlight w:val="none"/>
          <w:u w:val="single"/>
        </w:rPr>
        <w:t xml:space="preserve">                            </w:t>
      </w:r>
      <w:r>
        <w:rPr>
          <w:color w:val="auto"/>
          <w:szCs w:val="21"/>
          <w:highlight w:val="none"/>
        </w:rPr>
        <w:t xml:space="preserve"> 。</w:t>
      </w:r>
      <w:bookmarkEnd w:id="3093"/>
    </w:p>
    <w:p w14:paraId="5FA1EA66">
      <w:pPr>
        <w:pStyle w:val="6"/>
        <w:spacing w:before="63"/>
        <w:rPr>
          <w:color w:val="auto"/>
          <w:highlight w:val="none"/>
        </w:rPr>
      </w:pPr>
      <w:bookmarkStart w:id="3094" w:name="_Toc222033890"/>
      <w:bookmarkStart w:id="3095" w:name="_Toc6471"/>
      <w:bookmarkStart w:id="3096" w:name="_Toc681"/>
      <w:bookmarkStart w:id="3097" w:name="_Toc229305396"/>
      <w:bookmarkStart w:id="3098" w:name="_Toc8844"/>
      <w:bookmarkStart w:id="3099" w:name="_Toc222031041"/>
      <w:bookmarkStart w:id="3100" w:name="_Toc222029539"/>
      <w:bookmarkStart w:id="3101" w:name="_Toc519085592"/>
      <w:bookmarkStart w:id="3102" w:name="_Toc221951213"/>
      <w:bookmarkStart w:id="3103" w:name="_Toc222032708"/>
      <w:bookmarkStart w:id="3104" w:name="_Toc456173488"/>
      <w:r>
        <w:rPr>
          <w:color w:val="auto"/>
          <w:highlight w:val="none"/>
        </w:rPr>
        <w:t>15. 变更</w:t>
      </w:r>
      <w:bookmarkEnd w:id="3094"/>
      <w:bookmarkEnd w:id="3095"/>
      <w:bookmarkEnd w:id="3096"/>
      <w:bookmarkEnd w:id="3097"/>
      <w:bookmarkEnd w:id="3098"/>
      <w:bookmarkEnd w:id="3099"/>
      <w:bookmarkEnd w:id="3100"/>
      <w:bookmarkEnd w:id="3101"/>
      <w:bookmarkEnd w:id="3102"/>
      <w:bookmarkEnd w:id="3103"/>
      <w:bookmarkEnd w:id="3104"/>
    </w:p>
    <w:p w14:paraId="7AB536EE">
      <w:pPr>
        <w:pStyle w:val="7"/>
        <w:spacing w:before="159"/>
        <w:rPr>
          <w:color w:val="auto"/>
          <w:highlight w:val="none"/>
        </w:rPr>
      </w:pPr>
      <w:bookmarkStart w:id="3105" w:name="_Toc519085593"/>
      <w:bookmarkStart w:id="3106" w:name="_Toc11013"/>
      <w:bookmarkStart w:id="3107" w:name="_Toc456173490"/>
      <w:bookmarkStart w:id="3108" w:name="_Toc221951218"/>
      <w:r>
        <w:rPr>
          <w:color w:val="auto"/>
          <w:highlight w:val="none"/>
        </w:rPr>
        <w:t>15.2 承包人的合理化建议</w:t>
      </w:r>
      <w:bookmarkEnd w:id="3105"/>
      <w:bookmarkEnd w:id="3106"/>
      <w:bookmarkEnd w:id="3107"/>
    </w:p>
    <w:p w14:paraId="240D12CE">
      <w:pPr>
        <w:spacing w:line="360" w:lineRule="auto"/>
        <w:ind w:firstLine="420"/>
        <w:rPr>
          <w:color w:val="auto"/>
          <w:szCs w:val="21"/>
          <w:highlight w:val="none"/>
        </w:rPr>
      </w:pPr>
      <w:r>
        <w:rPr>
          <w:color w:val="auto"/>
          <w:szCs w:val="21"/>
          <w:highlight w:val="none"/>
        </w:rPr>
        <w:t xml:space="preserve">15.2.2 </w:t>
      </w:r>
      <w:bookmarkEnd w:id="3108"/>
      <w:bookmarkStart w:id="3109" w:name="_Toc221951219"/>
      <w:r>
        <w:rPr>
          <w:rFonts w:hAnsi="宋体"/>
          <w:color w:val="auto"/>
          <w:szCs w:val="21"/>
          <w:highlight w:val="none"/>
        </w:rPr>
        <w:t>承包人实现合理化建议的奖励金额为：</w:t>
      </w:r>
      <w:r>
        <w:rPr>
          <w:color w:val="auto"/>
          <w:szCs w:val="21"/>
          <w:highlight w:val="none"/>
          <w:u w:val="single"/>
        </w:rPr>
        <w:t xml:space="preserve">  </w:t>
      </w:r>
      <w:bookmarkEnd w:id="3109"/>
      <w:bookmarkStart w:id="3110" w:name="_Toc221951220"/>
      <w:r>
        <w:rPr>
          <w:color w:val="auto"/>
          <w:szCs w:val="21"/>
          <w:highlight w:val="none"/>
          <w:u w:val="single"/>
        </w:rPr>
        <w:t xml:space="preserve">                    </w:t>
      </w:r>
      <w:r>
        <w:rPr>
          <w:rFonts w:hAnsi="宋体"/>
          <w:color w:val="auto"/>
          <w:szCs w:val="21"/>
          <w:highlight w:val="none"/>
        </w:rPr>
        <w:t>。</w:t>
      </w:r>
      <w:bookmarkEnd w:id="3110"/>
    </w:p>
    <w:p w14:paraId="4DCBA090">
      <w:pPr>
        <w:spacing w:line="360" w:lineRule="auto"/>
        <w:rPr>
          <w:color w:val="auto"/>
          <w:highlight w:val="none"/>
        </w:rPr>
      </w:pPr>
      <w:bookmarkStart w:id="3111" w:name="_Toc519085594"/>
      <w:bookmarkStart w:id="3112" w:name="_Toc221951221"/>
      <w:bookmarkStart w:id="3113" w:name="_Toc456173491"/>
      <w:r>
        <w:rPr>
          <w:color w:val="auto"/>
          <w:highlight w:val="none"/>
        </w:rPr>
        <w:t>15.5 计日工</w:t>
      </w:r>
      <w:bookmarkEnd w:id="3111"/>
    </w:p>
    <w:p w14:paraId="6282240B">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58DCEE8C">
      <w:pPr>
        <w:pStyle w:val="7"/>
        <w:spacing w:before="159"/>
        <w:rPr>
          <w:color w:val="auto"/>
          <w:highlight w:val="none"/>
        </w:rPr>
      </w:pPr>
      <w:bookmarkStart w:id="3114" w:name="_Toc519085595"/>
      <w:bookmarkStart w:id="3115" w:name="_Toc13818"/>
      <w:r>
        <w:rPr>
          <w:color w:val="auto"/>
          <w:highlight w:val="none"/>
        </w:rPr>
        <w:t>15.6 暂估价</w:t>
      </w:r>
      <w:bookmarkEnd w:id="3112"/>
      <w:bookmarkEnd w:id="3113"/>
      <w:bookmarkEnd w:id="3114"/>
      <w:bookmarkEnd w:id="3115"/>
    </w:p>
    <w:p w14:paraId="6B4FC4CB">
      <w:pPr>
        <w:spacing w:line="360" w:lineRule="auto"/>
        <w:ind w:firstLine="420" w:firstLineChars="200"/>
        <w:rPr>
          <w:color w:val="auto"/>
          <w:highlight w:val="none"/>
          <w:u w:val="single"/>
        </w:rPr>
      </w:pPr>
      <w:bookmarkStart w:id="3116" w:name="_Toc221951222"/>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bookmarkEnd w:id="3116"/>
    <w:p w14:paraId="6C14B10A">
      <w:pPr>
        <w:pStyle w:val="6"/>
        <w:spacing w:before="63"/>
        <w:rPr>
          <w:color w:val="auto"/>
          <w:highlight w:val="none"/>
        </w:rPr>
      </w:pPr>
      <w:bookmarkStart w:id="3117" w:name="_Toc519085596"/>
      <w:bookmarkStart w:id="3118" w:name="_Toc229305397"/>
      <w:bookmarkStart w:id="3119" w:name="_Toc997"/>
      <w:bookmarkStart w:id="3120" w:name="_Toc25696"/>
      <w:bookmarkStart w:id="3121" w:name="_Toc456173492"/>
      <w:bookmarkStart w:id="3122" w:name="_Toc3202"/>
      <w:r>
        <w:rPr>
          <w:color w:val="auto"/>
          <w:highlight w:val="none"/>
        </w:rPr>
        <w:t>16. 价格调整</w:t>
      </w:r>
      <w:bookmarkEnd w:id="3117"/>
      <w:bookmarkEnd w:id="3118"/>
      <w:bookmarkEnd w:id="3119"/>
      <w:bookmarkEnd w:id="3120"/>
      <w:bookmarkEnd w:id="3121"/>
      <w:bookmarkEnd w:id="3122"/>
    </w:p>
    <w:p w14:paraId="6D19E5BD">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28B70955">
      <w:pPr>
        <w:pStyle w:val="6"/>
        <w:spacing w:before="63"/>
        <w:rPr>
          <w:color w:val="auto"/>
          <w:highlight w:val="none"/>
        </w:rPr>
      </w:pPr>
      <w:bookmarkStart w:id="3123" w:name="_Toc31453"/>
      <w:bookmarkStart w:id="3124" w:name="_Toc15072"/>
      <w:bookmarkStart w:id="3125" w:name="_Toc27335"/>
      <w:bookmarkStart w:id="3126" w:name="_Toc222032709"/>
      <w:bookmarkStart w:id="3127" w:name="_Toc222031042"/>
      <w:bookmarkStart w:id="3128" w:name="_Toc456173494"/>
      <w:bookmarkStart w:id="3129" w:name="_Toc222033891"/>
      <w:bookmarkStart w:id="3130" w:name="_Toc229305398"/>
      <w:bookmarkStart w:id="3131" w:name="_Toc221951223"/>
      <w:bookmarkStart w:id="3132" w:name="_Toc519085597"/>
      <w:bookmarkStart w:id="3133" w:name="_Toc222029540"/>
      <w:r>
        <w:rPr>
          <w:color w:val="auto"/>
          <w:highlight w:val="none"/>
        </w:rPr>
        <w:t>17. 计量与支付</w:t>
      </w:r>
      <w:bookmarkEnd w:id="3123"/>
      <w:bookmarkEnd w:id="3124"/>
      <w:bookmarkEnd w:id="3125"/>
      <w:bookmarkEnd w:id="3126"/>
      <w:bookmarkEnd w:id="3127"/>
      <w:bookmarkEnd w:id="3128"/>
      <w:bookmarkEnd w:id="3129"/>
      <w:bookmarkEnd w:id="3130"/>
      <w:bookmarkEnd w:id="3131"/>
      <w:bookmarkEnd w:id="3132"/>
      <w:bookmarkEnd w:id="3133"/>
    </w:p>
    <w:p w14:paraId="255B8056">
      <w:pPr>
        <w:pStyle w:val="7"/>
        <w:spacing w:before="159"/>
        <w:rPr>
          <w:color w:val="auto"/>
          <w:highlight w:val="none"/>
        </w:rPr>
      </w:pPr>
      <w:bookmarkStart w:id="3134" w:name="_Toc519085598"/>
      <w:bookmarkStart w:id="3135" w:name="_Toc456173495"/>
      <w:bookmarkStart w:id="3136" w:name="_Toc221951224"/>
      <w:r>
        <w:rPr>
          <w:color w:val="auto"/>
          <w:highlight w:val="none"/>
        </w:rPr>
        <w:t>17.1合同价格</w:t>
      </w:r>
      <w:bookmarkEnd w:id="3134"/>
    </w:p>
    <w:p w14:paraId="16A833B2">
      <w:pPr>
        <w:spacing w:line="360" w:lineRule="auto"/>
        <w:rPr>
          <w:color w:val="auto"/>
          <w:highlight w:val="none"/>
          <w:u w:val="single"/>
        </w:rPr>
      </w:pPr>
      <w:r>
        <w:rPr>
          <w:color w:val="auto"/>
          <w:highlight w:val="none"/>
        </w:rPr>
        <w:t>合同价格的约定：</w:t>
      </w:r>
      <w:r>
        <w:rPr>
          <w:color w:val="auto"/>
          <w:highlight w:val="none"/>
          <w:u w:val="single"/>
        </w:rPr>
        <w:t xml:space="preserve">                                                                      </w:t>
      </w:r>
    </w:p>
    <w:p w14:paraId="6095713C">
      <w:pPr>
        <w:pStyle w:val="7"/>
        <w:spacing w:before="159"/>
        <w:rPr>
          <w:color w:val="auto"/>
          <w:highlight w:val="none"/>
        </w:rPr>
      </w:pPr>
      <w:bookmarkStart w:id="3137" w:name="_Toc519085599"/>
      <w:bookmarkStart w:id="3138" w:name="_Toc4434"/>
      <w:r>
        <w:rPr>
          <w:color w:val="auto"/>
          <w:highlight w:val="none"/>
        </w:rPr>
        <w:t>17.2 预付款</w:t>
      </w:r>
      <w:bookmarkEnd w:id="3135"/>
      <w:bookmarkEnd w:id="3136"/>
      <w:bookmarkEnd w:id="3137"/>
      <w:bookmarkEnd w:id="3138"/>
    </w:p>
    <w:p w14:paraId="2C9F007F">
      <w:pPr>
        <w:spacing w:line="360" w:lineRule="auto"/>
        <w:ind w:firstLine="420" w:firstLineChars="200"/>
        <w:rPr>
          <w:color w:val="auto"/>
          <w:highlight w:val="none"/>
        </w:rPr>
      </w:pPr>
      <w:bookmarkStart w:id="3139" w:name="_Toc221951226"/>
      <w:r>
        <w:rPr>
          <w:color w:val="auto"/>
          <w:highlight w:val="none"/>
        </w:rPr>
        <w:t>17.2.1预付款</w:t>
      </w:r>
      <w:bookmarkEnd w:id="3139"/>
      <w:r>
        <w:rPr>
          <w:color w:val="auto"/>
          <w:highlight w:val="none"/>
        </w:rPr>
        <w:t xml:space="preserve"> </w:t>
      </w:r>
    </w:p>
    <w:p w14:paraId="781DBF27">
      <w:pPr>
        <w:spacing w:line="360" w:lineRule="auto"/>
        <w:ind w:firstLine="420" w:firstLineChars="200"/>
        <w:rPr>
          <w:color w:val="auto"/>
          <w:szCs w:val="21"/>
          <w:highlight w:val="none"/>
        </w:rPr>
      </w:pPr>
      <w:bookmarkStart w:id="3140" w:name="_Toc221951228"/>
      <w:r>
        <w:rPr>
          <w:color w:val="auto"/>
          <w:szCs w:val="21"/>
          <w:highlight w:val="none"/>
        </w:rPr>
        <w:t>（1）工程预付款的总金额为签约合同价的</w:t>
      </w:r>
      <w:r>
        <w:rPr>
          <w:color w:val="auto"/>
          <w:szCs w:val="21"/>
          <w:highlight w:val="none"/>
          <w:u w:val="single"/>
        </w:rPr>
        <w:t xml:space="preserve">   </w:t>
      </w:r>
      <w:r>
        <w:rPr>
          <w:color w:val="auto"/>
          <w:szCs w:val="21"/>
          <w:highlight w:val="none"/>
        </w:rPr>
        <w:t>%，分</w:t>
      </w:r>
      <w:r>
        <w:rPr>
          <w:color w:val="auto"/>
          <w:szCs w:val="21"/>
          <w:highlight w:val="none"/>
          <w:u w:val="single"/>
        </w:rPr>
        <w:t xml:space="preserve">   </w:t>
      </w:r>
      <w:r>
        <w:rPr>
          <w:color w:val="auto"/>
          <w:szCs w:val="21"/>
          <w:highlight w:val="none"/>
        </w:rPr>
        <w:t>次支付给承包人。</w:t>
      </w:r>
      <w:bookmarkEnd w:id="3140"/>
    </w:p>
    <w:p w14:paraId="5BD7D479">
      <w:pPr>
        <w:spacing w:line="360" w:lineRule="auto"/>
        <w:ind w:firstLine="420" w:firstLineChars="200"/>
        <w:rPr>
          <w:color w:val="auto"/>
          <w:szCs w:val="21"/>
          <w:highlight w:val="none"/>
          <w:u w:val="single"/>
        </w:rPr>
      </w:pPr>
      <w:bookmarkStart w:id="3141" w:name="_Toc221951229"/>
      <w:r>
        <w:rPr>
          <w:color w:val="auto"/>
          <w:szCs w:val="21"/>
          <w:highlight w:val="none"/>
        </w:rPr>
        <w:t>各次预付款的支付额度和付款时间为：</w:t>
      </w:r>
      <w:bookmarkEnd w:id="3141"/>
      <w:r>
        <w:rPr>
          <w:color w:val="auto"/>
          <w:szCs w:val="21"/>
          <w:highlight w:val="none"/>
          <w:u w:val="single"/>
        </w:rPr>
        <w:t xml:space="preserve">                                                  </w:t>
      </w:r>
    </w:p>
    <w:p w14:paraId="5D9ACD46">
      <w:pPr>
        <w:spacing w:line="360" w:lineRule="auto"/>
        <w:ind w:firstLine="420" w:firstLineChars="200"/>
        <w:rPr>
          <w:color w:val="auto"/>
          <w:szCs w:val="21"/>
          <w:highlight w:val="none"/>
        </w:rPr>
      </w:pPr>
      <w:r>
        <w:rPr>
          <w:color w:val="auto"/>
          <w:szCs w:val="21"/>
          <w:highlight w:val="none"/>
        </w:rPr>
        <w:t>（2）工程材料预付款的额度和预付办法约定为：</w:t>
      </w:r>
      <w:r>
        <w:rPr>
          <w:color w:val="auto"/>
          <w:szCs w:val="21"/>
          <w:highlight w:val="none"/>
          <w:u w:val="single"/>
        </w:rPr>
        <w:t xml:space="preserve">                                          </w:t>
      </w:r>
    </w:p>
    <w:p w14:paraId="401E4FD6">
      <w:pPr>
        <w:ind w:firstLine="420" w:firstLineChars="200"/>
        <w:rPr>
          <w:color w:val="auto"/>
          <w:highlight w:val="none"/>
        </w:rPr>
      </w:pPr>
      <w:bookmarkStart w:id="3142" w:name="_Toc3981167"/>
      <w:bookmarkStart w:id="3143" w:name="_Toc221951235"/>
      <w:bookmarkStart w:id="3144" w:name="_Toc3980719"/>
      <w:bookmarkStart w:id="3145" w:name="_Toc17165"/>
      <w:r>
        <w:rPr>
          <w:color w:val="auto"/>
          <w:highlight w:val="none"/>
        </w:rPr>
        <w:t>17.2.2 预付款保函</w:t>
      </w:r>
      <w:bookmarkEnd w:id="3142"/>
      <w:bookmarkEnd w:id="3143"/>
      <w:bookmarkEnd w:id="3144"/>
      <w:bookmarkEnd w:id="3145"/>
    </w:p>
    <w:p w14:paraId="60CEFF23">
      <w:pPr>
        <w:spacing w:line="360" w:lineRule="auto"/>
        <w:ind w:firstLine="420" w:firstLineChars="200"/>
        <w:rPr>
          <w:color w:val="auto"/>
          <w:szCs w:val="21"/>
          <w:highlight w:val="none"/>
        </w:rPr>
      </w:pPr>
      <w:bookmarkStart w:id="3146" w:name="_Toc221951236"/>
      <w:r>
        <w:rPr>
          <w:rFonts w:hAnsi="宋体"/>
          <w:color w:val="auto"/>
          <w:szCs w:val="21"/>
          <w:highlight w:val="none"/>
        </w:rPr>
        <w:t>工程材料预付款的担保约定为：</w:t>
      </w:r>
      <w:r>
        <w:rPr>
          <w:color w:val="auto"/>
          <w:szCs w:val="21"/>
          <w:highlight w:val="none"/>
          <w:u w:val="single"/>
        </w:rPr>
        <w:t xml:space="preserve">                                                        </w:t>
      </w:r>
      <w:bookmarkEnd w:id="3146"/>
    </w:p>
    <w:p w14:paraId="2ED6B57E">
      <w:pPr>
        <w:ind w:firstLine="420" w:firstLineChars="200"/>
        <w:rPr>
          <w:color w:val="auto"/>
          <w:highlight w:val="none"/>
        </w:rPr>
      </w:pPr>
      <w:bookmarkStart w:id="3147" w:name="_Toc221951237"/>
      <w:bookmarkStart w:id="3148" w:name="_Toc16796"/>
      <w:r>
        <w:rPr>
          <w:color w:val="auto"/>
          <w:highlight w:val="none"/>
        </w:rPr>
        <w:t>17.2.3 预付款的扣回与还清</w:t>
      </w:r>
      <w:bookmarkEnd w:id="3147"/>
      <w:bookmarkEnd w:id="3148"/>
    </w:p>
    <w:p w14:paraId="5A63F4A2">
      <w:pPr>
        <w:spacing w:line="360" w:lineRule="auto"/>
        <w:ind w:firstLine="420" w:firstLineChars="200"/>
        <w:rPr>
          <w:color w:val="auto"/>
          <w:szCs w:val="21"/>
          <w:highlight w:val="none"/>
          <w:u w:val="single"/>
        </w:rPr>
      </w:pPr>
      <w:bookmarkStart w:id="3149" w:name="_Toc221951238"/>
      <w:r>
        <w:rPr>
          <w:color w:val="auto"/>
          <w:szCs w:val="21"/>
          <w:highlight w:val="none"/>
        </w:rPr>
        <w:t>工程预付款的扣回方式：</w:t>
      </w:r>
      <w:bookmarkEnd w:id="3149"/>
      <w:r>
        <w:rPr>
          <w:color w:val="auto"/>
          <w:szCs w:val="21"/>
          <w:highlight w:val="none"/>
          <w:u w:val="single"/>
        </w:rPr>
        <w:t xml:space="preserve">                                                              </w:t>
      </w:r>
    </w:p>
    <w:p w14:paraId="431E8850">
      <w:pPr>
        <w:pStyle w:val="7"/>
        <w:spacing w:before="159"/>
        <w:rPr>
          <w:color w:val="auto"/>
          <w:highlight w:val="none"/>
        </w:rPr>
      </w:pPr>
      <w:bookmarkStart w:id="3150" w:name="_Toc519085600"/>
      <w:bookmarkStart w:id="3151" w:name="_Toc12766"/>
      <w:r>
        <w:rPr>
          <w:color w:val="auto"/>
          <w:highlight w:val="none"/>
        </w:rPr>
        <w:t>17.3 工程进度付款</w:t>
      </w:r>
      <w:bookmarkEnd w:id="3150"/>
      <w:bookmarkEnd w:id="3151"/>
    </w:p>
    <w:p w14:paraId="69F63668">
      <w:pPr>
        <w:spacing w:line="360" w:lineRule="auto"/>
        <w:ind w:right="248" w:firstLine="480"/>
        <w:rPr>
          <w:color w:val="auto"/>
          <w:szCs w:val="21"/>
          <w:highlight w:val="none"/>
        </w:rPr>
      </w:pPr>
      <w:r>
        <w:rPr>
          <w:color w:val="auto"/>
          <w:highlight w:val="none"/>
        </w:rPr>
        <w:t xml:space="preserve">17.3.1 </w:t>
      </w:r>
      <w:r>
        <w:rPr>
          <w:color w:val="auto"/>
          <w:szCs w:val="21"/>
          <w:highlight w:val="none"/>
        </w:rPr>
        <w:t>付款时间</w:t>
      </w:r>
    </w:p>
    <w:p w14:paraId="30AAFA19">
      <w:pPr>
        <w:spacing w:line="360" w:lineRule="auto"/>
        <w:ind w:right="248" w:firstLine="480"/>
        <w:rPr>
          <w:color w:val="auto"/>
          <w:szCs w:val="21"/>
          <w:highlight w:val="none"/>
          <w:u w:val="single"/>
        </w:rPr>
      </w:pPr>
      <w:r>
        <w:rPr>
          <w:color w:val="auto"/>
          <w:szCs w:val="21"/>
          <w:highlight w:val="none"/>
        </w:rPr>
        <w:t>付款时间的约定：</w:t>
      </w:r>
      <w:r>
        <w:rPr>
          <w:color w:val="auto"/>
          <w:szCs w:val="21"/>
          <w:highlight w:val="none"/>
          <w:u w:val="single"/>
        </w:rPr>
        <w:t xml:space="preserve">                                                                    </w:t>
      </w:r>
    </w:p>
    <w:p w14:paraId="4D8AB084">
      <w:pPr>
        <w:spacing w:line="360" w:lineRule="auto"/>
        <w:ind w:right="248" w:firstLine="480"/>
        <w:rPr>
          <w:color w:val="auto"/>
          <w:szCs w:val="21"/>
          <w:highlight w:val="none"/>
        </w:rPr>
      </w:pPr>
      <w:r>
        <w:rPr>
          <w:color w:val="auto"/>
          <w:highlight w:val="none"/>
        </w:rPr>
        <w:t>17.3.2</w:t>
      </w:r>
      <w:r>
        <w:rPr>
          <w:color w:val="auto"/>
          <w:szCs w:val="21"/>
          <w:highlight w:val="none"/>
        </w:rPr>
        <w:t>支付分解表</w:t>
      </w:r>
    </w:p>
    <w:p w14:paraId="34417ECC">
      <w:pPr>
        <w:spacing w:line="360" w:lineRule="auto"/>
        <w:ind w:right="248" w:firstLine="480"/>
        <w:rPr>
          <w:color w:val="auto"/>
          <w:szCs w:val="21"/>
          <w:highlight w:val="none"/>
          <w:u w:val="single"/>
        </w:rPr>
      </w:pPr>
      <w:r>
        <w:rPr>
          <w:color w:val="auto"/>
          <w:szCs w:val="21"/>
          <w:highlight w:val="none"/>
        </w:rPr>
        <w:t>支付分解表的有关约定：</w:t>
      </w:r>
      <w:r>
        <w:rPr>
          <w:color w:val="auto"/>
          <w:szCs w:val="21"/>
          <w:highlight w:val="none"/>
          <w:u w:val="single"/>
        </w:rPr>
        <w:t xml:space="preserve">                                                              </w:t>
      </w:r>
    </w:p>
    <w:p w14:paraId="592A9348">
      <w:pPr>
        <w:spacing w:line="360" w:lineRule="auto"/>
        <w:ind w:right="248" w:firstLine="480"/>
        <w:rPr>
          <w:color w:val="auto"/>
          <w:szCs w:val="21"/>
          <w:highlight w:val="none"/>
        </w:rPr>
      </w:pPr>
      <w:r>
        <w:rPr>
          <w:color w:val="auto"/>
          <w:highlight w:val="none"/>
        </w:rPr>
        <w:t>17.3.3</w:t>
      </w:r>
      <w:r>
        <w:rPr>
          <w:color w:val="auto"/>
          <w:szCs w:val="21"/>
          <w:highlight w:val="none"/>
        </w:rPr>
        <w:t>进度付款申请单</w:t>
      </w:r>
    </w:p>
    <w:p w14:paraId="50353ACC">
      <w:pPr>
        <w:spacing w:line="360" w:lineRule="auto"/>
        <w:ind w:right="248" w:firstLine="480"/>
        <w:rPr>
          <w:color w:val="auto"/>
          <w:szCs w:val="21"/>
          <w:highlight w:val="none"/>
          <w:u w:val="single"/>
        </w:rPr>
      </w:pPr>
      <w:r>
        <w:rPr>
          <w:color w:val="auto"/>
          <w:szCs w:val="21"/>
          <w:highlight w:val="none"/>
        </w:rPr>
        <w:t>进度付款申请单的格式及份数：</w:t>
      </w:r>
      <w:r>
        <w:rPr>
          <w:color w:val="auto"/>
          <w:szCs w:val="21"/>
          <w:highlight w:val="none"/>
          <w:u w:val="single"/>
        </w:rPr>
        <w:t xml:space="preserve">                                                        </w:t>
      </w:r>
    </w:p>
    <w:p w14:paraId="4358465C">
      <w:pPr>
        <w:pStyle w:val="7"/>
        <w:spacing w:before="159"/>
        <w:rPr>
          <w:color w:val="auto"/>
          <w:highlight w:val="none"/>
        </w:rPr>
      </w:pPr>
      <w:bookmarkStart w:id="3152" w:name="_Toc519085601"/>
      <w:bookmarkStart w:id="3153" w:name="_Toc221951260"/>
      <w:bookmarkStart w:id="3154" w:name="_Toc26551"/>
      <w:bookmarkStart w:id="3155" w:name="_Toc456173496"/>
      <w:r>
        <w:rPr>
          <w:color w:val="auto"/>
          <w:highlight w:val="none"/>
        </w:rPr>
        <w:t>17.4 质量保证金</w:t>
      </w:r>
      <w:bookmarkEnd w:id="3152"/>
      <w:bookmarkEnd w:id="3153"/>
      <w:bookmarkEnd w:id="3154"/>
      <w:bookmarkEnd w:id="3155"/>
    </w:p>
    <w:p w14:paraId="4DFBA6A5">
      <w:pPr>
        <w:spacing w:line="360" w:lineRule="auto"/>
        <w:ind w:right="248" w:firstLine="420" w:firstLineChars="200"/>
        <w:rPr>
          <w:color w:val="auto"/>
          <w:szCs w:val="21"/>
          <w:highlight w:val="none"/>
        </w:rPr>
      </w:pPr>
      <w:bookmarkStart w:id="3156" w:name="_Toc221951262"/>
      <w:r>
        <w:rPr>
          <w:color w:val="auto"/>
          <w:szCs w:val="21"/>
          <w:highlight w:val="none"/>
        </w:rPr>
        <w:t>17.4.1</w:t>
      </w:r>
      <w:bookmarkEnd w:id="3156"/>
      <w:r>
        <w:rPr>
          <w:color w:val="auto"/>
          <w:szCs w:val="21"/>
          <w:highlight w:val="none"/>
        </w:rPr>
        <w:t>质量保证金的扣留方式：</w:t>
      </w:r>
      <w:r>
        <w:rPr>
          <w:color w:val="auto"/>
          <w:szCs w:val="21"/>
          <w:highlight w:val="none"/>
          <w:u w:val="single"/>
        </w:rPr>
        <w:t xml:space="preserve">                                                        </w:t>
      </w:r>
    </w:p>
    <w:p w14:paraId="02D5F64D">
      <w:pPr>
        <w:pStyle w:val="7"/>
        <w:spacing w:before="159"/>
        <w:rPr>
          <w:color w:val="auto"/>
          <w:highlight w:val="none"/>
        </w:rPr>
      </w:pPr>
      <w:bookmarkStart w:id="3157" w:name="_Toc519085602"/>
      <w:bookmarkStart w:id="3158" w:name="_Toc4859"/>
      <w:bookmarkStart w:id="3159" w:name="_Toc456173497"/>
      <w:bookmarkStart w:id="3160" w:name="_Toc221951265"/>
      <w:r>
        <w:rPr>
          <w:color w:val="auto"/>
          <w:highlight w:val="none"/>
        </w:rPr>
        <w:t>17.5 竣工结算</w:t>
      </w:r>
      <w:bookmarkEnd w:id="3157"/>
      <w:bookmarkEnd w:id="3158"/>
      <w:bookmarkEnd w:id="3159"/>
      <w:bookmarkEnd w:id="3160"/>
    </w:p>
    <w:p w14:paraId="218DAD89">
      <w:pPr>
        <w:spacing w:before="159"/>
        <w:rPr>
          <w:color w:val="auto"/>
          <w:szCs w:val="21"/>
          <w:highlight w:val="none"/>
        </w:rPr>
      </w:pPr>
      <w:bookmarkStart w:id="3161" w:name="_Toc18612"/>
      <w:bookmarkStart w:id="3162" w:name="_Toc3981171"/>
      <w:bookmarkStart w:id="3163" w:name="_Toc221951266"/>
      <w:r>
        <w:rPr>
          <w:color w:val="auto"/>
          <w:szCs w:val="21"/>
          <w:highlight w:val="none"/>
        </w:rPr>
        <w:t>17.5.1  竣工付款申请单</w:t>
      </w:r>
      <w:bookmarkEnd w:id="3161"/>
      <w:bookmarkEnd w:id="3162"/>
      <w:bookmarkEnd w:id="3163"/>
      <w:r>
        <w:rPr>
          <w:rFonts w:eastAsia="楷体_GB2312"/>
          <w:color w:val="auto"/>
          <w:szCs w:val="21"/>
          <w:highlight w:val="none"/>
        </w:rPr>
        <w:t xml:space="preserve"> </w:t>
      </w:r>
    </w:p>
    <w:p w14:paraId="0B30B617">
      <w:pPr>
        <w:spacing w:line="360" w:lineRule="auto"/>
        <w:ind w:right="248" w:firstLine="480"/>
        <w:rPr>
          <w:color w:val="auto"/>
          <w:szCs w:val="21"/>
          <w:highlight w:val="none"/>
          <w:u w:val="single"/>
        </w:rPr>
      </w:pPr>
      <w:bookmarkStart w:id="3164" w:name="_Toc221951267"/>
      <w:r>
        <w:rPr>
          <w:color w:val="auto"/>
          <w:szCs w:val="21"/>
          <w:highlight w:val="none"/>
        </w:rPr>
        <w:t>竣工付款申请单提交的份数及期限：</w:t>
      </w:r>
      <w:r>
        <w:rPr>
          <w:color w:val="auto"/>
          <w:szCs w:val="21"/>
          <w:highlight w:val="none"/>
          <w:u w:val="single"/>
        </w:rPr>
        <w:t xml:space="preserve">                                                    </w:t>
      </w:r>
    </w:p>
    <w:p w14:paraId="37C3A499">
      <w:pPr>
        <w:spacing w:line="360" w:lineRule="auto"/>
        <w:ind w:right="248" w:firstLine="480"/>
        <w:rPr>
          <w:color w:val="auto"/>
          <w:szCs w:val="21"/>
          <w:highlight w:val="none"/>
          <w:u w:val="single"/>
        </w:rPr>
      </w:pPr>
      <w:r>
        <w:rPr>
          <w:color w:val="auto"/>
          <w:szCs w:val="21"/>
          <w:highlight w:val="none"/>
        </w:rPr>
        <w:t>竣工付款申请单的内容：</w:t>
      </w:r>
      <w:bookmarkEnd w:id="3164"/>
      <w:r>
        <w:rPr>
          <w:color w:val="auto"/>
          <w:szCs w:val="21"/>
          <w:highlight w:val="none"/>
          <w:u w:val="single"/>
        </w:rPr>
        <w:t xml:space="preserve">                                                              </w:t>
      </w:r>
    </w:p>
    <w:p w14:paraId="469C8C35">
      <w:pPr>
        <w:pStyle w:val="7"/>
        <w:spacing w:before="159"/>
        <w:rPr>
          <w:color w:val="auto"/>
          <w:highlight w:val="none"/>
        </w:rPr>
      </w:pPr>
      <w:bookmarkStart w:id="3165" w:name="_Toc456173498"/>
      <w:bookmarkStart w:id="3166" w:name="_Toc221951268"/>
      <w:bookmarkStart w:id="3167" w:name="_Toc519085603"/>
      <w:bookmarkStart w:id="3168" w:name="_Toc26413"/>
      <w:r>
        <w:rPr>
          <w:color w:val="auto"/>
          <w:highlight w:val="none"/>
        </w:rPr>
        <w:t>17.6 最终结清</w:t>
      </w:r>
      <w:bookmarkEnd w:id="3165"/>
      <w:bookmarkEnd w:id="3166"/>
      <w:bookmarkEnd w:id="3167"/>
      <w:bookmarkEnd w:id="3168"/>
    </w:p>
    <w:p w14:paraId="07BDFEC9">
      <w:pPr>
        <w:spacing w:line="360" w:lineRule="auto"/>
        <w:ind w:right="248" w:firstLine="480"/>
        <w:rPr>
          <w:color w:val="auto"/>
          <w:highlight w:val="none"/>
        </w:rPr>
      </w:pPr>
      <w:bookmarkStart w:id="3169" w:name="_Toc221951269"/>
      <w:r>
        <w:rPr>
          <w:color w:val="auto"/>
          <w:highlight w:val="none"/>
        </w:rPr>
        <w:t>17.6.1  最终结清申请单</w:t>
      </w:r>
      <w:bookmarkEnd w:id="3169"/>
    </w:p>
    <w:p w14:paraId="2705AA3E">
      <w:pPr>
        <w:spacing w:line="360" w:lineRule="auto"/>
        <w:ind w:right="248" w:firstLine="480"/>
        <w:rPr>
          <w:color w:val="auto"/>
          <w:szCs w:val="21"/>
          <w:highlight w:val="none"/>
          <w:u w:val="single"/>
        </w:rPr>
      </w:pPr>
      <w:r>
        <w:rPr>
          <w:rFonts w:hAnsi="宋体"/>
          <w:color w:val="auto"/>
          <w:szCs w:val="21"/>
          <w:highlight w:val="none"/>
        </w:rPr>
        <w:t>最终结清申请单提交的份数及期限：</w:t>
      </w:r>
      <w:r>
        <w:rPr>
          <w:color w:val="auto"/>
          <w:szCs w:val="21"/>
          <w:highlight w:val="none"/>
          <w:u w:val="single"/>
        </w:rPr>
        <w:t xml:space="preserve">                                                 </w:t>
      </w:r>
    </w:p>
    <w:p w14:paraId="7D01F672">
      <w:pPr>
        <w:pStyle w:val="6"/>
        <w:spacing w:before="63"/>
        <w:rPr>
          <w:color w:val="auto"/>
          <w:highlight w:val="none"/>
        </w:rPr>
      </w:pPr>
      <w:bookmarkStart w:id="3170" w:name="_Toc229305399"/>
      <w:bookmarkStart w:id="3171" w:name="_Toc222033892"/>
      <w:bookmarkStart w:id="3172" w:name="_Toc1892"/>
      <w:bookmarkStart w:id="3173" w:name="_Toc221951271"/>
      <w:bookmarkStart w:id="3174" w:name="_Toc222032710"/>
      <w:bookmarkStart w:id="3175" w:name="_Toc1689"/>
      <w:bookmarkStart w:id="3176" w:name="_Toc222031043"/>
      <w:bookmarkStart w:id="3177" w:name="_Toc222029541"/>
      <w:bookmarkStart w:id="3178" w:name="_Toc456173500"/>
      <w:bookmarkStart w:id="3179" w:name="_Toc23107"/>
      <w:bookmarkStart w:id="3180" w:name="_Toc519085604"/>
      <w:r>
        <w:rPr>
          <w:color w:val="auto"/>
          <w:highlight w:val="none"/>
        </w:rPr>
        <w:t>18. 竣工试验和竣工验收</w:t>
      </w:r>
      <w:bookmarkEnd w:id="3170"/>
      <w:bookmarkEnd w:id="3171"/>
      <w:bookmarkEnd w:id="3172"/>
      <w:bookmarkEnd w:id="3173"/>
      <w:bookmarkEnd w:id="3174"/>
      <w:bookmarkEnd w:id="3175"/>
      <w:bookmarkEnd w:id="3176"/>
      <w:bookmarkEnd w:id="3177"/>
      <w:bookmarkEnd w:id="3178"/>
      <w:bookmarkEnd w:id="3179"/>
      <w:bookmarkEnd w:id="3180"/>
    </w:p>
    <w:p w14:paraId="7761B1CD">
      <w:pPr>
        <w:pStyle w:val="7"/>
        <w:spacing w:before="159"/>
        <w:rPr>
          <w:color w:val="auto"/>
          <w:highlight w:val="none"/>
        </w:rPr>
      </w:pPr>
      <w:bookmarkStart w:id="3181" w:name="_Toc221951272"/>
      <w:bookmarkStart w:id="3182" w:name="_Toc456173501"/>
      <w:bookmarkStart w:id="3183" w:name="_Toc11564"/>
      <w:bookmarkStart w:id="3184" w:name="_Toc519085605"/>
      <w:r>
        <w:rPr>
          <w:color w:val="auto"/>
          <w:highlight w:val="none"/>
        </w:rPr>
        <w:t>18.1</w:t>
      </w:r>
      <w:bookmarkEnd w:id="3181"/>
      <w:r>
        <w:rPr>
          <w:color w:val="auto"/>
          <w:highlight w:val="none"/>
        </w:rPr>
        <w:t xml:space="preserve"> </w:t>
      </w:r>
      <w:bookmarkEnd w:id="3182"/>
      <w:r>
        <w:rPr>
          <w:color w:val="auto"/>
          <w:highlight w:val="none"/>
        </w:rPr>
        <w:t>竣工试验</w:t>
      </w:r>
      <w:bookmarkEnd w:id="3183"/>
      <w:bookmarkEnd w:id="3184"/>
    </w:p>
    <w:p w14:paraId="48335B56">
      <w:pPr>
        <w:spacing w:line="360" w:lineRule="auto"/>
        <w:ind w:right="248" w:firstLine="480"/>
        <w:rPr>
          <w:color w:val="auto"/>
          <w:szCs w:val="21"/>
          <w:highlight w:val="none"/>
          <w:u w:val="single"/>
        </w:rPr>
      </w:pPr>
      <w:bookmarkStart w:id="3185" w:name="_Toc221951274"/>
      <w:r>
        <w:rPr>
          <w:color w:val="auto"/>
          <w:highlight w:val="none"/>
        </w:rPr>
        <w:t>18.1.2</w:t>
      </w:r>
      <w:r>
        <w:rPr>
          <w:color w:val="auto"/>
          <w:szCs w:val="21"/>
          <w:highlight w:val="none"/>
        </w:rPr>
        <w:t>竣工试验的约定：</w:t>
      </w:r>
      <w:r>
        <w:rPr>
          <w:color w:val="auto"/>
          <w:szCs w:val="21"/>
          <w:highlight w:val="none"/>
          <w:u w:val="single"/>
        </w:rPr>
        <w:t xml:space="preserve">                                                               </w:t>
      </w:r>
    </w:p>
    <w:p w14:paraId="7F71806A">
      <w:pPr>
        <w:pStyle w:val="7"/>
        <w:spacing w:before="159"/>
        <w:rPr>
          <w:color w:val="auto"/>
          <w:highlight w:val="none"/>
        </w:rPr>
      </w:pPr>
      <w:bookmarkStart w:id="3186" w:name="_Toc519085606"/>
      <w:bookmarkStart w:id="3187" w:name="_Toc456173503"/>
      <w:bookmarkStart w:id="3188" w:name="_Toc10470"/>
      <w:r>
        <w:rPr>
          <w:color w:val="auto"/>
          <w:highlight w:val="none"/>
        </w:rPr>
        <w:t>18.3 竣工验收</w:t>
      </w:r>
      <w:bookmarkEnd w:id="3186"/>
      <w:bookmarkEnd w:id="3187"/>
      <w:bookmarkEnd w:id="3188"/>
    </w:p>
    <w:p w14:paraId="27E345D9">
      <w:pPr>
        <w:ind w:firstLine="420" w:firstLineChars="200"/>
        <w:rPr>
          <w:color w:val="auto"/>
          <w:highlight w:val="none"/>
        </w:rPr>
      </w:pPr>
      <w:bookmarkStart w:id="3189" w:name="_Toc11661"/>
      <w:bookmarkStart w:id="3190" w:name="_Toc19285"/>
      <w:bookmarkStart w:id="3191" w:name="_Toc519085607"/>
      <w:r>
        <w:rPr>
          <w:color w:val="auto"/>
          <w:highlight w:val="none"/>
        </w:rPr>
        <w:t>18.3.5 实际竣工日期：</w:t>
      </w:r>
      <w:bookmarkEnd w:id="3189"/>
      <w:bookmarkEnd w:id="3190"/>
      <w:bookmarkEnd w:id="3191"/>
      <w:r>
        <w:rPr>
          <w:color w:val="auto"/>
          <w:highlight w:val="none"/>
        </w:rPr>
        <w:t xml:space="preserve">                                                            </w:t>
      </w:r>
    </w:p>
    <w:bookmarkEnd w:id="3185"/>
    <w:p w14:paraId="21720FA4">
      <w:pPr>
        <w:pStyle w:val="7"/>
        <w:spacing w:before="159"/>
        <w:rPr>
          <w:color w:val="auto"/>
          <w:highlight w:val="none"/>
        </w:rPr>
      </w:pPr>
      <w:bookmarkStart w:id="3192" w:name="_Toc519085608"/>
      <w:bookmarkStart w:id="3193" w:name="_Toc456173507"/>
      <w:bookmarkStart w:id="3194" w:name="_Toc30854"/>
      <w:r>
        <w:rPr>
          <w:color w:val="auto"/>
          <w:highlight w:val="none"/>
        </w:rPr>
        <w:t>18.6 施工期运行</w:t>
      </w:r>
      <w:bookmarkEnd w:id="3192"/>
      <w:bookmarkEnd w:id="3193"/>
      <w:bookmarkEnd w:id="3194"/>
    </w:p>
    <w:p w14:paraId="65E32E12">
      <w:pPr>
        <w:spacing w:line="360" w:lineRule="auto"/>
        <w:ind w:right="248" w:firstLine="420" w:firstLineChars="200"/>
        <w:rPr>
          <w:color w:val="auto"/>
          <w:szCs w:val="21"/>
          <w:highlight w:val="none"/>
          <w:u w:val="single"/>
        </w:rPr>
      </w:pPr>
      <w:r>
        <w:rPr>
          <w:color w:val="auto"/>
          <w:highlight w:val="none"/>
        </w:rPr>
        <w:t>18.6.1</w:t>
      </w:r>
      <w:r>
        <w:rPr>
          <w:color w:val="auto"/>
          <w:szCs w:val="21"/>
          <w:highlight w:val="none"/>
        </w:rPr>
        <w:t>需要在施工期运行的单位工程或工程设备为：</w:t>
      </w:r>
      <w:r>
        <w:rPr>
          <w:color w:val="auto"/>
          <w:szCs w:val="21"/>
          <w:highlight w:val="none"/>
          <w:u w:val="single"/>
        </w:rPr>
        <w:t xml:space="preserve">                                    </w:t>
      </w:r>
    </w:p>
    <w:p w14:paraId="489B40AF">
      <w:pPr>
        <w:pStyle w:val="99"/>
        <w:spacing w:line="360" w:lineRule="auto"/>
        <w:ind w:firstLine="420" w:firstLineChars="200"/>
        <w:rPr>
          <w:rFonts w:ascii="Times New Roman" w:hAnsi="Times New Roman"/>
          <w:color w:val="auto"/>
          <w:highlight w:val="none"/>
        </w:rPr>
      </w:pPr>
      <w:bookmarkStart w:id="3195" w:name="_Toc456173508"/>
      <w:r>
        <w:rPr>
          <w:rFonts w:ascii="Times New Roman" w:hAnsi="Times New Roman"/>
          <w:color w:val="auto"/>
          <w:highlight w:val="none"/>
        </w:rPr>
        <w:t xml:space="preserve">18.9 </w:t>
      </w:r>
      <w:bookmarkEnd w:id="3195"/>
      <w:r>
        <w:rPr>
          <w:rFonts w:ascii="Times New Roman"/>
          <w:color w:val="auto"/>
          <w:highlight w:val="none"/>
        </w:rPr>
        <w:t>竣工后试验</w:t>
      </w:r>
    </w:p>
    <w:p w14:paraId="20C97694">
      <w:pPr>
        <w:pStyle w:val="99"/>
        <w:spacing w:line="360" w:lineRule="auto"/>
        <w:ind w:firstLine="420" w:firstLineChars="200"/>
        <w:rPr>
          <w:rFonts w:ascii="Times New Roman" w:hAnsi="Times New Roman"/>
          <w:color w:val="auto"/>
          <w:szCs w:val="21"/>
          <w:highlight w:val="none"/>
        </w:rPr>
      </w:pPr>
      <w:r>
        <w:rPr>
          <w:rFonts w:ascii="Times New Roman" w:hAnsi="宋体"/>
          <w:color w:val="auto"/>
          <w:szCs w:val="21"/>
          <w:highlight w:val="none"/>
        </w:rPr>
        <w:t>适用通用条款中的</w:t>
      </w:r>
      <w:r>
        <w:rPr>
          <w:rFonts w:ascii="Times New Roman" w:hAnsi="Times New Roman"/>
          <w:color w:val="auto"/>
          <w:szCs w:val="21"/>
          <w:highlight w:val="none"/>
        </w:rPr>
        <w:t xml:space="preserve">        </w:t>
      </w:r>
      <w:r>
        <w:rPr>
          <w:rFonts w:ascii="Times New Roman" w:hAnsi="宋体"/>
          <w:color w:val="auto"/>
          <w:szCs w:val="21"/>
          <w:highlight w:val="none"/>
        </w:rPr>
        <w:t>条款，其他要求：</w:t>
      </w:r>
      <w:r>
        <w:rPr>
          <w:rFonts w:ascii="Times New Roman" w:hAnsi="Times New Roman"/>
          <w:color w:val="auto"/>
          <w:szCs w:val="21"/>
          <w:highlight w:val="none"/>
        </w:rPr>
        <w:t xml:space="preserve">                              </w:t>
      </w:r>
    </w:p>
    <w:p w14:paraId="4D822434">
      <w:pPr>
        <w:pStyle w:val="6"/>
        <w:spacing w:before="63"/>
        <w:rPr>
          <w:color w:val="auto"/>
          <w:highlight w:val="none"/>
        </w:rPr>
      </w:pPr>
      <w:bookmarkStart w:id="3196" w:name="_Toc456173509"/>
      <w:bookmarkStart w:id="3197" w:name="_Toc519085609"/>
      <w:bookmarkStart w:id="3198" w:name="_Toc2940"/>
      <w:bookmarkStart w:id="3199" w:name="_Toc3183"/>
      <w:bookmarkStart w:id="3200" w:name="_Toc19141"/>
      <w:r>
        <w:rPr>
          <w:color w:val="auto"/>
          <w:highlight w:val="none"/>
        </w:rPr>
        <w:t>19. 缺陷责任与保修责任</w:t>
      </w:r>
      <w:bookmarkEnd w:id="3196"/>
      <w:bookmarkEnd w:id="3197"/>
      <w:bookmarkEnd w:id="3198"/>
      <w:bookmarkEnd w:id="3199"/>
      <w:bookmarkEnd w:id="3200"/>
    </w:p>
    <w:p w14:paraId="3A47CFE7">
      <w:pPr>
        <w:pStyle w:val="7"/>
        <w:spacing w:before="159"/>
        <w:rPr>
          <w:color w:val="auto"/>
          <w:highlight w:val="none"/>
        </w:rPr>
      </w:pPr>
      <w:bookmarkStart w:id="3201" w:name="_Toc15081"/>
      <w:bookmarkStart w:id="3202" w:name="_Toc519085610"/>
      <w:r>
        <w:rPr>
          <w:color w:val="auto"/>
          <w:highlight w:val="none"/>
        </w:rPr>
        <w:t>19.7 保修责任</w:t>
      </w:r>
      <w:bookmarkEnd w:id="3201"/>
      <w:bookmarkEnd w:id="3202"/>
    </w:p>
    <w:p w14:paraId="6BC1D050">
      <w:pPr>
        <w:pStyle w:val="99"/>
        <w:spacing w:line="360" w:lineRule="auto"/>
        <w:ind w:firstLine="420" w:firstLineChars="200"/>
        <w:rPr>
          <w:rFonts w:ascii="Times New Roman" w:hAnsi="Times New Roman"/>
          <w:color w:val="auto"/>
          <w:szCs w:val="21"/>
          <w:highlight w:val="none"/>
          <w:u w:val="single"/>
        </w:rPr>
      </w:pPr>
      <w:bookmarkStart w:id="3203" w:name="_Toc221951299"/>
      <w:bookmarkStart w:id="3204" w:name="_Toc222029542"/>
      <w:bookmarkStart w:id="3205" w:name="_Toc222033893"/>
      <w:bookmarkStart w:id="3206" w:name="_Toc222032711"/>
      <w:bookmarkStart w:id="3207" w:name="_Toc222031044"/>
      <w:bookmarkStart w:id="3208" w:name="_Toc456173511"/>
      <w:bookmarkStart w:id="3209" w:name="_Toc229305400"/>
      <w:r>
        <w:rPr>
          <w:rFonts w:ascii="Times New Roman" w:hAnsi="Times New Roman"/>
          <w:color w:val="auto"/>
          <w:szCs w:val="21"/>
          <w:highlight w:val="none"/>
        </w:rPr>
        <w:t>(1)</w:t>
      </w:r>
      <w:r>
        <w:rPr>
          <w:rFonts w:ascii="Times New Roman" w:hAnsi="宋体"/>
          <w:color w:val="auto"/>
          <w:szCs w:val="21"/>
          <w:highlight w:val="none"/>
        </w:rPr>
        <w:t>工程质量保修范围：</w:t>
      </w:r>
      <w:r>
        <w:rPr>
          <w:rFonts w:ascii="Times New Roman" w:hAnsi="Times New Roman"/>
          <w:color w:val="auto"/>
          <w:szCs w:val="21"/>
          <w:highlight w:val="none"/>
          <w:u w:val="single"/>
        </w:rPr>
        <w:t xml:space="preserve">                                                             </w:t>
      </w:r>
    </w:p>
    <w:p w14:paraId="0374E5EA">
      <w:pPr>
        <w:pStyle w:val="99"/>
        <w:spacing w:line="360" w:lineRule="auto"/>
        <w:ind w:firstLine="420" w:firstLineChars="200"/>
        <w:rPr>
          <w:rFonts w:ascii="Times New Roman" w:hAnsi="Times New Roman"/>
          <w:color w:val="auto"/>
          <w:szCs w:val="21"/>
          <w:highlight w:val="none"/>
          <w:u w:val="single"/>
        </w:rPr>
      </w:pPr>
      <w:r>
        <w:rPr>
          <w:rFonts w:ascii="Times New Roman" w:hAnsi="Times New Roman"/>
          <w:color w:val="auto"/>
          <w:szCs w:val="21"/>
          <w:highlight w:val="none"/>
        </w:rPr>
        <w:t>(2)</w:t>
      </w:r>
      <w:r>
        <w:rPr>
          <w:rFonts w:ascii="Times New Roman" w:hAnsi="宋体"/>
          <w:color w:val="auto"/>
          <w:szCs w:val="21"/>
          <w:highlight w:val="none"/>
        </w:rPr>
        <w:t>工程质量保修期限：</w:t>
      </w:r>
      <w:r>
        <w:rPr>
          <w:rFonts w:ascii="Times New Roman" w:hAnsi="Times New Roman"/>
          <w:color w:val="auto"/>
          <w:szCs w:val="21"/>
          <w:highlight w:val="none"/>
          <w:u w:val="single"/>
        </w:rPr>
        <w:t xml:space="preserve">                                                             </w:t>
      </w:r>
    </w:p>
    <w:p w14:paraId="1AB47687">
      <w:pPr>
        <w:pStyle w:val="99"/>
        <w:spacing w:line="360" w:lineRule="auto"/>
        <w:ind w:firstLine="420" w:firstLineChars="200"/>
        <w:rPr>
          <w:rFonts w:ascii="Times New Roman" w:hAnsi="Times New Roman"/>
          <w:color w:val="auto"/>
          <w:szCs w:val="21"/>
          <w:highlight w:val="none"/>
          <w:u w:val="single"/>
        </w:rPr>
      </w:pPr>
      <w:r>
        <w:rPr>
          <w:rFonts w:ascii="Times New Roman" w:hAnsi="Times New Roman"/>
          <w:color w:val="auto"/>
          <w:szCs w:val="21"/>
          <w:highlight w:val="none"/>
        </w:rPr>
        <w:t>(3)</w:t>
      </w:r>
      <w:r>
        <w:rPr>
          <w:rFonts w:ascii="Times New Roman" w:hAnsi="宋体"/>
          <w:color w:val="auto"/>
          <w:szCs w:val="21"/>
          <w:highlight w:val="none"/>
        </w:rPr>
        <w:t>工程质量保修责任：</w:t>
      </w:r>
      <w:r>
        <w:rPr>
          <w:rFonts w:ascii="Times New Roman" w:hAnsi="Times New Roman"/>
          <w:color w:val="auto"/>
          <w:szCs w:val="21"/>
          <w:highlight w:val="none"/>
          <w:u w:val="single"/>
        </w:rPr>
        <w:t xml:space="preserve">                                                             </w:t>
      </w:r>
    </w:p>
    <w:p w14:paraId="2C6FF9FE">
      <w:pPr>
        <w:pStyle w:val="99"/>
        <w:spacing w:line="360" w:lineRule="auto"/>
        <w:ind w:firstLine="420" w:firstLineChars="200"/>
        <w:rPr>
          <w:rFonts w:ascii="Times New Roman" w:hAnsi="Times New Roman"/>
          <w:color w:val="auto"/>
          <w:szCs w:val="21"/>
          <w:highlight w:val="none"/>
        </w:rPr>
      </w:pPr>
      <w:r>
        <w:rPr>
          <w:rFonts w:ascii="Times New Roman" w:hAnsi="宋体"/>
          <w:color w:val="auto"/>
          <w:szCs w:val="21"/>
          <w:highlight w:val="none"/>
        </w:rPr>
        <w:t>质量保修书是竣工验收申请报告的组成内容。承包人应当按照有关法律法规规定和合同所附的格式出具质量保修书，质量保修书的主要内容应当与本款上述约定内容一致。承包人在递交合同条款第</w:t>
      </w:r>
      <w:r>
        <w:rPr>
          <w:rFonts w:ascii="Times New Roman" w:hAnsi="Times New Roman"/>
          <w:color w:val="auto"/>
          <w:szCs w:val="21"/>
          <w:highlight w:val="none"/>
        </w:rPr>
        <w:t>18.2</w:t>
      </w:r>
      <w:r>
        <w:rPr>
          <w:rFonts w:ascii="Times New Roman" w:hAnsi="宋体"/>
          <w:color w:val="auto"/>
          <w:szCs w:val="21"/>
          <w:highlight w:val="none"/>
        </w:rPr>
        <w:t>款约定的竣工验收报告的同时，将质量保修书一并报送监理人。</w:t>
      </w:r>
    </w:p>
    <w:p w14:paraId="28EBE029">
      <w:pPr>
        <w:pStyle w:val="6"/>
        <w:spacing w:before="63"/>
        <w:rPr>
          <w:color w:val="auto"/>
          <w:highlight w:val="none"/>
        </w:rPr>
      </w:pPr>
      <w:bookmarkStart w:id="3210" w:name="_Toc26598"/>
      <w:bookmarkStart w:id="3211" w:name="_Toc519085611"/>
      <w:bookmarkStart w:id="3212" w:name="_Toc31463"/>
      <w:bookmarkStart w:id="3213" w:name="_Toc20221"/>
      <w:r>
        <w:rPr>
          <w:color w:val="auto"/>
          <w:highlight w:val="none"/>
        </w:rPr>
        <w:t>20. 保险</w:t>
      </w:r>
      <w:bookmarkEnd w:id="3203"/>
      <w:bookmarkEnd w:id="3204"/>
      <w:bookmarkEnd w:id="3205"/>
      <w:bookmarkEnd w:id="3206"/>
      <w:bookmarkEnd w:id="3207"/>
      <w:bookmarkEnd w:id="3208"/>
      <w:bookmarkEnd w:id="3209"/>
      <w:bookmarkEnd w:id="3210"/>
      <w:bookmarkEnd w:id="3211"/>
      <w:bookmarkEnd w:id="3212"/>
      <w:bookmarkEnd w:id="3213"/>
    </w:p>
    <w:p w14:paraId="18C5C4D8">
      <w:pPr>
        <w:pStyle w:val="7"/>
        <w:spacing w:before="159"/>
        <w:rPr>
          <w:color w:val="auto"/>
          <w:highlight w:val="none"/>
        </w:rPr>
      </w:pPr>
      <w:bookmarkStart w:id="3214" w:name="_Toc519085612"/>
      <w:bookmarkStart w:id="3215" w:name="_Toc221951321"/>
      <w:bookmarkStart w:id="3216" w:name="_Toc456173512"/>
      <w:bookmarkStart w:id="3217" w:name="_Toc4760"/>
      <w:r>
        <w:rPr>
          <w:color w:val="auto"/>
          <w:highlight w:val="none"/>
        </w:rPr>
        <w:t>20.1 设计和工程保险</w:t>
      </w:r>
      <w:bookmarkEnd w:id="3214"/>
      <w:bookmarkEnd w:id="3215"/>
      <w:bookmarkEnd w:id="3216"/>
      <w:bookmarkEnd w:id="3217"/>
    </w:p>
    <w:p w14:paraId="17DF5997">
      <w:pPr>
        <w:spacing w:line="360" w:lineRule="auto"/>
        <w:ind w:firstLine="420" w:firstLineChars="200"/>
        <w:rPr>
          <w:color w:val="auto"/>
          <w:szCs w:val="21"/>
          <w:highlight w:val="none"/>
        </w:rPr>
      </w:pPr>
      <w:bookmarkStart w:id="3218" w:name="_Toc221951323"/>
      <w:r>
        <w:rPr>
          <w:color w:val="auto"/>
          <w:highlight w:val="none"/>
        </w:rPr>
        <w:t>20.1.1</w:t>
      </w:r>
      <w:r>
        <w:rPr>
          <w:color w:val="auto"/>
          <w:szCs w:val="21"/>
          <w:highlight w:val="none"/>
        </w:rPr>
        <w:t>建设工程设计责任险、建筑工程一切险和（或）安装工程一切险投保人：</w:t>
      </w:r>
      <w:r>
        <w:rPr>
          <w:color w:val="auto"/>
          <w:szCs w:val="21"/>
          <w:highlight w:val="none"/>
          <w:u w:val="single"/>
        </w:rPr>
        <w:t xml:space="preserve">               </w:t>
      </w:r>
    </w:p>
    <w:p w14:paraId="5C144155">
      <w:pPr>
        <w:spacing w:line="360" w:lineRule="auto"/>
        <w:ind w:firstLine="420" w:firstLineChars="200"/>
        <w:rPr>
          <w:color w:val="auto"/>
          <w:szCs w:val="21"/>
          <w:highlight w:val="none"/>
        </w:rPr>
      </w:pPr>
      <w:r>
        <w:rPr>
          <w:color w:val="auto"/>
          <w:szCs w:val="21"/>
          <w:highlight w:val="none"/>
        </w:rPr>
        <w:t>投保内容：</w:t>
      </w:r>
      <w:r>
        <w:rPr>
          <w:color w:val="auto"/>
          <w:szCs w:val="21"/>
          <w:highlight w:val="none"/>
          <w:u w:val="single"/>
        </w:rPr>
        <w:t xml:space="preserve">                                                                           </w:t>
      </w:r>
    </w:p>
    <w:p w14:paraId="37EC8D79">
      <w:pPr>
        <w:spacing w:line="360" w:lineRule="auto"/>
        <w:ind w:firstLine="420" w:firstLineChars="200"/>
        <w:rPr>
          <w:color w:val="auto"/>
          <w:szCs w:val="21"/>
          <w:highlight w:val="none"/>
        </w:rPr>
      </w:pPr>
      <w:r>
        <w:rPr>
          <w:color w:val="auto"/>
          <w:szCs w:val="21"/>
          <w:highlight w:val="none"/>
        </w:rPr>
        <w:t>保险金额、保险费率和保险期限：</w:t>
      </w:r>
      <w:r>
        <w:rPr>
          <w:color w:val="auto"/>
          <w:szCs w:val="21"/>
          <w:highlight w:val="none"/>
          <w:u w:val="single"/>
        </w:rPr>
        <w:t xml:space="preserve">                                                       </w:t>
      </w:r>
    </w:p>
    <w:bookmarkEnd w:id="3218"/>
    <w:p w14:paraId="77095AFA">
      <w:pPr>
        <w:pStyle w:val="7"/>
        <w:spacing w:before="159"/>
        <w:rPr>
          <w:color w:val="auto"/>
          <w:highlight w:val="none"/>
        </w:rPr>
      </w:pPr>
      <w:bookmarkStart w:id="3219" w:name="_Toc4916"/>
      <w:bookmarkStart w:id="3220" w:name="_Toc519085613"/>
      <w:bookmarkStart w:id="3221" w:name="_Toc456173515"/>
      <w:bookmarkStart w:id="3222" w:name="_Toc222029543"/>
      <w:bookmarkStart w:id="3223" w:name="_Toc222033894"/>
      <w:bookmarkStart w:id="3224" w:name="_Toc222031045"/>
      <w:bookmarkStart w:id="3225" w:name="_Toc229305401"/>
      <w:bookmarkStart w:id="3226" w:name="_Toc221951334"/>
      <w:bookmarkStart w:id="3227" w:name="_Toc222032712"/>
      <w:r>
        <w:rPr>
          <w:color w:val="auto"/>
          <w:highlight w:val="none"/>
        </w:rPr>
        <w:t>20.4 其他保险</w:t>
      </w:r>
      <w:bookmarkEnd w:id="3219"/>
      <w:bookmarkEnd w:id="3220"/>
      <w:bookmarkEnd w:id="3221"/>
    </w:p>
    <w:p w14:paraId="14D8B48D">
      <w:pPr>
        <w:spacing w:line="360" w:lineRule="auto"/>
        <w:ind w:firstLine="420" w:firstLineChars="200"/>
        <w:rPr>
          <w:color w:val="auto"/>
          <w:highlight w:val="none"/>
        </w:rPr>
      </w:pPr>
      <w:r>
        <w:rPr>
          <w:color w:val="auto"/>
          <w:highlight w:val="none"/>
        </w:rPr>
        <w:t xml:space="preserve">需要投保的其他内容：                                                                </w:t>
      </w:r>
    </w:p>
    <w:p w14:paraId="56F84A62">
      <w:pPr>
        <w:spacing w:line="360" w:lineRule="auto"/>
        <w:ind w:firstLine="420" w:firstLineChars="200"/>
        <w:rPr>
          <w:color w:val="auto"/>
          <w:szCs w:val="21"/>
          <w:highlight w:val="none"/>
          <w:u w:val="single"/>
        </w:rPr>
      </w:pPr>
      <w:r>
        <w:rPr>
          <w:color w:val="auto"/>
          <w:highlight w:val="none"/>
        </w:rPr>
        <w:t xml:space="preserve">保险金额、保险费率和保险期限： </w:t>
      </w:r>
      <w:r>
        <w:rPr>
          <w:color w:val="auto"/>
          <w:szCs w:val="21"/>
          <w:highlight w:val="none"/>
          <w:u w:val="single"/>
        </w:rPr>
        <w:t xml:space="preserve">                                     </w:t>
      </w:r>
    </w:p>
    <w:p w14:paraId="5602F21F">
      <w:pPr>
        <w:pStyle w:val="7"/>
        <w:spacing w:before="159"/>
        <w:rPr>
          <w:color w:val="auto"/>
          <w:highlight w:val="none"/>
        </w:rPr>
      </w:pPr>
      <w:bookmarkStart w:id="3228" w:name="_Toc26461"/>
      <w:bookmarkStart w:id="3229" w:name="_Toc519085616"/>
      <w:r>
        <w:rPr>
          <w:color w:val="auto"/>
          <w:highlight w:val="none"/>
        </w:rPr>
        <w:t>21.1 不可抗力的确认</w:t>
      </w:r>
      <w:bookmarkEnd w:id="3228"/>
      <w:bookmarkEnd w:id="3229"/>
    </w:p>
    <w:p w14:paraId="61C2EF8F">
      <w:pPr>
        <w:spacing w:line="360" w:lineRule="auto"/>
        <w:ind w:firstLine="420" w:firstLineChars="200"/>
        <w:rPr>
          <w:color w:val="auto"/>
          <w:szCs w:val="21"/>
          <w:highlight w:val="none"/>
          <w:u w:val="single"/>
        </w:rPr>
      </w:pPr>
      <w:r>
        <w:rPr>
          <w:color w:val="auto"/>
          <w:highlight w:val="none"/>
        </w:rPr>
        <w:t>21.1.1不可抗力的其他情形：</w:t>
      </w:r>
      <w:r>
        <w:rPr>
          <w:color w:val="auto"/>
          <w:szCs w:val="21"/>
          <w:highlight w:val="none"/>
          <w:u w:val="single"/>
        </w:rPr>
        <w:t xml:space="preserve">                                               </w:t>
      </w:r>
    </w:p>
    <w:p w14:paraId="6F3059E4">
      <w:pPr>
        <w:pStyle w:val="7"/>
        <w:spacing w:before="159"/>
        <w:rPr>
          <w:color w:val="auto"/>
          <w:highlight w:val="none"/>
        </w:rPr>
      </w:pPr>
      <w:bookmarkStart w:id="3230" w:name="_Toc6714"/>
      <w:bookmarkStart w:id="3231" w:name="_Toc519085617"/>
      <w:bookmarkStart w:id="3232" w:name="_Toc456173516"/>
      <w:r>
        <w:rPr>
          <w:color w:val="auto"/>
          <w:highlight w:val="none"/>
        </w:rPr>
        <w:t>21.3 不可抗力后果及其处理</w:t>
      </w:r>
      <w:bookmarkEnd w:id="3230"/>
      <w:bookmarkEnd w:id="3231"/>
    </w:p>
    <w:p w14:paraId="313BDF71">
      <w:pPr>
        <w:spacing w:line="360" w:lineRule="auto"/>
        <w:ind w:firstLine="420" w:firstLineChars="200"/>
        <w:rPr>
          <w:color w:val="auto"/>
          <w:highlight w:val="none"/>
          <w:u w:val="single"/>
        </w:rPr>
      </w:pPr>
      <w:r>
        <w:rPr>
          <w:color w:val="auto"/>
          <w:highlight w:val="none"/>
        </w:rPr>
        <w:t>21.3.1不可抗力处理的原则：</w:t>
      </w:r>
      <w:r>
        <w:rPr>
          <w:color w:val="auto"/>
          <w:szCs w:val="21"/>
          <w:highlight w:val="none"/>
          <w:u w:val="single"/>
        </w:rPr>
        <w:t xml:space="preserve">                                              </w:t>
      </w:r>
    </w:p>
    <w:p w14:paraId="3E4410BF">
      <w:pPr>
        <w:pStyle w:val="7"/>
        <w:spacing w:before="159"/>
        <w:rPr>
          <w:color w:val="auto"/>
          <w:highlight w:val="none"/>
        </w:rPr>
      </w:pPr>
      <w:bookmarkStart w:id="3233" w:name="_Toc221951327"/>
      <w:bookmarkStart w:id="3234" w:name="_Toc456173513"/>
      <w:bookmarkStart w:id="3235" w:name="_Toc519085614"/>
      <w:bookmarkStart w:id="3236" w:name="_Toc3638"/>
      <w:bookmarkStart w:id="3237" w:name="_Toc30682"/>
      <w:bookmarkStart w:id="3238" w:name="_Toc3781"/>
      <w:bookmarkStart w:id="3239" w:name="_Toc10605"/>
      <w:bookmarkStart w:id="3240" w:name="_Toc519085618"/>
      <w:r>
        <w:rPr>
          <w:color w:val="auto"/>
          <w:highlight w:val="none"/>
        </w:rPr>
        <w:t>20.5 对各项保险的一般要求</w:t>
      </w:r>
      <w:bookmarkEnd w:id="3233"/>
      <w:bookmarkEnd w:id="3234"/>
      <w:bookmarkEnd w:id="3235"/>
      <w:bookmarkEnd w:id="3236"/>
    </w:p>
    <w:p w14:paraId="12E89D5C">
      <w:pPr>
        <w:pStyle w:val="7"/>
        <w:spacing w:before="159"/>
        <w:rPr>
          <w:color w:val="auto"/>
          <w:highlight w:val="none"/>
        </w:rPr>
      </w:pPr>
      <w:bookmarkStart w:id="3241" w:name="_Toc221951328"/>
      <w:bookmarkStart w:id="3242" w:name="_Toc3981185"/>
      <w:r>
        <w:rPr>
          <w:color w:val="auto"/>
          <w:highlight w:val="none"/>
        </w:rPr>
        <w:t>20.5.1  保险凭证</w:t>
      </w:r>
      <w:bookmarkEnd w:id="3241"/>
      <w:bookmarkEnd w:id="3242"/>
    </w:p>
    <w:p w14:paraId="64425582">
      <w:pPr>
        <w:rPr>
          <w:color w:val="auto"/>
          <w:highlight w:val="none"/>
        </w:rPr>
      </w:pPr>
      <w:bookmarkStart w:id="3243" w:name="_Toc221951329"/>
      <w:r>
        <w:rPr>
          <w:color w:val="auto"/>
          <w:highlight w:val="none"/>
        </w:rPr>
        <w:t xml:space="preserve">承包人提交保险凭证的期限：                                                          </w:t>
      </w:r>
      <w:bookmarkEnd w:id="3243"/>
    </w:p>
    <w:p w14:paraId="43B2107E">
      <w:pPr>
        <w:rPr>
          <w:color w:val="auto"/>
          <w:highlight w:val="none"/>
        </w:rPr>
      </w:pPr>
      <w:bookmarkStart w:id="3244" w:name="_Toc221951330"/>
      <w:r>
        <w:rPr>
          <w:color w:val="auto"/>
          <w:highlight w:val="none"/>
        </w:rPr>
        <w:t xml:space="preserve">保险条件：                                                                           </w:t>
      </w:r>
      <w:bookmarkEnd w:id="3244"/>
    </w:p>
    <w:p w14:paraId="204179E0">
      <w:pPr>
        <w:pStyle w:val="7"/>
        <w:spacing w:before="159"/>
        <w:rPr>
          <w:color w:val="auto"/>
          <w:highlight w:val="none"/>
        </w:rPr>
      </w:pPr>
      <w:bookmarkStart w:id="3245" w:name="_Toc221951331"/>
      <w:bookmarkStart w:id="3246" w:name="_Toc3981186"/>
      <w:r>
        <w:rPr>
          <w:color w:val="auto"/>
          <w:highlight w:val="none"/>
        </w:rPr>
        <w:t>20.6.4  保险金不足的补偿</w:t>
      </w:r>
      <w:bookmarkEnd w:id="3245"/>
      <w:bookmarkEnd w:id="3246"/>
    </w:p>
    <w:p w14:paraId="104D9ADE">
      <w:pPr>
        <w:rPr>
          <w:color w:val="auto"/>
          <w:highlight w:val="none"/>
        </w:rPr>
      </w:pPr>
      <w:bookmarkStart w:id="3247" w:name="_Toc221951332"/>
      <w:r>
        <w:rPr>
          <w:color w:val="auto"/>
          <w:highlight w:val="none"/>
        </w:rPr>
        <w:t>承包人负责补偿的范围与金额：</w:t>
      </w:r>
      <w:bookmarkEnd w:id="3247"/>
      <w:r>
        <w:rPr>
          <w:color w:val="auto"/>
          <w:highlight w:val="none"/>
        </w:rPr>
        <w:t xml:space="preserve">                                                        </w:t>
      </w:r>
    </w:p>
    <w:p w14:paraId="7E79E02C">
      <w:pPr>
        <w:rPr>
          <w:color w:val="auto"/>
          <w:highlight w:val="none"/>
        </w:rPr>
      </w:pPr>
      <w:r>
        <w:rPr>
          <w:color w:val="auto"/>
          <w:highlight w:val="none"/>
        </w:rPr>
        <w:t xml:space="preserve">发包人负责补偿的范围与金额：                                              </w:t>
      </w:r>
    </w:p>
    <w:p w14:paraId="414B9C38">
      <w:pPr>
        <w:pStyle w:val="6"/>
        <w:spacing w:before="63"/>
        <w:rPr>
          <w:color w:val="auto"/>
          <w:highlight w:val="none"/>
        </w:rPr>
      </w:pPr>
      <w:bookmarkStart w:id="3248" w:name="_Toc27104"/>
      <w:bookmarkStart w:id="3249" w:name="_Toc27099"/>
      <w:bookmarkStart w:id="3250" w:name="_Toc23951"/>
      <w:bookmarkStart w:id="3251" w:name="_Toc519085615"/>
      <w:r>
        <w:rPr>
          <w:color w:val="auto"/>
          <w:highlight w:val="none"/>
        </w:rPr>
        <w:t>21. 不可抗力</w:t>
      </w:r>
      <w:bookmarkEnd w:id="3248"/>
      <w:bookmarkEnd w:id="3249"/>
      <w:bookmarkEnd w:id="3250"/>
      <w:bookmarkEnd w:id="3251"/>
    </w:p>
    <w:p w14:paraId="699BB9B4">
      <w:pPr>
        <w:pStyle w:val="6"/>
        <w:spacing w:before="63"/>
        <w:rPr>
          <w:color w:val="auto"/>
          <w:highlight w:val="none"/>
        </w:rPr>
      </w:pPr>
      <w:r>
        <w:rPr>
          <w:color w:val="auto"/>
          <w:highlight w:val="none"/>
        </w:rPr>
        <w:t>24. 争议的解决</w:t>
      </w:r>
      <w:bookmarkEnd w:id="3222"/>
      <w:bookmarkEnd w:id="3223"/>
      <w:bookmarkEnd w:id="3224"/>
      <w:bookmarkEnd w:id="3225"/>
      <w:bookmarkEnd w:id="3226"/>
      <w:bookmarkEnd w:id="3227"/>
      <w:bookmarkEnd w:id="3232"/>
      <w:bookmarkEnd w:id="3237"/>
      <w:bookmarkEnd w:id="3238"/>
      <w:bookmarkEnd w:id="3239"/>
      <w:bookmarkEnd w:id="3240"/>
    </w:p>
    <w:p w14:paraId="401B9D98">
      <w:pPr>
        <w:pStyle w:val="7"/>
        <w:spacing w:before="159"/>
        <w:rPr>
          <w:color w:val="auto"/>
          <w:highlight w:val="none"/>
        </w:rPr>
      </w:pPr>
      <w:bookmarkStart w:id="3252" w:name="_Toc519085619"/>
      <w:bookmarkStart w:id="3253" w:name="_Toc456173517"/>
      <w:bookmarkStart w:id="3254" w:name="_Toc18081"/>
      <w:bookmarkStart w:id="3255" w:name="_Toc221951335"/>
      <w:r>
        <w:rPr>
          <w:color w:val="auto"/>
          <w:highlight w:val="none"/>
        </w:rPr>
        <w:t>24.1 争议的解决方式</w:t>
      </w:r>
      <w:bookmarkEnd w:id="3252"/>
      <w:bookmarkEnd w:id="3253"/>
      <w:bookmarkEnd w:id="3254"/>
    </w:p>
    <w:p w14:paraId="4C8EFB34">
      <w:pPr>
        <w:spacing w:line="360" w:lineRule="auto"/>
        <w:ind w:left="120" w:leftChars="57" w:right="248" w:firstLine="420" w:firstLineChars="200"/>
        <w:rPr>
          <w:color w:val="auto"/>
          <w:highlight w:val="none"/>
        </w:rPr>
      </w:pPr>
      <w:r>
        <w:rPr>
          <w:color w:val="auto"/>
          <w:szCs w:val="21"/>
          <w:highlight w:val="none"/>
        </w:rPr>
        <w:t>合同当事人友好协商解决不成、不愿提请争议评审或不接受争议评审组意见的，约定的合同争议解决方式 ：</w:t>
      </w:r>
      <w:r>
        <w:rPr>
          <w:color w:val="auto"/>
          <w:highlight w:val="none"/>
          <w:u w:val="single"/>
        </w:rPr>
        <w:t xml:space="preserve">                                       </w:t>
      </w:r>
      <w:r>
        <w:rPr>
          <w:color w:val="auto"/>
          <w:highlight w:val="none"/>
        </w:rPr>
        <w:t xml:space="preserve"> </w:t>
      </w:r>
      <w:bookmarkEnd w:id="3255"/>
      <w:r>
        <w:rPr>
          <w:color w:val="auto"/>
          <w:highlight w:val="none"/>
        </w:rPr>
        <w:t>　　　　　　　　　　　　　　　　　　　</w:t>
      </w:r>
    </w:p>
    <w:p w14:paraId="57BAD8A0">
      <w:pPr>
        <w:pStyle w:val="7"/>
        <w:spacing w:before="159"/>
        <w:rPr>
          <w:color w:val="auto"/>
          <w:highlight w:val="none"/>
        </w:rPr>
      </w:pPr>
      <w:bookmarkStart w:id="3256" w:name="_Toc519085620"/>
      <w:bookmarkStart w:id="3257" w:name="_Toc2054"/>
      <w:r>
        <w:rPr>
          <w:color w:val="auto"/>
          <w:highlight w:val="none"/>
        </w:rPr>
        <w:t>24.3 争议评审</w:t>
      </w:r>
      <w:bookmarkEnd w:id="3256"/>
      <w:bookmarkEnd w:id="3257"/>
    </w:p>
    <w:p w14:paraId="631D269A">
      <w:pPr>
        <w:spacing w:line="360" w:lineRule="auto"/>
        <w:rPr>
          <w:color w:val="auto"/>
          <w:szCs w:val="21"/>
          <w:highlight w:val="none"/>
          <w:u w:val="single"/>
        </w:rPr>
      </w:pPr>
      <w:r>
        <w:rPr>
          <w:color w:val="auto"/>
          <w:highlight w:val="none"/>
        </w:rPr>
        <w:t xml:space="preserve">      24.3.4</w:t>
      </w:r>
      <w:r>
        <w:rPr>
          <w:color w:val="auto"/>
          <w:szCs w:val="21"/>
          <w:highlight w:val="none"/>
        </w:rPr>
        <w:t>调查会的约定：</w:t>
      </w:r>
      <w:r>
        <w:rPr>
          <w:color w:val="auto"/>
          <w:szCs w:val="21"/>
          <w:highlight w:val="none"/>
          <w:u w:val="single"/>
        </w:rPr>
        <w:t xml:space="preserve">                                                           </w:t>
      </w:r>
    </w:p>
    <w:p w14:paraId="4A4D0854">
      <w:pPr>
        <w:ind w:firstLine="630" w:firstLineChars="300"/>
        <w:rPr>
          <w:rFonts w:hint="eastAsia"/>
          <w:color w:val="auto"/>
          <w:highlight w:val="none"/>
          <w:u w:val="single"/>
        </w:rPr>
      </w:pPr>
      <w:bookmarkStart w:id="3258" w:name="_Toc19588"/>
      <w:r>
        <w:rPr>
          <w:color w:val="auto"/>
          <w:highlight w:val="none"/>
        </w:rPr>
        <w:t>24.3.5 评审意见的约定：</w:t>
      </w:r>
      <w:bookmarkEnd w:id="3258"/>
      <w:r>
        <w:rPr>
          <w:color w:val="auto"/>
          <w:highlight w:val="none"/>
          <w:u w:val="single"/>
        </w:rPr>
        <w:t xml:space="preserve">                </w:t>
      </w:r>
      <w:r>
        <w:rPr>
          <w:rFonts w:hint="eastAsia"/>
          <w:color w:val="auto"/>
          <w:highlight w:val="none"/>
          <w:u w:val="single"/>
        </w:rPr>
        <w:t xml:space="preserve">                                         </w:t>
      </w:r>
    </w:p>
    <w:p w14:paraId="3082ACA0">
      <w:pPr>
        <w:rPr>
          <w:rFonts w:hint="eastAsia"/>
          <w:color w:val="auto"/>
          <w:highlight w:val="none"/>
        </w:rPr>
      </w:pPr>
      <w:r>
        <w:rPr>
          <w:color w:val="auto"/>
          <w:highlight w:val="none"/>
        </w:rPr>
        <w:br w:type="page"/>
      </w:r>
    </w:p>
    <w:p w14:paraId="7C543CA4">
      <w:pPr>
        <w:rPr>
          <w:rFonts w:hint="eastAsia"/>
          <w:color w:val="auto"/>
          <w:highlight w:val="none"/>
        </w:rPr>
      </w:pPr>
    </w:p>
    <w:p w14:paraId="39C5062D">
      <w:pPr>
        <w:rPr>
          <w:rFonts w:hint="eastAsia"/>
          <w:color w:val="auto"/>
          <w:highlight w:val="none"/>
        </w:rPr>
      </w:pPr>
    </w:p>
    <w:p w14:paraId="5DA28724">
      <w:pPr>
        <w:rPr>
          <w:rFonts w:hint="eastAsia"/>
          <w:color w:val="auto"/>
          <w:highlight w:val="none"/>
        </w:rPr>
      </w:pPr>
    </w:p>
    <w:p w14:paraId="6A681BEE">
      <w:pPr>
        <w:rPr>
          <w:rFonts w:hint="eastAsia"/>
          <w:color w:val="auto"/>
          <w:highlight w:val="none"/>
        </w:rPr>
      </w:pPr>
    </w:p>
    <w:p w14:paraId="704FA84C">
      <w:pPr>
        <w:rPr>
          <w:rFonts w:hint="eastAsia"/>
          <w:color w:val="auto"/>
          <w:highlight w:val="none"/>
        </w:rPr>
      </w:pPr>
    </w:p>
    <w:p w14:paraId="000E2841">
      <w:pPr>
        <w:pStyle w:val="90"/>
        <w:spacing w:before="63"/>
        <w:rPr>
          <w:color w:val="auto"/>
          <w:sz w:val="28"/>
          <w:szCs w:val="28"/>
          <w:highlight w:val="none"/>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bookmarkStart w:id="3259" w:name="_Toc247514198"/>
      <w:bookmarkStart w:id="3260" w:name="_Toc184635123"/>
      <w:bookmarkStart w:id="3261" w:name="_Toc21283"/>
      <w:bookmarkStart w:id="3262" w:name="_Toc247527799"/>
      <w:bookmarkStart w:id="3263" w:name="_Toc15589"/>
      <w:bookmarkStart w:id="3264" w:name="_Toc26585"/>
      <w:bookmarkStart w:id="3265" w:name="_Toc18670"/>
      <w:bookmarkStart w:id="3266" w:name="_Toc519085621"/>
      <w:bookmarkStart w:id="3267" w:name="_Toc10741"/>
      <w:bookmarkStart w:id="3268" w:name="_Toc6404"/>
      <w:r>
        <w:rPr>
          <w:rFonts w:hint="eastAsia"/>
          <w:color w:val="auto"/>
          <w:sz w:val="28"/>
          <w:szCs w:val="28"/>
          <w:highlight w:val="none"/>
        </w:rPr>
        <w:t>第三节 合同附件格式</w:t>
      </w:r>
      <w:bookmarkEnd w:id="3259"/>
      <w:bookmarkEnd w:id="3260"/>
      <w:bookmarkEnd w:id="3261"/>
      <w:bookmarkEnd w:id="3262"/>
      <w:bookmarkEnd w:id="3263"/>
      <w:bookmarkEnd w:id="3264"/>
      <w:bookmarkEnd w:id="3265"/>
      <w:bookmarkEnd w:id="3266"/>
      <w:bookmarkEnd w:id="3267"/>
      <w:bookmarkEnd w:id="3268"/>
    </w:p>
    <w:bookmarkEnd w:id="1482"/>
    <w:bookmarkEnd w:id="1483"/>
    <w:bookmarkEnd w:id="1484"/>
    <w:p w14:paraId="5D02526F">
      <w:pPr>
        <w:pStyle w:val="5"/>
        <w:spacing w:before="159"/>
        <w:rPr>
          <w:rFonts w:hint="eastAsia"/>
          <w:color w:val="auto"/>
          <w:sz w:val="24"/>
          <w:highlight w:val="none"/>
        </w:rPr>
      </w:pPr>
      <w:bookmarkStart w:id="3269" w:name="_Toc247514199"/>
      <w:bookmarkStart w:id="3270" w:name="_Toc17358_WPSOffice_Level1"/>
      <w:bookmarkStart w:id="3271" w:name="_Toc247527800"/>
      <w:bookmarkStart w:id="3272" w:name="_Toc16427"/>
      <w:bookmarkStart w:id="3273" w:name="_Toc18359"/>
      <w:bookmarkStart w:id="3274" w:name="_Toc144974827"/>
      <w:bookmarkStart w:id="3275" w:name="_Toc10777"/>
      <w:bookmarkStart w:id="3276" w:name="_Toc519085622"/>
      <w:bookmarkStart w:id="3277" w:name="_Toc152045768"/>
      <w:bookmarkStart w:id="3278" w:name="_Toc152042547"/>
      <w:bookmarkStart w:id="3279" w:name="_Toc530"/>
      <w:bookmarkStart w:id="3280" w:name="_Toc30694"/>
      <w:r>
        <w:rPr>
          <w:rFonts w:hint="eastAsia"/>
          <w:color w:val="auto"/>
          <w:sz w:val="24"/>
          <w:highlight w:val="none"/>
        </w:rPr>
        <w:t>附件一：合同协议书</w:t>
      </w:r>
      <w:bookmarkEnd w:id="3269"/>
      <w:bookmarkEnd w:id="3270"/>
      <w:bookmarkEnd w:id="3271"/>
      <w:bookmarkEnd w:id="3272"/>
      <w:bookmarkEnd w:id="3273"/>
      <w:bookmarkEnd w:id="3274"/>
      <w:bookmarkEnd w:id="3275"/>
      <w:bookmarkEnd w:id="3276"/>
      <w:bookmarkEnd w:id="3277"/>
      <w:bookmarkEnd w:id="3278"/>
      <w:bookmarkEnd w:id="3279"/>
      <w:bookmarkEnd w:id="3280"/>
    </w:p>
    <w:p w14:paraId="46B37A86">
      <w:pPr>
        <w:spacing w:line="400" w:lineRule="exact"/>
        <w:rPr>
          <w:color w:val="auto"/>
          <w:highlight w:val="none"/>
        </w:rPr>
      </w:pPr>
    </w:p>
    <w:p w14:paraId="7002AA05">
      <w:pPr>
        <w:spacing w:line="440" w:lineRule="exact"/>
        <w:jc w:val="center"/>
        <w:rPr>
          <w:rFonts w:ascii="黑体" w:eastAsia="黑体"/>
          <w:color w:val="auto"/>
          <w:sz w:val="28"/>
          <w:szCs w:val="28"/>
          <w:highlight w:val="none"/>
        </w:rPr>
      </w:pPr>
      <w:bookmarkStart w:id="3281" w:name="_Toc17897_WPSOffice_Level1"/>
      <w:bookmarkStart w:id="3282" w:name="_Toc26236_WPSOffice_Level1"/>
      <w:r>
        <w:rPr>
          <w:rFonts w:hint="eastAsia" w:ascii="黑体" w:eastAsia="黑体"/>
          <w:color w:val="auto"/>
          <w:sz w:val="28"/>
          <w:szCs w:val="28"/>
          <w:highlight w:val="none"/>
        </w:rPr>
        <w:t>合同协议书</w:t>
      </w:r>
      <w:bookmarkEnd w:id="3281"/>
      <w:bookmarkEnd w:id="3282"/>
    </w:p>
    <w:p w14:paraId="64C0185C">
      <w:pPr>
        <w:spacing w:line="440" w:lineRule="exact"/>
        <w:rPr>
          <w:color w:val="auto"/>
          <w:szCs w:val="21"/>
          <w:highlight w:val="none"/>
        </w:rPr>
      </w:pPr>
    </w:p>
    <w:p w14:paraId="2394C3D5">
      <w:pPr>
        <w:spacing w:line="440" w:lineRule="exact"/>
        <w:ind w:firstLine="359" w:firstLineChars="171"/>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（发包人名称，以下简称“发包人”）为实施</w:t>
      </w:r>
      <w:r>
        <w:rPr>
          <w:color w:val="auto"/>
          <w:szCs w:val="21"/>
          <w:highlight w:val="none"/>
          <w:u w:val="single"/>
        </w:rPr>
        <w:t xml:space="preserve">                </w:t>
      </w:r>
      <w:r>
        <w:rPr>
          <w:color w:val="auto"/>
          <w:szCs w:val="21"/>
          <w:highlight w:val="none"/>
        </w:rPr>
        <w:t>（项目名称），已接受</w:t>
      </w:r>
      <w:r>
        <w:rPr>
          <w:color w:val="auto"/>
          <w:szCs w:val="21"/>
          <w:highlight w:val="none"/>
          <w:u w:val="single"/>
        </w:rPr>
        <w:t xml:space="preserve">                    </w:t>
      </w:r>
      <w:r>
        <w:rPr>
          <w:color w:val="auto"/>
          <w:szCs w:val="21"/>
          <w:highlight w:val="none"/>
        </w:rPr>
        <w:t>（承包人名称，以下简称“承包人”）对该项目</w:t>
      </w:r>
      <w:r>
        <w:rPr>
          <w:rFonts w:hint="eastAsia"/>
          <w:color w:val="auto"/>
          <w:szCs w:val="21"/>
          <w:highlight w:val="none"/>
        </w:rPr>
        <w:t>工程总承包</w:t>
      </w:r>
      <w:r>
        <w:rPr>
          <w:color w:val="auto"/>
          <w:szCs w:val="21"/>
          <w:highlight w:val="none"/>
        </w:rPr>
        <w:t>投标。发包人和承包人共同达成如下协议。</w:t>
      </w:r>
    </w:p>
    <w:p w14:paraId="7B8570E9">
      <w:pPr>
        <w:spacing w:line="440" w:lineRule="exact"/>
        <w:ind w:firstLine="359" w:firstLineChars="171"/>
        <w:rPr>
          <w:color w:val="auto"/>
          <w:szCs w:val="21"/>
          <w:highlight w:val="none"/>
        </w:rPr>
      </w:pPr>
      <w:bookmarkStart w:id="3283" w:name="_Toc519085623"/>
      <w:bookmarkStart w:id="3284" w:name="_Toc152042548"/>
      <w:bookmarkStart w:id="3285" w:name="_Toc3981193"/>
      <w:bookmarkStart w:id="3286" w:name="_Toc9380"/>
      <w:bookmarkStart w:id="3287" w:name="_Toc144974828"/>
      <w:bookmarkStart w:id="3288" w:name="_Toc3980745"/>
      <w:r>
        <w:rPr>
          <w:color w:val="auto"/>
          <w:szCs w:val="21"/>
          <w:highlight w:val="none"/>
        </w:rPr>
        <w:t>1. 本协议书与下列文件一起构成合同文件：</w:t>
      </w:r>
      <w:bookmarkEnd w:id="3283"/>
      <w:bookmarkEnd w:id="3284"/>
      <w:bookmarkEnd w:id="3285"/>
      <w:bookmarkEnd w:id="3286"/>
      <w:bookmarkEnd w:id="3287"/>
      <w:bookmarkEnd w:id="3288"/>
    </w:p>
    <w:p w14:paraId="432C4D3F">
      <w:pPr>
        <w:spacing w:line="440" w:lineRule="exact"/>
        <w:ind w:firstLine="718" w:firstLineChars="342"/>
        <w:rPr>
          <w:color w:val="auto"/>
          <w:szCs w:val="21"/>
          <w:highlight w:val="none"/>
        </w:rPr>
      </w:pPr>
      <w:bookmarkStart w:id="3289" w:name="_Toc29363_WPSOffice_Level1"/>
      <w:bookmarkStart w:id="3290" w:name="_Toc1917_WPSOffice_Level1"/>
      <w:r>
        <w:rPr>
          <w:color w:val="auto"/>
          <w:szCs w:val="21"/>
          <w:highlight w:val="none"/>
        </w:rPr>
        <w:t>（1）中标通知书；</w:t>
      </w:r>
      <w:bookmarkEnd w:id="3289"/>
      <w:bookmarkEnd w:id="3290"/>
    </w:p>
    <w:p w14:paraId="0726F2DE">
      <w:pPr>
        <w:spacing w:line="440" w:lineRule="exact"/>
        <w:ind w:firstLine="718" w:firstLineChars="342"/>
        <w:rPr>
          <w:color w:val="auto"/>
          <w:szCs w:val="21"/>
          <w:highlight w:val="none"/>
        </w:rPr>
      </w:pPr>
      <w:bookmarkStart w:id="3291" w:name="_Toc17685_WPSOffice_Level1"/>
      <w:bookmarkStart w:id="3292" w:name="_Toc10297_WPSOffice_Level1"/>
      <w:r>
        <w:rPr>
          <w:color w:val="auto"/>
          <w:szCs w:val="21"/>
          <w:highlight w:val="none"/>
        </w:rPr>
        <w:t>（2）投标函及投标函附录；</w:t>
      </w:r>
      <w:bookmarkEnd w:id="3291"/>
      <w:bookmarkEnd w:id="3292"/>
    </w:p>
    <w:p w14:paraId="4459E249">
      <w:pPr>
        <w:spacing w:line="440" w:lineRule="exact"/>
        <w:ind w:firstLine="718" w:firstLineChars="342"/>
        <w:rPr>
          <w:color w:val="auto"/>
          <w:szCs w:val="21"/>
          <w:highlight w:val="none"/>
        </w:rPr>
      </w:pPr>
      <w:bookmarkStart w:id="3293" w:name="_Toc3779_WPSOffice_Level1"/>
      <w:bookmarkStart w:id="3294" w:name="_Toc5200_WPSOffice_Level1"/>
      <w:r>
        <w:rPr>
          <w:color w:val="auto"/>
          <w:szCs w:val="21"/>
          <w:highlight w:val="none"/>
        </w:rPr>
        <w:t>（3）专用合同条款；</w:t>
      </w:r>
      <w:bookmarkEnd w:id="3293"/>
      <w:bookmarkEnd w:id="3294"/>
    </w:p>
    <w:p w14:paraId="11D8712D">
      <w:pPr>
        <w:spacing w:line="440" w:lineRule="exact"/>
        <w:ind w:firstLine="718" w:firstLineChars="342"/>
        <w:rPr>
          <w:color w:val="auto"/>
          <w:szCs w:val="21"/>
          <w:highlight w:val="none"/>
        </w:rPr>
      </w:pPr>
      <w:bookmarkStart w:id="3295" w:name="_Toc19979_WPSOffice_Level1"/>
      <w:bookmarkStart w:id="3296" w:name="_Toc6273_WPSOffice_Level1"/>
      <w:r>
        <w:rPr>
          <w:color w:val="auto"/>
          <w:szCs w:val="21"/>
          <w:highlight w:val="none"/>
        </w:rPr>
        <w:t>（4）通用合同条款；</w:t>
      </w:r>
      <w:bookmarkEnd w:id="3295"/>
      <w:bookmarkEnd w:id="3296"/>
    </w:p>
    <w:p w14:paraId="25F91A2A">
      <w:pPr>
        <w:spacing w:line="440" w:lineRule="exact"/>
        <w:ind w:firstLine="718" w:firstLineChars="342"/>
        <w:rPr>
          <w:color w:val="auto"/>
          <w:szCs w:val="21"/>
          <w:highlight w:val="none"/>
        </w:rPr>
      </w:pPr>
      <w:bookmarkStart w:id="3297" w:name="_Toc4145_WPSOffice_Level1"/>
      <w:bookmarkStart w:id="3298" w:name="_Toc10047_WPSOffice_Level1"/>
      <w:r>
        <w:rPr>
          <w:color w:val="auto"/>
          <w:szCs w:val="21"/>
          <w:highlight w:val="none"/>
        </w:rPr>
        <w:t>（5）</w:t>
      </w:r>
      <w:r>
        <w:rPr>
          <w:rFonts w:hint="eastAsia"/>
          <w:color w:val="auto"/>
          <w:szCs w:val="21"/>
          <w:highlight w:val="none"/>
        </w:rPr>
        <w:t>发包人</w:t>
      </w:r>
      <w:r>
        <w:rPr>
          <w:color w:val="auto"/>
          <w:szCs w:val="21"/>
          <w:highlight w:val="none"/>
        </w:rPr>
        <w:t>要求；</w:t>
      </w:r>
      <w:bookmarkEnd w:id="3297"/>
      <w:bookmarkEnd w:id="3298"/>
    </w:p>
    <w:p w14:paraId="68C5ED3D">
      <w:pPr>
        <w:spacing w:line="440" w:lineRule="exact"/>
        <w:ind w:firstLine="718" w:firstLineChars="342"/>
        <w:rPr>
          <w:color w:val="auto"/>
          <w:szCs w:val="21"/>
          <w:highlight w:val="none"/>
        </w:rPr>
      </w:pPr>
      <w:bookmarkStart w:id="3299" w:name="_Toc2823_WPSOffice_Level1"/>
      <w:bookmarkStart w:id="3300" w:name="_Toc2802_WPSOffice_Level1"/>
      <w:r>
        <w:rPr>
          <w:color w:val="auto"/>
          <w:szCs w:val="21"/>
          <w:highlight w:val="none"/>
        </w:rPr>
        <w:t>（6）</w:t>
      </w:r>
      <w:r>
        <w:rPr>
          <w:rFonts w:hint="eastAsia"/>
          <w:color w:val="auto"/>
          <w:szCs w:val="21"/>
          <w:highlight w:val="none"/>
        </w:rPr>
        <w:t>价格清单</w:t>
      </w:r>
      <w:r>
        <w:rPr>
          <w:color w:val="auto"/>
          <w:szCs w:val="21"/>
          <w:highlight w:val="none"/>
        </w:rPr>
        <w:t>；</w:t>
      </w:r>
      <w:bookmarkEnd w:id="3299"/>
      <w:bookmarkEnd w:id="3300"/>
    </w:p>
    <w:p w14:paraId="60BFA9F6">
      <w:pPr>
        <w:spacing w:line="440" w:lineRule="exact"/>
        <w:ind w:firstLine="718" w:firstLineChars="342"/>
        <w:rPr>
          <w:color w:val="auto"/>
          <w:szCs w:val="21"/>
          <w:highlight w:val="none"/>
        </w:rPr>
      </w:pPr>
      <w:bookmarkStart w:id="3301" w:name="_Toc21379_WPSOffice_Level1"/>
      <w:bookmarkStart w:id="3302" w:name="_Toc18908_WPSOffice_Level1"/>
      <w:r>
        <w:rPr>
          <w:color w:val="auto"/>
          <w:szCs w:val="21"/>
          <w:highlight w:val="none"/>
        </w:rPr>
        <w:t>（7）</w:t>
      </w:r>
      <w:r>
        <w:rPr>
          <w:rFonts w:hint="eastAsia"/>
          <w:color w:val="auto"/>
          <w:szCs w:val="21"/>
          <w:highlight w:val="none"/>
        </w:rPr>
        <w:t>承包人建议</w:t>
      </w:r>
      <w:r>
        <w:rPr>
          <w:color w:val="auto"/>
          <w:szCs w:val="21"/>
          <w:highlight w:val="none"/>
        </w:rPr>
        <w:t>；</w:t>
      </w:r>
      <w:bookmarkEnd w:id="3301"/>
      <w:bookmarkEnd w:id="3302"/>
    </w:p>
    <w:p w14:paraId="1A7F3D18">
      <w:pPr>
        <w:spacing w:line="440" w:lineRule="exact"/>
        <w:ind w:firstLine="718" w:firstLineChars="342"/>
        <w:rPr>
          <w:color w:val="auto"/>
          <w:szCs w:val="21"/>
          <w:highlight w:val="none"/>
        </w:rPr>
      </w:pPr>
      <w:bookmarkStart w:id="3303" w:name="_Toc6661_WPSOffice_Level1"/>
      <w:bookmarkStart w:id="3304" w:name="_Toc16451_WPSOffice_Level1"/>
      <w:r>
        <w:rPr>
          <w:color w:val="auto"/>
          <w:szCs w:val="21"/>
          <w:highlight w:val="none"/>
        </w:rPr>
        <w:t>（8）其他合同文件。</w:t>
      </w:r>
      <w:bookmarkEnd w:id="3303"/>
      <w:bookmarkEnd w:id="3304"/>
    </w:p>
    <w:p w14:paraId="2ADB6729">
      <w:pPr>
        <w:spacing w:line="440" w:lineRule="exact"/>
        <w:ind w:firstLine="359" w:firstLineChars="171"/>
        <w:rPr>
          <w:color w:val="auto"/>
          <w:szCs w:val="21"/>
          <w:highlight w:val="none"/>
        </w:rPr>
      </w:pPr>
      <w:bookmarkStart w:id="3305" w:name="_Toc3981194"/>
      <w:bookmarkStart w:id="3306" w:name="_Toc23706"/>
      <w:bookmarkStart w:id="3307" w:name="_Toc152042549"/>
      <w:bookmarkStart w:id="3308" w:name="_Toc519085624"/>
      <w:bookmarkStart w:id="3309" w:name="_Toc144974829"/>
      <w:bookmarkStart w:id="3310" w:name="_Toc3980746"/>
      <w:r>
        <w:rPr>
          <w:color w:val="auto"/>
          <w:szCs w:val="21"/>
          <w:highlight w:val="none"/>
        </w:rPr>
        <w:t>2. 上述文件互相补充和解释，如有不明确或不一致之处，以合同约定次序在先者为准。</w:t>
      </w:r>
      <w:bookmarkEnd w:id="3305"/>
      <w:bookmarkEnd w:id="3306"/>
      <w:bookmarkEnd w:id="3307"/>
      <w:bookmarkEnd w:id="3308"/>
      <w:bookmarkEnd w:id="3309"/>
      <w:bookmarkEnd w:id="3310"/>
    </w:p>
    <w:p w14:paraId="33FB408B">
      <w:pPr>
        <w:spacing w:line="440" w:lineRule="exact"/>
        <w:ind w:firstLine="359" w:firstLineChars="171"/>
        <w:rPr>
          <w:color w:val="auto"/>
          <w:szCs w:val="21"/>
          <w:highlight w:val="none"/>
        </w:rPr>
      </w:pPr>
      <w:r>
        <w:rPr>
          <w:color w:val="auto"/>
          <w:szCs w:val="21"/>
          <w:highlight w:val="none"/>
        </w:rPr>
        <w:t>3. 签约合同价：人民币（大写）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14B312C5">
      <w:pPr>
        <w:spacing w:line="440" w:lineRule="exact"/>
        <w:ind w:firstLine="359" w:firstLineChars="171"/>
        <w:rPr>
          <w:rFonts w:hint="eastAsia"/>
          <w:color w:val="auto"/>
          <w:szCs w:val="21"/>
          <w:highlight w:val="none"/>
        </w:rPr>
      </w:pPr>
      <w:r>
        <w:rPr>
          <w:color w:val="auto"/>
          <w:szCs w:val="21"/>
          <w:highlight w:val="none"/>
        </w:rPr>
        <w:t xml:space="preserve">4. </w:t>
      </w:r>
      <w:r>
        <w:rPr>
          <w:rFonts w:hint="eastAsia"/>
          <w:color w:val="auto"/>
          <w:szCs w:val="21"/>
          <w:highlight w:val="none"/>
        </w:rPr>
        <w:t>承包人项目负责人：</w:t>
      </w:r>
      <w:r>
        <w:rPr>
          <w:color w:val="auto"/>
          <w:szCs w:val="21"/>
          <w:highlight w:val="none"/>
          <w:u w:val="single"/>
        </w:rPr>
        <w:t xml:space="preserve">          </w:t>
      </w:r>
      <w:r>
        <w:rPr>
          <w:rFonts w:hint="eastAsia"/>
          <w:color w:val="auto"/>
          <w:szCs w:val="21"/>
          <w:highlight w:val="none"/>
        </w:rPr>
        <w:t>；设计负责人：</w:t>
      </w:r>
      <w:r>
        <w:rPr>
          <w:color w:val="auto"/>
          <w:szCs w:val="21"/>
          <w:highlight w:val="none"/>
          <w:u w:val="single"/>
        </w:rPr>
        <w:t xml:space="preserve">          </w:t>
      </w:r>
      <w:r>
        <w:rPr>
          <w:rFonts w:hint="eastAsia"/>
          <w:color w:val="auto"/>
          <w:szCs w:val="21"/>
          <w:highlight w:val="none"/>
        </w:rPr>
        <w:t>；施工负责人:</w:t>
      </w:r>
      <w:r>
        <w:rPr>
          <w:color w:val="auto"/>
          <w:szCs w:val="21"/>
          <w:highlight w:val="none"/>
          <w:u w:val="single"/>
        </w:rPr>
        <w:t xml:space="preserve">          </w:t>
      </w:r>
      <w:r>
        <w:rPr>
          <w:rFonts w:hint="eastAsia"/>
          <w:color w:val="auto"/>
          <w:szCs w:val="21"/>
          <w:highlight w:val="none"/>
        </w:rPr>
        <w:t xml:space="preserve">。 </w:t>
      </w:r>
    </w:p>
    <w:p w14:paraId="6398FCC7">
      <w:pPr>
        <w:spacing w:line="440" w:lineRule="exact"/>
        <w:ind w:firstLine="359" w:firstLineChars="171"/>
        <w:rPr>
          <w:color w:val="auto"/>
          <w:szCs w:val="21"/>
          <w:highlight w:val="none"/>
        </w:rPr>
      </w:pPr>
      <w:r>
        <w:rPr>
          <w:color w:val="auto"/>
          <w:szCs w:val="21"/>
          <w:highlight w:val="none"/>
        </w:rPr>
        <w:t>5. 工程质量</w:t>
      </w:r>
      <w:r>
        <w:rPr>
          <w:rFonts w:hint="eastAsia"/>
          <w:color w:val="auto"/>
          <w:szCs w:val="21"/>
          <w:highlight w:val="none"/>
        </w:rPr>
        <w:t>符合的标准和要求：</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7A5BD721">
      <w:pPr>
        <w:spacing w:line="440" w:lineRule="exact"/>
        <w:ind w:firstLine="359" w:firstLineChars="171"/>
        <w:rPr>
          <w:color w:val="auto"/>
          <w:szCs w:val="21"/>
          <w:highlight w:val="none"/>
        </w:rPr>
      </w:pPr>
      <w:r>
        <w:rPr>
          <w:color w:val="auto"/>
          <w:szCs w:val="21"/>
          <w:highlight w:val="none"/>
        </w:rPr>
        <w:t>6. 承包人承诺按合同约定承担工程的</w:t>
      </w:r>
      <w:r>
        <w:rPr>
          <w:rFonts w:hint="eastAsia"/>
          <w:color w:val="auto"/>
          <w:szCs w:val="21"/>
          <w:highlight w:val="none"/>
        </w:rPr>
        <w:t>设计、</w:t>
      </w:r>
      <w:r>
        <w:rPr>
          <w:color w:val="auto"/>
          <w:szCs w:val="21"/>
          <w:highlight w:val="none"/>
        </w:rPr>
        <w:t>实施、</w:t>
      </w:r>
      <w:r>
        <w:rPr>
          <w:rFonts w:hint="eastAsia"/>
          <w:color w:val="auto"/>
          <w:szCs w:val="21"/>
          <w:highlight w:val="none"/>
        </w:rPr>
        <w:t>竣工</w:t>
      </w:r>
      <w:r>
        <w:rPr>
          <w:color w:val="auto"/>
          <w:szCs w:val="21"/>
          <w:highlight w:val="none"/>
        </w:rPr>
        <w:t>及缺陷修复。</w:t>
      </w:r>
    </w:p>
    <w:p w14:paraId="6866EDF3">
      <w:pPr>
        <w:spacing w:line="440" w:lineRule="exact"/>
        <w:ind w:firstLine="359" w:firstLineChars="171"/>
        <w:rPr>
          <w:color w:val="auto"/>
          <w:szCs w:val="21"/>
          <w:highlight w:val="none"/>
        </w:rPr>
      </w:pPr>
      <w:r>
        <w:rPr>
          <w:color w:val="auto"/>
          <w:szCs w:val="21"/>
          <w:highlight w:val="none"/>
        </w:rPr>
        <w:t>7. 发包人承诺按合同约定的条件、时间和方式向承包人支付合同价款。</w:t>
      </w:r>
    </w:p>
    <w:p w14:paraId="57757961">
      <w:pPr>
        <w:spacing w:line="440" w:lineRule="exact"/>
        <w:ind w:firstLine="359" w:firstLineChars="171"/>
        <w:rPr>
          <w:color w:val="auto"/>
          <w:szCs w:val="21"/>
          <w:highlight w:val="none"/>
        </w:rPr>
      </w:pPr>
      <w:r>
        <w:rPr>
          <w:color w:val="auto"/>
          <w:szCs w:val="21"/>
          <w:highlight w:val="none"/>
        </w:rPr>
        <w:t>8. 承包人</w:t>
      </w:r>
      <w:r>
        <w:rPr>
          <w:rFonts w:hint="eastAsia"/>
          <w:color w:val="auto"/>
          <w:szCs w:val="21"/>
          <w:highlight w:val="none"/>
        </w:rPr>
        <w:t>计划开始工作时间：________________，实际开始工作时间</w:t>
      </w:r>
      <w:r>
        <w:rPr>
          <w:color w:val="auto"/>
          <w:szCs w:val="21"/>
          <w:highlight w:val="none"/>
        </w:rPr>
        <w:t>按照监理人</w:t>
      </w:r>
      <w:r>
        <w:rPr>
          <w:rFonts w:hint="eastAsia"/>
          <w:color w:val="auto"/>
          <w:szCs w:val="21"/>
          <w:highlight w:val="none"/>
        </w:rPr>
        <w:t>开始工作通知中载明的开始工作时间为准。</w:t>
      </w:r>
      <w:r>
        <w:rPr>
          <w:color w:val="auto"/>
          <w:szCs w:val="21"/>
          <w:highlight w:val="none"/>
        </w:rPr>
        <w:t>工期为</w:t>
      </w:r>
      <w:r>
        <w:rPr>
          <w:color w:val="auto"/>
          <w:szCs w:val="21"/>
          <w:highlight w:val="none"/>
          <w:u w:val="single"/>
        </w:rPr>
        <w:t xml:space="preserve">    </w:t>
      </w:r>
      <w:r>
        <w:rPr>
          <w:color w:val="auto"/>
          <w:szCs w:val="21"/>
          <w:highlight w:val="none"/>
        </w:rPr>
        <w:t>天。</w:t>
      </w:r>
    </w:p>
    <w:p w14:paraId="28A744BF">
      <w:pPr>
        <w:spacing w:line="440" w:lineRule="exact"/>
        <w:ind w:firstLine="359" w:firstLineChars="171"/>
        <w:rPr>
          <w:color w:val="auto"/>
          <w:szCs w:val="21"/>
          <w:highlight w:val="none"/>
        </w:rPr>
      </w:pPr>
      <w:r>
        <w:rPr>
          <w:color w:val="auto"/>
          <w:szCs w:val="21"/>
          <w:highlight w:val="none"/>
        </w:rPr>
        <w:t>9. 本协议书一式</w:t>
      </w:r>
      <w:r>
        <w:rPr>
          <w:color w:val="auto"/>
          <w:szCs w:val="21"/>
          <w:highlight w:val="none"/>
          <w:u w:val="single"/>
        </w:rPr>
        <w:t xml:space="preserve">     </w:t>
      </w:r>
      <w:r>
        <w:rPr>
          <w:color w:val="auto"/>
          <w:szCs w:val="21"/>
          <w:highlight w:val="none"/>
        </w:rPr>
        <w:t>份，合同双方各执一份。</w:t>
      </w:r>
    </w:p>
    <w:p w14:paraId="7B458631">
      <w:pPr>
        <w:spacing w:line="440" w:lineRule="exact"/>
        <w:ind w:firstLine="359" w:firstLineChars="171"/>
        <w:rPr>
          <w:color w:val="auto"/>
          <w:szCs w:val="21"/>
          <w:highlight w:val="none"/>
        </w:rPr>
      </w:pPr>
      <w:bookmarkStart w:id="3311" w:name="_Toc152042550"/>
      <w:bookmarkStart w:id="3312" w:name="_Toc144974830"/>
      <w:r>
        <w:rPr>
          <w:color w:val="auto"/>
          <w:szCs w:val="21"/>
          <w:highlight w:val="none"/>
        </w:rPr>
        <w:t>10. 合同未尽事宜，双方另行签订补充协议。补充协议是合同的组成部分。</w:t>
      </w:r>
      <w:bookmarkEnd w:id="3311"/>
      <w:bookmarkEnd w:id="3312"/>
    </w:p>
    <w:p w14:paraId="53BFD74E">
      <w:pPr>
        <w:spacing w:line="440" w:lineRule="exact"/>
        <w:rPr>
          <w:color w:val="auto"/>
          <w:szCs w:val="21"/>
          <w:highlight w:val="none"/>
        </w:rPr>
      </w:pPr>
      <w:r>
        <w:rPr>
          <w:color w:val="auto"/>
          <w:szCs w:val="21"/>
          <w:highlight w:val="none"/>
        </w:rPr>
        <w:t>发包人：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r>
        <w:rPr>
          <w:rFonts w:hint="eastAsia"/>
          <w:color w:val="auto"/>
          <w:szCs w:val="21"/>
          <w:highlight w:val="none"/>
        </w:rPr>
        <w:t xml:space="preserve">     </w:t>
      </w:r>
      <w:r>
        <w:rPr>
          <w:color w:val="auto"/>
          <w:szCs w:val="21"/>
          <w:highlight w:val="none"/>
        </w:rPr>
        <w:t>承包人：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（盖单位章）</w:t>
      </w:r>
    </w:p>
    <w:p w14:paraId="05AEB427">
      <w:pPr>
        <w:spacing w:line="440" w:lineRule="exact"/>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r>
        <w:rPr>
          <w:rFonts w:hint="eastAsia"/>
          <w:color w:val="auto"/>
          <w:szCs w:val="21"/>
          <w:highlight w:val="none"/>
        </w:rPr>
        <w:t xml:space="preserve">    </w:t>
      </w: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p>
    <w:p w14:paraId="011F050F">
      <w:pPr>
        <w:spacing w:line="440" w:lineRule="exact"/>
        <w:rPr>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日</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51DC9456">
      <w:pPr>
        <w:spacing w:line="440" w:lineRule="exact"/>
        <w:rPr>
          <w:rFonts w:hint="eastAsia"/>
          <w:color w:val="auto"/>
          <w:szCs w:val="21"/>
          <w:highlight w:val="none"/>
        </w:rPr>
      </w:pPr>
      <w:bookmarkStart w:id="3313" w:name="_Toc144974831"/>
    </w:p>
    <w:p w14:paraId="5C0850B9">
      <w:pPr>
        <w:pStyle w:val="5"/>
        <w:spacing w:before="159"/>
        <w:rPr>
          <w:color w:val="auto"/>
          <w:sz w:val="24"/>
          <w:highlight w:val="none"/>
        </w:rPr>
      </w:pPr>
      <w:bookmarkStart w:id="3314" w:name="_Toc19806"/>
      <w:bookmarkStart w:id="3315" w:name="_Toc21653"/>
      <w:bookmarkStart w:id="3316" w:name="_Toc152045769"/>
      <w:bookmarkStart w:id="3317" w:name="_Toc5339"/>
      <w:bookmarkStart w:id="3318" w:name="_Toc247514200"/>
      <w:bookmarkStart w:id="3319" w:name="_Toc519085625"/>
      <w:bookmarkStart w:id="3320" w:name="_Toc2672"/>
      <w:bookmarkStart w:id="3321" w:name="_Toc12296_WPSOffice_Level1"/>
      <w:bookmarkStart w:id="3322" w:name="_Toc10769"/>
      <w:bookmarkStart w:id="3323" w:name="_Toc247527801"/>
      <w:bookmarkStart w:id="3324" w:name="_Toc152042551"/>
      <w:r>
        <w:rPr>
          <w:rFonts w:hint="eastAsia"/>
          <w:color w:val="auto"/>
          <w:sz w:val="24"/>
          <w:highlight w:val="none"/>
        </w:rPr>
        <w:t>附件二：履约担保格式</w:t>
      </w:r>
      <w:bookmarkEnd w:id="3313"/>
      <w:bookmarkEnd w:id="3314"/>
      <w:bookmarkEnd w:id="3315"/>
      <w:bookmarkEnd w:id="3316"/>
      <w:bookmarkEnd w:id="3317"/>
      <w:bookmarkEnd w:id="3318"/>
      <w:bookmarkEnd w:id="3319"/>
      <w:bookmarkEnd w:id="3320"/>
      <w:bookmarkEnd w:id="3321"/>
      <w:bookmarkEnd w:id="3322"/>
      <w:bookmarkEnd w:id="3323"/>
      <w:bookmarkEnd w:id="3324"/>
    </w:p>
    <w:p w14:paraId="020DF0B3">
      <w:pPr>
        <w:spacing w:line="400" w:lineRule="exact"/>
        <w:rPr>
          <w:color w:val="auto"/>
          <w:highlight w:val="none"/>
        </w:rPr>
      </w:pPr>
    </w:p>
    <w:p w14:paraId="78B5ED74">
      <w:pPr>
        <w:spacing w:line="440" w:lineRule="exact"/>
        <w:jc w:val="center"/>
        <w:rPr>
          <w:rFonts w:eastAsia="黑体"/>
          <w:color w:val="auto"/>
          <w:sz w:val="28"/>
          <w:szCs w:val="28"/>
          <w:highlight w:val="none"/>
        </w:rPr>
      </w:pPr>
      <w:bookmarkStart w:id="3325" w:name="_Toc25805_WPSOffice_Level1"/>
      <w:bookmarkStart w:id="3326" w:name="_Toc25786_WPSOffice_Level1"/>
      <w:r>
        <w:rPr>
          <w:rFonts w:eastAsia="黑体"/>
          <w:color w:val="auto"/>
          <w:sz w:val="28"/>
          <w:szCs w:val="28"/>
          <w:highlight w:val="none"/>
        </w:rPr>
        <w:t>履约担保</w:t>
      </w:r>
      <w:bookmarkEnd w:id="3325"/>
      <w:bookmarkEnd w:id="3326"/>
    </w:p>
    <w:p w14:paraId="3D52CB6B">
      <w:pPr>
        <w:spacing w:line="440" w:lineRule="exact"/>
        <w:rPr>
          <w:rFonts w:eastAsia="黑体"/>
          <w:color w:val="auto"/>
          <w:sz w:val="20"/>
          <w:szCs w:val="20"/>
          <w:highlight w:val="none"/>
        </w:rPr>
      </w:pPr>
    </w:p>
    <w:p w14:paraId="0B13E498">
      <w:pPr>
        <w:spacing w:line="440" w:lineRule="exact"/>
        <w:rPr>
          <w:color w:val="auto"/>
          <w:szCs w:val="21"/>
          <w:highlight w:val="none"/>
        </w:rPr>
      </w:pP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color w:val="auto"/>
          <w:szCs w:val="21"/>
          <w:highlight w:val="none"/>
        </w:rPr>
        <w:t>（发包人名称）：</w:t>
      </w:r>
    </w:p>
    <w:p w14:paraId="1149DCF8">
      <w:pPr>
        <w:spacing w:line="440" w:lineRule="exact"/>
        <w:rPr>
          <w:color w:val="auto"/>
          <w:szCs w:val="21"/>
          <w:highlight w:val="none"/>
        </w:rPr>
      </w:pPr>
    </w:p>
    <w:p w14:paraId="4B3DE9B8">
      <w:pPr>
        <w:spacing w:line="440" w:lineRule="exact"/>
        <w:ind w:firstLine="420" w:firstLineChars="200"/>
        <w:rPr>
          <w:color w:val="auto"/>
          <w:szCs w:val="21"/>
          <w:highlight w:val="none"/>
        </w:rPr>
      </w:pPr>
      <w:r>
        <w:rPr>
          <w:color w:val="auto"/>
          <w:szCs w:val="21"/>
          <w:highlight w:val="none"/>
        </w:rPr>
        <w:t>鉴于</w:t>
      </w:r>
      <w:r>
        <w:rPr>
          <w:color w:val="auto"/>
          <w:szCs w:val="21"/>
          <w:highlight w:val="none"/>
          <w:u w:val="single"/>
        </w:rPr>
        <w:t xml:space="preserve">                </w:t>
      </w:r>
      <w:r>
        <w:rPr>
          <w:color w:val="auto"/>
          <w:szCs w:val="21"/>
          <w:highlight w:val="none"/>
        </w:rPr>
        <w:t xml:space="preserve">（发包人名称，以下简称“发包人”）接受 </w:t>
      </w:r>
      <w:r>
        <w:rPr>
          <w:color w:val="auto"/>
          <w:szCs w:val="21"/>
          <w:highlight w:val="none"/>
          <w:u w:val="single"/>
        </w:rPr>
        <w:t xml:space="preserve">      </w:t>
      </w:r>
      <w:r>
        <w:rPr>
          <w:color w:val="auto"/>
          <w:szCs w:val="21"/>
          <w:highlight w:val="none"/>
        </w:rPr>
        <w:t>（承包人名称</w:t>
      </w:r>
      <w:r>
        <w:rPr>
          <w:rFonts w:hint="eastAsia"/>
          <w:color w:val="auto"/>
          <w:szCs w:val="21"/>
          <w:highlight w:val="none"/>
        </w:rPr>
        <w:t>，</w:t>
      </w:r>
      <w:r>
        <w:rPr>
          <w:color w:val="auto"/>
          <w:szCs w:val="21"/>
          <w:highlight w:val="none"/>
        </w:rPr>
        <w:t>以下称“承包人”）于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日参加</w:t>
      </w:r>
      <w:r>
        <w:rPr>
          <w:color w:val="auto"/>
          <w:szCs w:val="21"/>
          <w:highlight w:val="none"/>
          <w:u w:val="single"/>
        </w:rPr>
        <w:t xml:space="preserve">         </w:t>
      </w:r>
      <w:r>
        <w:rPr>
          <w:color w:val="auto"/>
          <w:szCs w:val="21"/>
          <w:highlight w:val="none"/>
        </w:rPr>
        <w:t>（项目名称）的投标。我</w:t>
      </w:r>
      <w:r>
        <w:rPr>
          <w:rFonts w:hint="eastAsia"/>
          <w:color w:val="auto"/>
          <w:szCs w:val="21"/>
          <w:highlight w:val="none"/>
        </w:rPr>
        <w:t>方</w:t>
      </w:r>
      <w:r>
        <w:rPr>
          <w:color w:val="auto"/>
          <w:szCs w:val="21"/>
          <w:highlight w:val="none"/>
        </w:rPr>
        <w:t xml:space="preserve">愿意无条件地、不可撤销地就承包人履行与你方订立的合同，向你方提供担保。 </w:t>
      </w:r>
    </w:p>
    <w:p w14:paraId="74C57FAA">
      <w:pPr>
        <w:spacing w:line="440" w:lineRule="exact"/>
        <w:ind w:firstLine="420" w:firstLineChars="200"/>
        <w:rPr>
          <w:color w:val="auto"/>
          <w:szCs w:val="21"/>
          <w:highlight w:val="none"/>
        </w:rPr>
      </w:pPr>
      <w:r>
        <w:rPr>
          <w:color w:val="auto"/>
          <w:szCs w:val="21"/>
          <w:highlight w:val="none"/>
        </w:rPr>
        <w:t>1. 担保金额人民币（大写）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color w:val="auto"/>
          <w:szCs w:val="21"/>
          <w:highlight w:val="none"/>
        </w:rPr>
        <w:t>）。</w:t>
      </w:r>
    </w:p>
    <w:p w14:paraId="59DA7EBF">
      <w:pPr>
        <w:spacing w:line="440" w:lineRule="exact"/>
        <w:ind w:firstLine="420" w:firstLineChars="200"/>
        <w:rPr>
          <w:rFonts w:hint="eastAsia"/>
          <w:color w:val="auto"/>
          <w:szCs w:val="21"/>
          <w:highlight w:val="none"/>
        </w:rPr>
      </w:pPr>
      <w:r>
        <w:rPr>
          <w:color w:val="auto"/>
          <w:szCs w:val="21"/>
          <w:highlight w:val="none"/>
        </w:rPr>
        <w:t>2. 担保有效期自发包人与承包人签订的合同生效之日起至发包人签发工程接收证书</w:t>
      </w:r>
      <w:r>
        <w:rPr>
          <w:rFonts w:hint="eastAsia"/>
          <w:color w:val="auto"/>
          <w:szCs w:val="21"/>
          <w:highlight w:val="none"/>
        </w:rPr>
        <w:t>之日</w:t>
      </w:r>
      <w:r>
        <w:rPr>
          <w:color w:val="auto"/>
          <w:szCs w:val="21"/>
          <w:highlight w:val="none"/>
        </w:rPr>
        <w:t>止。</w:t>
      </w:r>
    </w:p>
    <w:p w14:paraId="4F0D3A0F">
      <w:pPr>
        <w:spacing w:line="440" w:lineRule="exact"/>
        <w:ind w:firstLine="420" w:firstLineChars="200"/>
        <w:rPr>
          <w:rFonts w:hint="eastAsia"/>
          <w:color w:val="auto"/>
          <w:szCs w:val="21"/>
          <w:highlight w:val="none"/>
        </w:rPr>
      </w:pPr>
      <w:r>
        <w:rPr>
          <w:rFonts w:hint="eastAsia"/>
          <w:color w:val="auto"/>
          <w:szCs w:val="21"/>
          <w:highlight w:val="none"/>
        </w:rPr>
        <w:t>3</w:t>
      </w:r>
      <w:r>
        <w:rPr>
          <w:color w:val="auto"/>
          <w:szCs w:val="21"/>
          <w:highlight w:val="none"/>
        </w:rPr>
        <w:t>. 担保有效期自发包人与承包人签订的合同生效之日起至</w:t>
      </w:r>
      <w:r>
        <w:rPr>
          <w:rFonts w:hint="eastAsia"/>
          <w:color w:val="auto"/>
          <w:szCs w:val="21"/>
          <w:highlight w:val="none"/>
        </w:rPr>
        <w:t>承包人通过竣工后试验之日</w:t>
      </w:r>
      <w:r>
        <w:rPr>
          <w:color w:val="auto"/>
          <w:szCs w:val="21"/>
          <w:highlight w:val="none"/>
        </w:rPr>
        <w:t>止。</w:t>
      </w:r>
    </w:p>
    <w:p w14:paraId="72C8F7E7">
      <w:pPr>
        <w:spacing w:line="440" w:lineRule="exact"/>
        <w:ind w:firstLine="420" w:firstLineChars="200"/>
        <w:rPr>
          <w:color w:val="auto"/>
          <w:szCs w:val="21"/>
          <w:highlight w:val="none"/>
        </w:rPr>
      </w:pPr>
      <w:r>
        <w:rPr>
          <w:rFonts w:hint="eastAsia"/>
          <w:color w:val="auto"/>
          <w:szCs w:val="21"/>
          <w:highlight w:val="none"/>
        </w:rPr>
        <w:t>4</w:t>
      </w:r>
      <w:r>
        <w:rPr>
          <w:color w:val="auto"/>
          <w:szCs w:val="21"/>
          <w:highlight w:val="none"/>
        </w:rPr>
        <w:t>. 在本担保有效期内，因承包人违反合同约定的义务给你方造成经济损失时，我方在收到你方以书面形式提出的在担保金额内的赔偿要求后，在7天内支付。</w:t>
      </w:r>
    </w:p>
    <w:p w14:paraId="5A1094C3">
      <w:pPr>
        <w:spacing w:line="440" w:lineRule="exact"/>
        <w:ind w:firstLine="420" w:firstLineChars="200"/>
        <w:rPr>
          <w:color w:val="auto"/>
          <w:szCs w:val="21"/>
          <w:highlight w:val="none"/>
        </w:rPr>
      </w:pPr>
      <w:r>
        <w:rPr>
          <w:rFonts w:hint="eastAsia"/>
          <w:color w:val="auto"/>
          <w:szCs w:val="21"/>
          <w:highlight w:val="none"/>
        </w:rPr>
        <w:t>5</w:t>
      </w:r>
      <w:r>
        <w:rPr>
          <w:color w:val="auto"/>
          <w:szCs w:val="21"/>
          <w:highlight w:val="none"/>
        </w:rPr>
        <w:t>. 发包人和承包人按《通用合同条款》第15条变更合同时，我</w:t>
      </w:r>
      <w:r>
        <w:rPr>
          <w:rFonts w:hint="eastAsia"/>
          <w:color w:val="auto"/>
          <w:szCs w:val="21"/>
          <w:highlight w:val="none"/>
        </w:rPr>
        <w:t>方</w:t>
      </w:r>
      <w:r>
        <w:rPr>
          <w:color w:val="auto"/>
          <w:szCs w:val="21"/>
          <w:highlight w:val="none"/>
        </w:rPr>
        <w:t>承担本</w:t>
      </w:r>
      <w:r>
        <w:rPr>
          <w:rFonts w:hint="eastAsia"/>
          <w:color w:val="auto"/>
          <w:szCs w:val="21"/>
          <w:highlight w:val="none"/>
        </w:rPr>
        <w:t>担保</w:t>
      </w:r>
      <w:r>
        <w:rPr>
          <w:color w:val="auto"/>
          <w:szCs w:val="21"/>
          <w:highlight w:val="none"/>
        </w:rPr>
        <w:t>规定的义务不变。</w:t>
      </w:r>
    </w:p>
    <w:p w14:paraId="1C0E5122">
      <w:pPr>
        <w:spacing w:line="440" w:lineRule="exact"/>
        <w:rPr>
          <w:color w:val="auto"/>
          <w:szCs w:val="21"/>
          <w:highlight w:val="none"/>
        </w:rPr>
      </w:pPr>
    </w:p>
    <w:p w14:paraId="69CCE3CF">
      <w:pPr>
        <w:spacing w:line="600" w:lineRule="exact"/>
        <w:ind w:firstLine="3418" w:firstLineChars="1628"/>
        <w:rPr>
          <w:color w:val="auto"/>
          <w:szCs w:val="21"/>
          <w:highlight w:val="none"/>
        </w:rPr>
      </w:pPr>
      <w:r>
        <w:rPr>
          <w:rFonts w:hint="eastAsia"/>
          <w:color w:val="auto"/>
          <w:szCs w:val="21"/>
          <w:highlight w:val="none"/>
        </w:rPr>
        <w:t>担 保</w:t>
      </w:r>
      <w:r>
        <w:rPr>
          <w:color w:val="auto"/>
          <w:szCs w:val="21"/>
          <w:highlight w:val="none"/>
        </w:rPr>
        <w:t xml:space="preserve"> 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14:paraId="124F4E37">
      <w:pPr>
        <w:spacing w:line="600" w:lineRule="exact"/>
        <w:ind w:firstLine="3418" w:firstLineChars="1628"/>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p>
    <w:p w14:paraId="031DD572">
      <w:pPr>
        <w:spacing w:line="600" w:lineRule="exact"/>
        <w:ind w:firstLine="3418" w:firstLineChars="1628"/>
        <w:rPr>
          <w:color w:val="auto"/>
          <w:szCs w:val="21"/>
          <w:highlight w:val="none"/>
        </w:rPr>
      </w:pPr>
      <w:r>
        <w:rPr>
          <w:color w:val="auto"/>
          <w:szCs w:val="21"/>
          <w:highlight w:val="none"/>
        </w:rPr>
        <w:t>地    址：</w:t>
      </w:r>
      <w:r>
        <w:rPr>
          <w:color w:val="auto"/>
          <w:szCs w:val="21"/>
          <w:highlight w:val="none"/>
          <w:u w:val="single"/>
        </w:rPr>
        <w:t xml:space="preserve">                                    </w:t>
      </w:r>
    </w:p>
    <w:p w14:paraId="11F4ABEB">
      <w:pPr>
        <w:spacing w:line="600" w:lineRule="exact"/>
        <w:ind w:firstLine="3418" w:firstLineChars="1628"/>
        <w:rPr>
          <w:color w:val="auto"/>
          <w:szCs w:val="21"/>
          <w:highlight w:val="none"/>
        </w:rPr>
      </w:pPr>
      <w:r>
        <w:rPr>
          <w:color w:val="auto"/>
          <w:szCs w:val="21"/>
          <w:highlight w:val="none"/>
        </w:rPr>
        <w:t>邮政编码：</w:t>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rFonts w:hint="eastAsia"/>
          <w:color w:val="auto"/>
          <w:szCs w:val="21"/>
          <w:highlight w:val="none"/>
          <w:u w:val="single"/>
        </w:rPr>
        <w:t xml:space="preserve">  </w:t>
      </w:r>
    </w:p>
    <w:p w14:paraId="63A49D2C">
      <w:pPr>
        <w:spacing w:line="600" w:lineRule="exact"/>
        <w:ind w:firstLine="3418" w:firstLineChars="1628"/>
        <w:rPr>
          <w:color w:val="auto"/>
          <w:szCs w:val="21"/>
          <w:highlight w:val="none"/>
        </w:rPr>
      </w:pPr>
      <w:r>
        <w:rPr>
          <w:color w:val="auto"/>
          <w:szCs w:val="21"/>
          <w:highlight w:val="none"/>
        </w:rPr>
        <w:t>电    话：</w:t>
      </w:r>
      <w:r>
        <w:rPr>
          <w:color w:val="auto"/>
          <w:szCs w:val="21"/>
          <w:highlight w:val="none"/>
          <w:u w:val="single"/>
        </w:rPr>
        <w:t xml:space="preserve">                                  </w:t>
      </w:r>
      <w:r>
        <w:rPr>
          <w:rFonts w:hint="eastAsia"/>
          <w:color w:val="auto"/>
          <w:szCs w:val="21"/>
          <w:highlight w:val="none"/>
          <w:u w:val="single"/>
        </w:rPr>
        <w:t xml:space="preserve"> </w:t>
      </w:r>
    </w:p>
    <w:p w14:paraId="3C40CFC2">
      <w:pPr>
        <w:spacing w:line="600" w:lineRule="exact"/>
        <w:ind w:firstLine="4258" w:firstLineChars="2028"/>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13F95E6B">
      <w:pPr>
        <w:spacing w:line="440" w:lineRule="exact"/>
        <w:jc w:val="left"/>
        <w:rPr>
          <w:rFonts w:hint="eastAsia"/>
          <w:color w:val="auto"/>
          <w:szCs w:val="21"/>
          <w:highlight w:val="none"/>
        </w:rPr>
      </w:pPr>
      <w:r>
        <w:rPr>
          <w:rFonts w:hint="eastAsia"/>
          <w:color w:val="auto"/>
          <w:szCs w:val="21"/>
          <w:highlight w:val="none"/>
        </w:rPr>
        <w:t>注：委托代理人应附授权委托书。</w:t>
      </w:r>
    </w:p>
    <w:p w14:paraId="7E263991">
      <w:pPr>
        <w:spacing w:line="600" w:lineRule="exact"/>
        <w:ind w:firstLine="4258" w:firstLineChars="2028"/>
        <w:rPr>
          <w:rFonts w:hint="eastAsia"/>
          <w:color w:val="auto"/>
          <w:highlight w:val="none"/>
        </w:rPr>
      </w:pPr>
    </w:p>
    <w:p w14:paraId="700EAEEB">
      <w:pPr>
        <w:spacing w:line="600" w:lineRule="exact"/>
        <w:ind w:firstLine="4258" w:firstLineChars="2028"/>
        <w:rPr>
          <w:rFonts w:hint="eastAsia"/>
          <w:color w:val="auto"/>
          <w:highlight w:val="none"/>
        </w:rPr>
      </w:pPr>
    </w:p>
    <w:p w14:paraId="1FE40573">
      <w:pPr>
        <w:spacing w:line="440" w:lineRule="exact"/>
        <w:jc w:val="center"/>
        <w:rPr>
          <w:rFonts w:hint="eastAsia"/>
          <w:color w:val="auto"/>
          <w:sz w:val="20"/>
          <w:szCs w:val="20"/>
          <w:highlight w:val="none"/>
        </w:rPr>
      </w:pPr>
    </w:p>
    <w:p w14:paraId="31EDD4F3">
      <w:pPr>
        <w:spacing w:line="440" w:lineRule="exact"/>
        <w:jc w:val="center"/>
        <w:rPr>
          <w:rFonts w:hint="eastAsia"/>
          <w:color w:val="auto"/>
          <w:sz w:val="20"/>
          <w:szCs w:val="20"/>
          <w:highlight w:val="none"/>
        </w:rPr>
      </w:pPr>
    </w:p>
    <w:p w14:paraId="63032EDD">
      <w:pPr>
        <w:spacing w:line="440" w:lineRule="exact"/>
        <w:jc w:val="center"/>
        <w:rPr>
          <w:rFonts w:hint="eastAsia"/>
          <w:color w:val="auto"/>
          <w:sz w:val="20"/>
          <w:szCs w:val="20"/>
          <w:highlight w:val="none"/>
        </w:rPr>
      </w:pPr>
    </w:p>
    <w:p w14:paraId="6E18EE93">
      <w:pPr>
        <w:spacing w:line="440" w:lineRule="exact"/>
        <w:jc w:val="center"/>
        <w:rPr>
          <w:rFonts w:hint="eastAsia"/>
          <w:color w:val="auto"/>
          <w:sz w:val="20"/>
          <w:szCs w:val="20"/>
          <w:highlight w:val="none"/>
        </w:rPr>
      </w:pPr>
    </w:p>
    <w:p w14:paraId="13F2F23A">
      <w:pPr>
        <w:pStyle w:val="117"/>
        <w:rPr>
          <w:color w:val="auto"/>
          <w:highlight w:val="none"/>
        </w:rPr>
      </w:pPr>
      <w:bookmarkStart w:id="3327" w:name="_Toc144974851"/>
      <w:bookmarkStart w:id="3328" w:name="_Toc152045782"/>
      <w:bookmarkStart w:id="3329" w:name="_Toc247527820"/>
      <w:bookmarkStart w:id="3330" w:name="_Toc247514233"/>
      <w:bookmarkStart w:id="3331" w:name="_Toc152042571"/>
      <w:bookmarkStart w:id="3332" w:name="_Toc4749"/>
      <w:bookmarkStart w:id="3333" w:name="_Toc22294"/>
      <w:bookmarkStart w:id="3334" w:name="_Toc19587"/>
      <w:bookmarkStart w:id="3335" w:name="_Toc1763"/>
      <w:bookmarkStart w:id="3336" w:name="_Toc519085627"/>
      <w:bookmarkStart w:id="3337" w:name="_Toc29784"/>
      <w:bookmarkStart w:id="3338" w:name="_Toc24788"/>
      <w:bookmarkStart w:id="3339" w:name="_Toc980_WPSOffice_Level1"/>
      <w:r>
        <w:rPr>
          <w:rFonts w:hint="eastAsia"/>
          <w:color w:val="auto"/>
          <w:highlight w:val="none"/>
        </w:rPr>
        <w:t xml:space="preserve">第五章  </w:t>
      </w:r>
      <w:bookmarkEnd w:id="3327"/>
      <w:bookmarkEnd w:id="3328"/>
      <w:bookmarkEnd w:id="3329"/>
      <w:bookmarkEnd w:id="3330"/>
      <w:bookmarkEnd w:id="3331"/>
      <w:r>
        <w:rPr>
          <w:rFonts w:hint="eastAsia"/>
          <w:color w:val="auto"/>
          <w:highlight w:val="none"/>
        </w:rPr>
        <w:t>发包人要求</w:t>
      </w:r>
      <w:bookmarkEnd w:id="3332"/>
      <w:bookmarkEnd w:id="3333"/>
      <w:bookmarkEnd w:id="3334"/>
      <w:bookmarkEnd w:id="3335"/>
      <w:bookmarkEnd w:id="3336"/>
      <w:bookmarkEnd w:id="3337"/>
      <w:bookmarkEnd w:id="3338"/>
      <w:bookmarkEnd w:id="3339"/>
    </w:p>
    <w:p w14:paraId="5BD7B67F">
      <w:pPr>
        <w:topLinePunct/>
        <w:spacing w:line="440" w:lineRule="exact"/>
        <w:jc w:val="center"/>
        <w:rPr>
          <w:color w:val="auto"/>
          <w:highlight w:val="none"/>
        </w:rPr>
      </w:pPr>
    </w:p>
    <w:p w14:paraId="4FB965DF">
      <w:pPr>
        <w:pStyle w:val="4"/>
        <w:spacing w:before="63"/>
        <w:jc w:val="center"/>
        <w:rPr>
          <w:rFonts w:hint="eastAsia"/>
          <w:color w:val="auto"/>
          <w:highlight w:val="none"/>
        </w:rPr>
      </w:pPr>
      <w:r>
        <w:rPr>
          <w:color w:val="auto"/>
          <w:highlight w:val="none"/>
        </w:rPr>
        <w:br w:type="page"/>
      </w:r>
      <w:bookmarkStart w:id="3340" w:name="_Toc31412"/>
      <w:bookmarkStart w:id="3341" w:name="_Toc10831"/>
      <w:bookmarkStart w:id="3342" w:name="_Toc3590"/>
      <w:bookmarkStart w:id="3343" w:name="_Toc22525"/>
      <w:bookmarkStart w:id="3344" w:name="_Toc1219"/>
      <w:bookmarkStart w:id="3345" w:name="_Toc21354_WPSOffice_Level2"/>
      <w:bookmarkStart w:id="3346" w:name="_Toc11025"/>
      <w:r>
        <w:rPr>
          <w:rFonts w:hint="eastAsia"/>
          <w:color w:val="auto"/>
          <w:highlight w:val="none"/>
        </w:rPr>
        <w:t>发包人要求</w:t>
      </w:r>
      <w:bookmarkEnd w:id="3340"/>
      <w:bookmarkEnd w:id="3341"/>
      <w:bookmarkEnd w:id="3342"/>
      <w:bookmarkEnd w:id="3343"/>
      <w:bookmarkEnd w:id="3344"/>
      <w:bookmarkEnd w:id="3345"/>
      <w:bookmarkEnd w:id="3346"/>
    </w:p>
    <w:p w14:paraId="1B22641A">
      <w:pPr>
        <w:spacing w:line="400" w:lineRule="exact"/>
        <w:rPr>
          <w:rFonts w:hint="eastAsia"/>
          <w:color w:val="auto"/>
          <w:highlight w:val="none"/>
        </w:rPr>
      </w:pPr>
    </w:p>
    <w:p w14:paraId="0813E5D8">
      <w:pPr>
        <w:spacing w:line="440" w:lineRule="exact"/>
        <w:ind w:firstLine="359" w:firstLineChars="171"/>
        <w:rPr>
          <w:rFonts w:hint="eastAsia" w:ascii="宋体" w:hAnsi="宋体"/>
          <w:color w:val="auto"/>
          <w:szCs w:val="21"/>
          <w:highlight w:val="none"/>
        </w:rPr>
      </w:pPr>
      <w:r>
        <w:rPr>
          <w:rFonts w:hint="eastAsia" w:ascii="宋体" w:hAnsi="宋体"/>
          <w:color w:val="auto"/>
          <w:szCs w:val="21"/>
          <w:highlight w:val="none"/>
        </w:rPr>
        <w:t>发包人要求应尽可能清晰准确，对于可以进行定量评估的工作，发包人要求不仅应明确规定其产能、功能、用途、质量、环境、安全，并且要规定偏离的范围和计算方法，以及检验、试验、试运行的具体要求。对于承包人负责提供的有关设备和服务，对发包人人员进行培训和提供一些消耗品等，在发包人要求中应一并明确规定。</w:t>
      </w:r>
    </w:p>
    <w:p w14:paraId="5B7086DA">
      <w:pPr>
        <w:spacing w:line="440" w:lineRule="exact"/>
        <w:ind w:firstLine="359" w:firstLineChars="171"/>
        <w:rPr>
          <w:rFonts w:hint="eastAsia" w:ascii="宋体" w:hAnsi="宋体"/>
          <w:color w:val="auto"/>
          <w:szCs w:val="21"/>
          <w:highlight w:val="none"/>
        </w:rPr>
      </w:pPr>
      <w:r>
        <w:rPr>
          <w:rFonts w:hint="eastAsia" w:ascii="宋体" w:hAnsi="宋体"/>
          <w:color w:val="auto"/>
          <w:szCs w:val="21"/>
          <w:highlight w:val="none"/>
        </w:rPr>
        <w:t>发包人要求通常包括但不限于以下内容：</w:t>
      </w:r>
    </w:p>
    <w:p w14:paraId="5BFA851C">
      <w:pPr>
        <w:spacing w:line="440" w:lineRule="exact"/>
        <w:ind w:firstLine="359" w:firstLineChars="171"/>
        <w:rPr>
          <w:rFonts w:hint="eastAsia" w:ascii="宋体" w:hAnsi="宋体"/>
          <w:color w:val="auto"/>
          <w:szCs w:val="21"/>
          <w:highlight w:val="none"/>
        </w:rPr>
      </w:pPr>
      <w:bookmarkStart w:id="3347" w:name="_Toc28841_WPSOffice_Level2"/>
      <w:r>
        <w:rPr>
          <w:rFonts w:hint="eastAsia" w:ascii="宋体" w:hAnsi="宋体"/>
          <w:color w:val="auto"/>
          <w:szCs w:val="21"/>
          <w:highlight w:val="none"/>
        </w:rPr>
        <w:t>一、功能要求</w:t>
      </w:r>
      <w:bookmarkEnd w:id="3347"/>
    </w:p>
    <w:p w14:paraId="34FAFC29">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（一）工程的目的。</w:t>
      </w:r>
    </w:p>
    <w:p w14:paraId="29370615">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（二）工程规模。</w:t>
      </w:r>
    </w:p>
    <w:p w14:paraId="1B0F4252">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（三）性能保证指标（性能保证表）。</w:t>
      </w:r>
    </w:p>
    <w:p w14:paraId="04C0F10C">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（四）产能保证指标。</w:t>
      </w:r>
    </w:p>
    <w:p w14:paraId="28915D50">
      <w:pPr>
        <w:spacing w:line="440" w:lineRule="exact"/>
        <w:ind w:firstLine="359" w:firstLineChars="171"/>
        <w:rPr>
          <w:rFonts w:hint="eastAsia" w:ascii="宋体" w:hAnsi="宋体"/>
          <w:color w:val="auto"/>
          <w:szCs w:val="21"/>
          <w:highlight w:val="none"/>
        </w:rPr>
      </w:pPr>
      <w:bookmarkStart w:id="3348" w:name="_Toc31961_WPSOffice_Level2"/>
      <w:r>
        <w:rPr>
          <w:rFonts w:hint="eastAsia" w:ascii="宋体" w:hAnsi="宋体"/>
          <w:color w:val="auto"/>
          <w:szCs w:val="21"/>
          <w:highlight w:val="none"/>
        </w:rPr>
        <w:t>二、工程范围</w:t>
      </w:r>
      <w:bookmarkEnd w:id="3348"/>
    </w:p>
    <w:p w14:paraId="7787F6C9">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（一）概述</w:t>
      </w:r>
    </w:p>
    <w:p w14:paraId="7E025E33">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（二）包括的工作</w:t>
      </w:r>
    </w:p>
    <w:p w14:paraId="40F472AC">
      <w:pPr>
        <w:spacing w:line="440" w:lineRule="exact"/>
        <w:ind w:firstLine="987" w:firstLineChars="47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永久工程的设计、采购、施工范围。</w:t>
      </w:r>
    </w:p>
    <w:p w14:paraId="28409493">
      <w:pPr>
        <w:spacing w:line="440" w:lineRule="exact"/>
        <w:ind w:firstLine="987" w:firstLineChars="47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临时工程的设计与施工范围。</w:t>
      </w:r>
    </w:p>
    <w:p w14:paraId="326AFA86">
      <w:pPr>
        <w:spacing w:line="440" w:lineRule="exact"/>
        <w:ind w:firstLine="987" w:firstLineChars="47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竣工验收工作范围。</w:t>
      </w:r>
    </w:p>
    <w:p w14:paraId="6F1469E7">
      <w:pPr>
        <w:spacing w:line="440" w:lineRule="exact"/>
        <w:ind w:firstLine="987" w:firstLineChars="470"/>
        <w:rPr>
          <w:rFonts w:hint="eastAsia"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 技术服务工作范围。</w:t>
      </w:r>
    </w:p>
    <w:p w14:paraId="5A51B0C8">
      <w:pPr>
        <w:spacing w:line="440" w:lineRule="exact"/>
        <w:ind w:firstLine="987" w:firstLineChars="470"/>
        <w:rPr>
          <w:rFonts w:hint="eastAsia" w:ascii="宋体" w:hAnsi="宋体"/>
          <w:color w:val="auto"/>
          <w:szCs w:val="21"/>
          <w:highlight w:val="none"/>
        </w:rPr>
      </w:pPr>
      <w:r>
        <w:rPr>
          <w:rFonts w:hint="eastAsia"/>
          <w:color w:val="auto"/>
          <w:szCs w:val="21"/>
          <w:highlight w:val="none"/>
        </w:rPr>
        <w:t>5</w:t>
      </w:r>
      <w:r>
        <w:rPr>
          <w:rFonts w:hint="eastAsia" w:ascii="宋体" w:hAnsi="宋体"/>
          <w:color w:val="auto"/>
          <w:szCs w:val="21"/>
          <w:highlight w:val="none"/>
        </w:rPr>
        <w:t>. 培训工作范围。</w:t>
      </w:r>
    </w:p>
    <w:p w14:paraId="4FF1AD77">
      <w:pPr>
        <w:spacing w:line="440" w:lineRule="exact"/>
        <w:ind w:firstLine="987" w:firstLineChars="470"/>
        <w:rPr>
          <w:rFonts w:hint="eastAsia" w:ascii="宋体" w:hAnsi="宋体"/>
          <w:color w:val="auto"/>
          <w:szCs w:val="21"/>
          <w:highlight w:val="none"/>
        </w:rPr>
      </w:pPr>
      <w:r>
        <w:rPr>
          <w:rFonts w:hint="eastAsia"/>
          <w:color w:val="auto"/>
          <w:szCs w:val="21"/>
          <w:highlight w:val="none"/>
        </w:rPr>
        <w:t>6</w:t>
      </w:r>
      <w:r>
        <w:rPr>
          <w:rFonts w:hint="eastAsia" w:ascii="宋体" w:hAnsi="宋体"/>
          <w:color w:val="auto"/>
          <w:szCs w:val="21"/>
          <w:highlight w:val="none"/>
        </w:rPr>
        <w:t>. 保修工作范围。</w:t>
      </w:r>
    </w:p>
    <w:p w14:paraId="6F04691B">
      <w:pPr>
        <w:spacing w:line="440" w:lineRule="exact"/>
        <w:ind w:firstLine="539" w:firstLineChars="257"/>
        <w:rPr>
          <w:rFonts w:hint="eastAsia" w:ascii="宋体" w:hAnsi="宋体"/>
          <w:color w:val="auto"/>
          <w:szCs w:val="21"/>
          <w:highlight w:val="none"/>
        </w:rPr>
      </w:pPr>
      <w:r>
        <w:rPr>
          <w:rFonts w:hint="eastAsia" w:ascii="宋体" w:hAnsi="宋体"/>
          <w:color w:val="auto"/>
          <w:szCs w:val="21"/>
          <w:highlight w:val="none"/>
        </w:rPr>
        <w:t>（三）工作界区</w:t>
      </w:r>
    </w:p>
    <w:p w14:paraId="534181AF">
      <w:pPr>
        <w:spacing w:line="400" w:lineRule="exact"/>
        <w:ind w:firstLine="539" w:firstLineChars="257"/>
        <w:rPr>
          <w:rFonts w:hint="eastAsia" w:ascii="宋体" w:hAnsi="宋体"/>
          <w:color w:val="auto"/>
          <w:szCs w:val="21"/>
          <w:highlight w:val="none"/>
        </w:rPr>
      </w:pPr>
      <w:r>
        <w:rPr>
          <w:rFonts w:hint="eastAsia" w:ascii="宋体" w:hAnsi="宋体"/>
          <w:color w:val="auto"/>
          <w:szCs w:val="21"/>
          <w:highlight w:val="none"/>
        </w:rPr>
        <w:t>（四）发包人提供的现场条件</w:t>
      </w:r>
    </w:p>
    <w:p w14:paraId="73F65FB4">
      <w:pPr>
        <w:spacing w:line="440" w:lineRule="exact"/>
        <w:ind w:firstLine="987" w:firstLineChars="47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施工用电。</w:t>
      </w:r>
    </w:p>
    <w:p w14:paraId="3BC77697">
      <w:pPr>
        <w:spacing w:line="440" w:lineRule="exact"/>
        <w:ind w:firstLine="987" w:firstLineChars="47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施工用水。</w:t>
      </w:r>
    </w:p>
    <w:p w14:paraId="721525A9">
      <w:pPr>
        <w:spacing w:line="440" w:lineRule="exact"/>
        <w:ind w:firstLine="1003" w:firstLineChars="478"/>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施工排水。</w:t>
      </w:r>
      <w:r>
        <w:rPr>
          <w:rFonts w:hint="eastAsia" w:ascii="宋体" w:hAnsi="宋体"/>
          <w:color w:val="auto"/>
          <w:szCs w:val="21"/>
          <w:highlight w:val="none"/>
        </w:rPr>
        <w:tab/>
      </w:r>
    </w:p>
    <w:p w14:paraId="455FD855">
      <w:pPr>
        <w:spacing w:line="400" w:lineRule="exact"/>
        <w:rPr>
          <w:rFonts w:hint="eastAsia" w:ascii="宋体" w:hAnsi="宋体"/>
          <w:color w:val="auto"/>
          <w:szCs w:val="21"/>
          <w:highlight w:val="none"/>
        </w:rPr>
      </w:pPr>
      <w:r>
        <w:rPr>
          <w:rFonts w:hint="eastAsia" w:ascii="宋体" w:hAnsi="宋体"/>
          <w:color w:val="auto"/>
          <w:szCs w:val="21"/>
          <w:highlight w:val="none"/>
        </w:rPr>
        <w:t xml:space="preserve">     （五）发包人提供的技术文件</w:t>
      </w:r>
    </w:p>
    <w:p w14:paraId="477BBBDC">
      <w:pPr>
        <w:spacing w:line="440" w:lineRule="exact"/>
        <w:ind w:firstLine="898" w:firstLineChars="428"/>
        <w:rPr>
          <w:rFonts w:hint="eastAsia" w:ascii="宋体" w:hAnsi="宋体"/>
          <w:color w:val="auto"/>
          <w:szCs w:val="21"/>
          <w:highlight w:val="none"/>
        </w:rPr>
      </w:pPr>
      <w:r>
        <w:rPr>
          <w:rFonts w:hint="eastAsia" w:ascii="宋体" w:hAnsi="宋体"/>
          <w:color w:val="auto"/>
          <w:szCs w:val="21"/>
          <w:highlight w:val="none"/>
        </w:rPr>
        <w:t>除另有批准外，承包人的工作需要遵照发包人的下列技术文件:</w:t>
      </w:r>
    </w:p>
    <w:p w14:paraId="7083528D">
      <w:pPr>
        <w:spacing w:line="440" w:lineRule="exact"/>
        <w:ind w:firstLine="898" w:firstLineChars="428"/>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发包人需求任务书。</w:t>
      </w:r>
    </w:p>
    <w:p w14:paraId="5E65373A">
      <w:pPr>
        <w:spacing w:line="440" w:lineRule="exact"/>
        <w:ind w:firstLine="898" w:firstLineChars="428"/>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发包人已完成的设计文件。</w:t>
      </w:r>
    </w:p>
    <w:p w14:paraId="2AE7065C">
      <w:pPr>
        <w:spacing w:line="440" w:lineRule="exact"/>
        <w:ind w:firstLine="359" w:firstLineChars="171"/>
        <w:rPr>
          <w:rFonts w:hint="eastAsia" w:ascii="宋体" w:hAnsi="宋体"/>
          <w:color w:val="auto"/>
          <w:szCs w:val="21"/>
          <w:highlight w:val="none"/>
        </w:rPr>
      </w:pPr>
      <w:bookmarkStart w:id="3349" w:name="_Toc21683_WPSOffice_Level2"/>
      <w:r>
        <w:rPr>
          <w:rFonts w:hint="eastAsia" w:ascii="宋体" w:hAnsi="宋体"/>
          <w:color w:val="auto"/>
          <w:szCs w:val="21"/>
          <w:highlight w:val="none"/>
        </w:rPr>
        <w:t>三、工艺安排或要求（如有）</w:t>
      </w:r>
      <w:bookmarkEnd w:id="3349"/>
    </w:p>
    <w:p w14:paraId="43717C2A">
      <w:pPr>
        <w:spacing w:line="440" w:lineRule="exact"/>
        <w:ind w:firstLine="359" w:firstLineChars="171"/>
        <w:rPr>
          <w:rFonts w:hint="eastAsia" w:ascii="宋体" w:hAnsi="宋体"/>
          <w:color w:val="auto"/>
          <w:szCs w:val="21"/>
          <w:highlight w:val="none"/>
        </w:rPr>
      </w:pPr>
      <w:bookmarkStart w:id="3350" w:name="_Toc8021_WPSOffice_Level2"/>
      <w:r>
        <w:rPr>
          <w:rFonts w:hint="eastAsia" w:ascii="宋体" w:hAnsi="宋体"/>
          <w:color w:val="auto"/>
          <w:szCs w:val="21"/>
          <w:highlight w:val="none"/>
        </w:rPr>
        <w:t>四、时间要求</w:t>
      </w:r>
      <w:bookmarkEnd w:id="3350"/>
    </w:p>
    <w:p w14:paraId="64878B1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（一）开始工作时间。</w:t>
      </w:r>
    </w:p>
    <w:p w14:paraId="0E7DAA85">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（二）设计完成时间。</w:t>
      </w:r>
    </w:p>
    <w:p w14:paraId="674EB699">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（三）进度计划。</w:t>
      </w:r>
    </w:p>
    <w:p w14:paraId="230859F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（四）竣工时间。</w:t>
      </w:r>
    </w:p>
    <w:p w14:paraId="7162F39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（五）缺陷责任期。</w:t>
      </w:r>
    </w:p>
    <w:p w14:paraId="043EE1CA">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（六）其他时间要求。</w:t>
      </w:r>
    </w:p>
    <w:p w14:paraId="7F728572">
      <w:pPr>
        <w:spacing w:line="440" w:lineRule="exact"/>
        <w:ind w:firstLine="359" w:firstLineChars="171"/>
        <w:rPr>
          <w:rFonts w:hint="eastAsia" w:ascii="宋体" w:hAnsi="宋体"/>
          <w:color w:val="auto"/>
          <w:szCs w:val="21"/>
          <w:highlight w:val="none"/>
        </w:rPr>
      </w:pPr>
      <w:bookmarkStart w:id="3351" w:name="_Toc12946_WPSOffice_Level2"/>
      <w:r>
        <w:rPr>
          <w:rFonts w:hint="eastAsia" w:ascii="宋体" w:hAnsi="宋体"/>
          <w:color w:val="auto"/>
          <w:szCs w:val="21"/>
          <w:highlight w:val="none"/>
        </w:rPr>
        <w:t>五、技术要求</w:t>
      </w:r>
      <w:bookmarkEnd w:id="3351"/>
    </w:p>
    <w:p w14:paraId="129421E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（一）设计阶段和设计任务。</w:t>
      </w:r>
    </w:p>
    <w:p w14:paraId="018FB6B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（二）设计标准和规范。</w:t>
      </w:r>
    </w:p>
    <w:p w14:paraId="5FFDFD90">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（三）技术标准和要求。</w:t>
      </w:r>
    </w:p>
    <w:p w14:paraId="5BDDDC9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（四）质量标准。</w:t>
      </w:r>
    </w:p>
    <w:p w14:paraId="032D5CA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（五）设计、施工和设备监造、试验（如有）。</w:t>
      </w:r>
    </w:p>
    <w:p w14:paraId="5B74E15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（六）样品。</w:t>
      </w:r>
    </w:p>
    <w:p w14:paraId="016CFAC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（七）发包人提供的其他条件，如发包人或其委托的第三人提供的设计、工艺包、用于试验检验的工器具等，以及据此对承包人提出的予以配套的要求。</w:t>
      </w:r>
    </w:p>
    <w:p w14:paraId="253C9DF0">
      <w:pPr>
        <w:spacing w:line="440" w:lineRule="exact"/>
        <w:ind w:firstLine="359" w:firstLineChars="171"/>
        <w:rPr>
          <w:rFonts w:hint="eastAsia" w:ascii="宋体" w:hAnsi="宋体"/>
          <w:color w:val="auto"/>
          <w:szCs w:val="21"/>
          <w:highlight w:val="none"/>
        </w:rPr>
      </w:pPr>
      <w:bookmarkStart w:id="3352" w:name="_Toc8798_WPSOffice_Level2"/>
      <w:r>
        <w:rPr>
          <w:rFonts w:hint="eastAsia" w:ascii="宋体" w:hAnsi="宋体"/>
          <w:color w:val="auto"/>
          <w:szCs w:val="21"/>
          <w:highlight w:val="none"/>
        </w:rPr>
        <w:t>六、竣工试验</w:t>
      </w:r>
      <w:bookmarkEnd w:id="3352"/>
    </w:p>
    <w:p w14:paraId="46E65CA2">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（一）第一阶段，如对单车试验等的要求，包括试验前准备。</w:t>
      </w:r>
    </w:p>
    <w:p w14:paraId="5DE7EB2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（二）第二阶段，如对联动试车、投料试车等的要求，包括人员、设备、材料、燃料、电力、消耗品、工具等必要条件。</w:t>
      </w:r>
    </w:p>
    <w:p w14:paraId="19D19FA0">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（三）第三阶段，如对性能测试及其他竣工试验的要求，包括产能指标、产品质量标准、运营指标、环保指标等。</w:t>
      </w:r>
    </w:p>
    <w:p w14:paraId="666F325A">
      <w:pPr>
        <w:spacing w:line="440" w:lineRule="exact"/>
        <w:ind w:firstLine="359" w:firstLineChars="171"/>
        <w:rPr>
          <w:rFonts w:hint="eastAsia" w:ascii="宋体" w:hAnsi="宋体"/>
          <w:color w:val="auto"/>
          <w:szCs w:val="21"/>
          <w:highlight w:val="none"/>
        </w:rPr>
      </w:pPr>
      <w:bookmarkStart w:id="3353" w:name="_Toc3488_WPSOffice_Level2"/>
      <w:r>
        <w:rPr>
          <w:rFonts w:hint="eastAsia" w:ascii="宋体" w:hAnsi="宋体"/>
          <w:color w:val="auto"/>
          <w:szCs w:val="21"/>
          <w:highlight w:val="none"/>
        </w:rPr>
        <w:t>七、竣工验收</w:t>
      </w:r>
      <w:bookmarkEnd w:id="3353"/>
    </w:p>
    <w:p w14:paraId="25E2F67E">
      <w:pPr>
        <w:spacing w:line="440" w:lineRule="exact"/>
        <w:ind w:firstLine="359" w:firstLineChars="171"/>
        <w:rPr>
          <w:rFonts w:hint="eastAsia" w:ascii="宋体" w:hAnsi="宋体"/>
          <w:color w:val="auto"/>
          <w:szCs w:val="21"/>
          <w:highlight w:val="none"/>
        </w:rPr>
      </w:pPr>
      <w:bookmarkStart w:id="3354" w:name="_Toc13918_WPSOffice_Level2"/>
      <w:r>
        <w:rPr>
          <w:rFonts w:hint="eastAsia" w:ascii="宋体" w:hAnsi="宋体"/>
          <w:color w:val="auto"/>
          <w:szCs w:val="21"/>
          <w:highlight w:val="none"/>
        </w:rPr>
        <w:t>八、竣工后试验（如有）</w:t>
      </w:r>
      <w:bookmarkEnd w:id="3354"/>
    </w:p>
    <w:p w14:paraId="0746F400">
      <w:pPr>
        <w:spacing w:line="440" w:lineRule="exact"/>
        <w:ind w:firstLine="359" w:firstLineChars="171"/>
        <w:rPr>
          <w:rFonts w:hint="eastAsia" w:ascii="宋体" w:hAnsi="宋体"/>
          <w:color w:val="auto"/>
          <w:szCs w:val="21"/>
          <w:highlight w:val="none"/>
        </w:rPr>
      </w:pPr>
      <w:bookmarkStart w:id="3355" w:name="_Toc27974_WPSOffice_Level2"/>
      <w:r>
        <w:rPr>
          <w:rFonts w:hint="eastAsia" w:ascii="宋体" w:hAnsi="宋体"/>
          <w:color w:val="auto"/>
          <w:szCs w:val="21"/>
          <w:highlight w:val="none"/>
        </w:rPr>
        <w:t>九、文件要求</w:t>
      </w:r>
      <w:bookmarkEnd w:id="3355"/>
    </w:p>
    <w:p w14:paraId="5215A42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（一）设计文件，及其相关审批、核准、备案要求。</w:t>
      </w:r>
    </w:p>
    <w:p w14:paraId="543DCB8A">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（二）沟通计划。</w:t>
      </w:r>
    </w:p>
    <w:p w14:paraId="36556D8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（三）风险管理计划。</w:t>
      </w:r>
    </w:p>
    <w:p w14:paraId="48BCF18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（四）竣工文件和工程的其他记录。</w:t>
      </w:r>
    </w:p>
    <w:p w14:paraId="501A0AC7">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（五）操作和维修手册。</w:t>
      </w:r>
    </w:p>
    <w:p w14:paraId="338DE19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（六）其他承包人文件。</w:t>
      </w:r>
    </w:p>
    <w:p w14:paraId="4AF03639">
      <w:pPr>
        <w:spacing w:line="440" w:lineRule="exact"/>
        <w:ind w:firstLine="359" w:firstLineChars="171"/>
        <w:rPr>
          <w:rFonts w:hint="eastAsia" w:ascii="宋体" w:hAnsi="宋体"/>
          <w:color w:val="auto"/>
          <w:szCs w:val="21"/>
          <w:highlight w:val="none"/>
        </w:rPr>
      </w:pPr>
      <w:bookmarkStart w:id="3356" w:name="_Toc8981_WPSOffice_Level2"/>
      <w:r>
        <w:rPr>
          <w:rFonts w:hint="eastAsia" w:ascii="宋体" w:hAnsi="宋体"/>
          <w:color w:val="auto"/>
          <w:szCs w:val="21"/>
          <w:highlight w:val="none"/>
        </w:rPr>
        <w:t>十、工程项目管理规定</w:t>
      </w:r>
      <w:bookmarkEnd w:id="3356"/>
    </w:p>
    <w:p w14:paraId="6F5AA02A">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（一）质量。</w:t>
      </w:r>
    </w:p>
    <w:p w14:paraId="00E1A1AE">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（二）进度，包括里程碑进度计划（如果有）。</w:t>
      </w:r>
    </w:p>
    <w:p w14:paraId="2E5CC5EC">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（三）支付。</w:t>
      </w:r>
    </w:p>
    <w:p w14:paraId="40C03944">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（四）HSE（健康、安全与环境管理体系）。</w:t>
      </w:r>
    </w:p>
    <w:p w14:paraId="02F88419">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（五）沟通。</w:t>
      </w:r>
    </w:p>
    <w:p w14:paraId="7C29B8DD">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（六）变更。</w:t>
      </w:r>
    </w:p>
    <w:p w14:paraId="1EDD8838">
      <w:pPr>
        <w:spacing w:line="440" w:lineRule="exact"/>
        <w:ind w:firstLine="359" w:firstLineChars="171"/>
        <w:rPr>
          <w:rFonts w:hint="eastAsia" w:ascii="宋体" w:hAnsi="宋体"/>
          <w:color w:val="auto"/>
          <w:szCs w:val="21"/>
          <w:highlight w:val="none"/>
        </w:rPr>
      </w:pPr>
      <w:bookmarkStart w:id="3357" w:name="_Toc26691_WPSOffice_Level2"/>
      <w:r>
        <w:rPr>
          <w:rFonts w:hint="eastAsia" w:ascii="宋体" w:hAnsi="宋体"/>
          <w:color w:val="auto"/>
          <w:szCs w:val="21"/>
          <w:highlight w:val="none"/>
        </w:rPr>
        <w:t>十一、其他要求</w:t>
      </w:r>
      <w:bookmarkEnd w:id="3357"/>
    </w:p>
    <w:p w14:paraId="23B9BBB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（一）对承包人的主要人员资格要求。</w:t>
      </w:r>
    </w:p>
    <w:p w14:paraId="76A9D223">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（二）相关审批、核准和备案手续的办理。</w:t>
      </w:r>
    </w:p>
    <w:p w14:paraId="426FD8BA">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（三）对项目业主人员的操作培训。</w:t>
      </w:r>
    </w:p>
    <w:p w14:paraId="5023047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（四）分包。</w:t>
      </w:r>
    </w:p>
    <w:p w14:paraId="632800C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（五）设备供应商。</w:t>
      </w:r>
    </w:p>
    <w:p w14:paraId="0AB9FB9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（六）缺陷责任期的服务要求。</w:t>
      </w:r>
    </w:p>
    <w:p w14:paraId="3DE51A9D">
      <w:pPr>
        <w:pStyle w:val="4"/>
        <w:spacing w:before="63"/>
        <w:jc w:val="center"/>
        <w:rPr>
          <w:rFonts w:hint="eastAsia"/>
          <w:color w:val="auto"/>
          <w:highlight w:val="none"/>
        </w:rPr>
      </w:pPr>
      <w:r>
        <w:rPr>
          <w:rFonts w:ascii="宋体" w:hAnsi="宋体"/>
          <w:color w:val="auto"/>
          <w:szCs w:val="21"/>
          <w:highlight w:val="none"/>
        </w:rPr>
        <w:br w:type="page"/>
      </w:r>
      <w:bookmarkStart w:id="3358" w:name="_Toc7167"/>
      <w:bookmarkStart w:id="3359" w:name="_Toc14136"/>
      <w:bookmarkStart w:id="3360" w:name="_Toc12068"/>
      <w:bookmarkStart w:id="3361" w:name="_Toc11914"/>
      <w:bookmarkStart w:id="3362" w:name="_Toc23626"/>
      <w:bookmarkStart w:id="3363" w:name="_Toc17622"/>
      <w:bookmarkStart w:id="3364" w:name="_Toc16991_WPSOffice_Level2"/>
      <w:r>
        <w:rPr>
          <w:rFonts w:hint="eastAsia"/>
          <w:color w:val="auto"/>
          <w:highlight w:val="none"/>
        </w:rPr>
        <w:t>发包人要求附件清单</w:t>
      </w:r>
      <w:bookmarkEnd w:id="3358"/>
      <w:bookmarkEnd w:id="3359"/>
      <w:bookmarkEnd w:id="3360"/>
      <w:bookmarkEnd w:id="3361"/>
      <w:bookmarkEnd w:id="3362"/>
      <w:bookmarkEnd w:id="3363"/>
      <w:bookmarkEnd w:id="3364"/>
    </w:p>
    <w:p w14:paraId="5E08EC8F">
      <w:pPr>
        <w:spacing w:line="400" w:lineRule="exact"/>
        <w:jc w:val="center"/>
        <w:rPr>
          <w:rFonts w:hint="eastAsia"/>
          <w:color w:val="auto"/>
          <w:highlight w:val="none"/>
        </w:rPr>
      </w:pPr>
    </w:p>
    <w:p w14:paraId="784BFC51">
      <w:pPr>
        <w:spacing w:line="400" w:lineRule="exact"/>
        <w:rPr>
          <w:rFonts w:hint="eastAsia"/>
          <w:color w:val="auto"/>
          <w:highlight w:val="none"/>
        </w:rPr>
      </w:pPr>
      <w:bookmarkStart w:id="3365" w:name="_Toc24264_WPSOffice_Level2"/>
      <w:r>
        <w:rPr>
          <w:rFonts w:hint="eastAsia"/>
          <w:color w:val="auto"/>
          <w:highlight w:val="none"/>
        </w:rPr>
        <w:t>附件一：性能保证表</w:t>
      </w:r>
      <w:bookmarkEnd w:id="3365"/>
    </w:p>
    <w:p w14:paraId="7F9FBF7F">
      <w:pPr>
        <w:spacing w:line="400" w:lineRule="exact"/>
        <w:rPr>
          <w:rFonts w:hint="eastAsia"/>
          <w:color w:val="auto"/>
          <w:highlight w:val="none"/>
        </w:rPr>
      </w:pPr>
      <w:bookmarkStart w:id="3366" w:name="_Toc21061_WPSOffice_Level2"/>
      <w:r>
        <w:rPr>
          <w:rFonts w:hint="eastAsia"/>
          <w:color w:val="auto"/>
          <w:highlight w:val="none"/>
        </w:rPr>
        <w:t>附件二：工作界区图</w:t>
      </w:r>
      <w:bookmarkEnd w:id="3366"/>
    </w:p>
    <w:p w14:paraId="4FF24C34">
      <w:pPr>
        <w:spacing w:line="400" w:lineRule="exact"/>
        <w:rPr>
          <w:rFonts w:hint="eastAsia"/>
          <w:color w:val="auto"/>
          <w:highlight w:val="none"/>
        </w:rPr>
      </w:pPr>
      <w:bookmarkStart w:id="3367" w:name="_Toc727_WPSOffice_Level2"/>
      <w:r>
        <w:rPr>
          <w:rFonts w:hint="eastAsia"/>
          <w:color w:val="auto"/>
          <w:highlight w:val="none"/>
        </w:rPr>
        <w:t>附件三：发包人需求任务书</w:t>
      </w:r>
      <w:bookmarkEnd w:id="3367"/>
    </w:p>
    <w:p w14:paraId="7AE185B8">
      <w:pPr>
        <w:spacing w:line="400" w:lineRule="exact"/>
        <w:rPr>
          <w:rFonts w:hint="eastAsia"/>
          <w:color w:val="auto"/>
          <w:highlight w:val="none"/>
        </w:rPr>
      </w:pPr>
      <w:bookmarkStart w:id="3368" w:name="_Toc24693_WPSOffice_Level2"/>
      <w:r>
        <w:rPr>
          <w:rFonts w:hint="eastAsia"/>
          <w:color w:val="auto"/>
          <w:highlight w:val="none"/>
        </w:rPr>
        <w:t>附件四：发包人已完成的设计文件</w:t>
      </w:r>
      <w:bookmarkEnd w:id="3368"/>
    </w:p>
    <w:p w14:paraId="4D057F1E">
      <w:pPr>
        <w:spacing w:line="400" w:lineRule="exact"/>
        <w:rPr>
          <w:rFonts w:hint="eastAsia"/>
          <w:color w:val="auto"/>
          <w:highlight w:val="none"/>
        </w:rPr>
      </w:pPr>
      <w:bookmarkStart w:id="3369" w:name="_Toc2127_WPSOffice_Level2"/>
      <w:r>
        <w:rPr>
          <w:rFonts w:hint="eastAsia"/>
          <w:color w:val="auto"/>
          <w:highlight w:val="none"/>
        </w:rPr>
        <w:t>附件五：承包人文件要求</w:t>
      </w:r>
      <w:bookmarkEnd w:id="3369"/>
    </w:p>
    <w:p w14:paraId="47902389">
      <w:pPr>
        <w:spacing w:line="400" w:lineRule="exact"/>
        <w:rPr>
          <w:rFonts w:hint="eastAsia"/>
          <w:color w:val="auto"/>
          <w:highlight w:val="none"/>
        </w:rPr>
      </w:pPr>
      <w:bookmarkStart w:id="3370" w:name="_Toc25234_WPSOffice_Level2"/>
      <w:r>
        <w:rPr>
          <w:rFonts w:hint="eastAsia"/>
          <w:color w:val="auto"/>
          <w:highlight w:val="none"/>
        </w:rPr>
        <w:t>附件六：承包人人员资格要求及审查规定</w:t>
      </w:r>
      <w:bookmarkEnd w:id="3370"/>
    </w:p>
    <w:p w14:paraId="6CCC882A">
      <w:pPr>
        <w:spacing w:line="400" w:lineRule="exact"/>
        <w:rPr>
          <w:rFonts w:hint="eastAsia"/>
          <w:color w:val="auto"/>
          <w:highlight w:val="none"/>
        </w:rPr>
      </w:pPr>
      <w:bookmarkStart w:id="3371" w:name="_Toc25216_WPSOffice_Level2"/>
      <w:r>
        <w:rPr>
          <w:rFonts w:hint="eastAsia"/>
          <w:color w:val="auto"/>
          <w:highlight w:val="none"/>
        </w:rPr>
        <w:t>附件七：承包人设计文件审查规定</w:t>
      </w:r>
      <w:bookmarkEnd w:id="3371"/>
    </w:p>
    <w:p w14:paraId="3D30E33C">
      <w:pPr>
        <w:spacing w:line="400" w:lineRule="exact"/>
        <w:rPr>
          <w:rFonts w:hint="eastAsia"/>
          <w:color w:val="auto"/>
          <w:highlight w:val="none"/>
        </w:rPr>
      </w:pPr>
      <w:bookmarkStart w:id="3372" w:name="_Toc27139_WPSOffice_Level2"/>
      <w:r>
        <w:rPr>
          <w:rFonts w:hint="eastAsia"/>
          <w:color w:val="auto"/>
          <w:highlight w:val="none"/>
        </w:rPr>
        <w:t>附件八：承包人采购审查与批准规定</w:t>
      </w:r>
      <w:bookmarkEnd w:id="3372"/>
    </w:p>
    <w:p w14:paraId="2ED3EDDB">
      <w:pPr>
        <w:spacing w:line="400" w:lineRule="exact"/>
        <w:rPr>
          <w:rFonts w:hint="eastAsia"/>
          <w:color w:val="auto"/>
          <w:highlight w:val="none"/>
        </w:rPr>
      </w:pPr>
      <w:bookmarkStart w:id="3373" w:name="_Toc25409_WPSOffice_Level2"/>
      <w:r>
        <w:rPr>
          <w:rFonts w:hint="eastAsia"/>
          <w:color w:val="auto"/>
          <w:highlight w:val="none"/>
        </w:rPr>
        <w:t>附件九：材料、工程设备和工程试验规定</w:t>
      </w:r>
      <w:bookmarkEnd w:id="3373"/>
      <w:r>
        <w:rPr>
          <w:rFonts w:hint="eastAsia"/>
          <w:color w:val="auto"/>
          <w:highlight w:val="none"/>
        </w:rPr>
        <w:t xml:space="preserve"> </w:t>
      </w:r>
    </w:p>
    <w:p w14:paraId="7E4E5924">
      <w:pPr>
        <w:spacing w:line="400" w:lineRule="exact"/>
        <w:rPr>
          <w:rFonts w:hint="eastAsia"/>
          <w:color w:val="auto"/>
          <w:highlight w:val="none"/>
        </w:rPr>
      </w:pPr>
      <w:bookmarkStart w:id="3374" w:name="_Toc5922_WPSOffice_Level2"/>
      <w:r>
        <w:rPr>
          <w:rFonts w:hint="eastAsia"/>
          <w:color w:val="auto"/>
          <w:highlight w:val="none"/>
        </w:rPr>
        <w:t>附件十：竣工试验规定</w:t>
      </w:r>
      <w:bookmarkEnd w:id="3374"/>
    </w:p>
    <w:p w14:paraId="60A1AD44">
      <w:pPr>
        <w:spacing w:line="400" w:lineRule="exact"/>
        <w:rPr>
          <w:rFonts w:hint="eastAsia"/>
          <w:color w:val="auto"/>
          <w:highlight w:val="none"/>
        </w:rPr>
      </w:pPr>
      <w:bookmarkStart w:id="3375" w:name="_Toc28639_WPSOffice_Level2"/>
      <w:r>
        <w:rPr>
          <w:rFonts w:hint="eastAsia"/>
          <w:color w:val="auto"/>
          <w:highlight w:val="none"/>
        </w:rPr>
        <w:t>附件十一：竣工验收规定</w:t>
      </w:r>
      <w:bookmarkEnd w:id="3375"/>
    </w:p>
    <w:p w14:paraId="7E167140">
      <w:pPr>
        <w:spacing w:line="400" w:lineRule="exact"/>
        <w:rPr>
          <w:rFonts w:hint="eastAsia"/>
          <w:color w:val="auto"/>
          <w:highlight w:val="none"/>
        </w:rPr>
      </w:pPr>
      <w:bookmarkStart w:id="3376" w:name="_Toc20218_WPSOffice_Level2"/>
      <w:r>
        <w:rPr>
          <w:rFonts w:hint="eastAsia"/>
          <w:color w:val="auto"/>
          <w:highlight w:val="none"/>
        </w:rPr>
        <w:t>附件十二：竣工后试验规定</w:t>
      </w:r>
      <w:bookmarkEnd w:id="3376"/>
    </w:p>
    <w:p w14:paraId="62FD8DFB">
      <w:pPr>
        <w:spacing w:line="400" w:lineRule="exact"/>
        <w:rPr>
          <w:rFonts w:ascii="宋体" w:hAnsi="宋体"/>
          <w:color w:val="auto"/>
          <w:szCs w:val="21"/>
          <w:highlight w:val="none"/>
        </w:rPr>
      </w:pPr>
      <w:bookmarkStart w:id="3377" w:name="_Toc25183_WPSOffice_Level2"/>
      <w:r>
        <w:rPr>
          <w:rFonts w:hint="eastAsia"/>
          <w:color w:val="auto"/>
          <w:highlight w:val="none"/>
        </w:rPr>
        <w:t>附件十三：工程项目管理规定</w:t>
      </w:r>
      <w:bookmarkEnd w:id="3377"/>
      <w:r>
        <w:rPr>
          <w:rFonts w:ascii="宋体" w:hAnsi="宋体"/>
          <w:color w:val="auto"/>
          <w:szCs w:val="21"/>
          <w:highlight w:val="none"/>
        </w:rPr>
        <w:br w:type="page"/>
      </w:r>
    </w:p>
    <w:p w14:paraId="022D1530">
      <w:pPr>
        <w:spacing w:line="400" w:lineRule="exact"/>
        <w:rPr>
          <w:rFonts w:hint="eastAsia" w:ascii="宋体" w:hAnsi="宋体"/>
          <w:color w:val="auto"/>
          <w:szCs w:val="21"/>
          <w:highlight w:val="none"/>
        </w:rPr>
      </w:pPr>
    </w:p>
    <w:p w14:paraId="65A52695">
      <w:pPr>
        <w:spacing w:line="400" w:lineRule="exact"/>
        <w:rPr>
          <w:rFonts w:hint="eastAsia" w:ascii="宋体" w:hAnsi="宋体"/>
          <w:color w:val="auto"/>
          <w:szCs w:val="21"/>
          <w:highlight w:val="none"/>
        </w:rPr>
      </w:pPr>
    </w:p>
    <w:p w14:paraId="1B471615">
      <w:pPr>
        <w:spacing w:line="400" w:lineRule="exact"/>
        <w:rPr>
          <w:rFonts w:hint="eastAsia" w:ascii="宋体" w:hAnsi="宋体"/>
          <w:color w:val="auto"/>
          <w:szCs w:val="21"/>
          <w:highlight w:val="none"/>
        </w:rPr>
      </w:pPr>
    </w:p>
    <w:p w14:paraId="019A7A46">
      <w:pPr>
        <w:spacing w:line="400" w:lineRule="exact"/>
        <w:rPr>
          <w:rFonts w:hint="eastAsia" w:ascii="宋体" w:hAnsi="宋体"/>
          <w:color w:val="auto"/>
          <w:szCs w:val="21"/>
          <w:highlight w:val="none"/>
        </w:rPr>
      </w:pPr>
    </w:p>
    <w:p w14:paraId="68055A9A">
      <w:pPr>
        <w:spacing w:line="360" w:lineRule="auto"/>
        <w:ind w:firstLine="420"/>
        <w:rPr>
          <w:rFonts w:hint="eastAsia" w:ascii="宋体" w:hAnsi="宋体"/>
          <w:color w:val="auto"/>
          <w:szCs w:val="21"/>
          <w:highlight w:val="none"/>
        </w:rPr>
      </w:pPr>
    </w:p>
    <w:p w14:paraId="5A56ED67">
      <w:pPr>
        <w:pStyle w:val="117"/>
        <w:rPr>
          <w:color w:val="auto"/>
          <w:highlight w:val="none"/>
        </w:rPr>
      </w:pPr>
      <w:bookmarkStart w:id="3378" w:name="_Toc23576"/>
      <w:bookmarkStart w:id="3379" w:name="_Toc8552"/>
      <w:bookmarkStart w:id="3380" w:name="_Toc8655"/>
      <w:bookmarkStart w:id="3381" w:name="_Toc4095_WPSOffice_Level1"/>
      <w:bookmarkStart w:id="3382" w:name="_Toc3981"/>
      <w:bookmarkStart w:id="3383" w:name="_Toc519085628"/>
      <w:bookmarkStart w:id="3384" w:name="_Toc16487"/>
      <w:bookmarkStart w:id="3385" w:name="_Toc29597"/>
      <w:r>
        <w:rPr>
          <w:rFonts w:hint="eastAsia"/>
          <w:color w:val="auto"/>
          <w:highlight w:val="none"/>
        </w:rPr>
        <w:t>第六章  发包人提供的资料</w:t>
      </w:r>
      <w:bookmarkEnd w:id="3378"/>
      <w:bookmarkEnd w:id="3379"/>
      <w:bookmarkEnd w:id="3380"/>
      <w:bookmarkEnd w:id="3381"/>
      <w:bookmarkEnd w:id="3382"/>
      <w:bookmarkEnd w:id="3383"/>
      <w:bookmarkEnd w:id="3384"/>
      <w:bookmarkEnd w:id="3385"/>
    </w:p>
    <w:p w14:paraId="1A49E653">
      <w:pPr>
        <w:spacing w:line="360" w:lineRule="auto"/>
        <w:ind w:firstLine="420"/>
        <w:rPr>
          <w:rFonts w:hint="eastAsia"/>
          <w:color w:val="auto"/>
          <w:highlight w:val="none"/>
        </w:rPr>
      </w:pPr>
      <w:r>
        <w:rPr>
          <w:color w:val="auto"/>
          <w:highlight w:val="none"/>
        </w:rPr>
        <w:br w:type="page"/>
      </w:r>
    </w:p>
    <w:p w14:paraId="3353F5F8">
      <w:pPr>
        <w:pStyle w:val="4"/>
        <w:spacing w:before="63"/>
        <w:jc w:val="center"/>
        <w:rPr>
          <w:rFonts w:hint="eastAsia"/>
          <w:color w:val="auto"/>
          <w:highlight w:val="none"/>
        </w:rPr>
      </w:pPr>
      <w:bookmarkStart w:id="3386" w:name="_Toc31135"/>
      <w:bookmarkStart w:id="3387" w:name="_Toc24949"/>
      <w:bookmarkStart w:id="3388" w:name="_Toc20457"/>
      <w:bookmarkStart w:id="3389" w:name="_Toc29735"/>
      <w:bookmarkStart w:id="3390" w:name="_Toc8676_WPSOffice_Level2"/>
      <w:bookmarkStart w:id="3391" w:name="_Toc30230"/>
      <w:bookmarkStart w:id="3392" w:name="_Toc31518"/>
      <w:r>
        <w:rPr>
          <w:rFonts w:hint="eastAsia"/>
          <w:color w:val="auto"/>
          <w:highlight w:val="none"/>
        </w:rPr>
        <w:t>发包人提供的资料</w:t>
      </w:r>
      <w:bookmarkEnd w:id="3386"/>
      <w:bookmarkEnd w:id="3387"/>
      <w:bookmarkEnd w:id="3388"/>
      <w:bookmarkEnd w:id="3389"/>
      <w:bookmarkEnd w:id="3390"/>
      <w:bookmarkEnd w:id="3391"/>
      <w:bookmarkEnd w:id="3392"/>
    </w:p>
    <w:p w14:paraId="6565C694">
      <w:pPr>
        <w:rPr>
          <w:rFonts w:hint="eastAsia"/>
          <w:b/>
          <w:color w:val="auto"/>
          <w:sz w:val="30"/>
          <w:szCs w:val="30"/>
          <w:highlight w:val="none"/>
        </w:rPr>
      </w:pPr>
    </w:p>
    <w:p w14:paraId="2FC64EF8">
      <w:pPr>
        <w:spacing w:line="360" w:lineRule="auto"/>
        <w:ind w:firstLine="420" w:firstLineChars="200"/>
        <w:rPr>
          <w:rFonts w:hint="eastAsia" w:ascii="宋体" w:hAnsi="宋体"/>
          <w:color w:val="auto"/>
          <w:szCs w:val="21"/>
          <w:highlight w:val="none"/>
        </w:rPr>
      </w:pPr>
      <w:bookmarkStart w:id="3393" w:name="_Toc25944_WPSOffice_Level2"/>
      <w:r>
        <w:rPr>
          <w:rFonts w:hint="eastAsia" w:ascii="宋体" w:hAnsi="宋体"/>
          <w:color w:val="auto"/>
          <w:szCs w:val="21"/>
          <w:highlight w:val="none"/>
        </w:rPr>
        <w:t>一、项目概况</w:t>
      </w:r>
      <w:bookmarkEnd w:id="3393"/>
    </w:p>
    <w:p w14:paraId="307EC253">
      <w:pPr>
        <w:spacing w:line="360" w:lineRule="auto"/>
        <w:ind w:firstLine="420" w:firstLineChars="200"/>
        <w:rPr>
          <w:rFonts w:hint="eastAsia" w:ascii="宋体" w:hAnsi="宋体"/>
          <w:color w:val="auto"/>
          <w:szCs w:val="21"/>
          <w:highlight w:val="none"/>
        </w:rPr>
      </w:pPr>
    </w:p>
    <w:p w14:paraId="3D231743">
      <w:pPr>
        <w:spacing w:line="360" w:lineRule="auto"/>
        <w:ind w:firstLine="420" w:firstLineChars="200"/>
        <w:rPr>
          <w:rFonts w:hint="eastAsia" w:ascii="宋体" w:hAnsi="宋体"/>
          <w:color w:val="auto"/>
          <w:szCs w:val="21"/>
          <w:highlight w:val="none"/>
        </w:rPr>
      </w:pPr>
      <w:bookmarkStart w:id="3394" w:name="_Toc4925_WPSOffice_Level2"/>
      <w:r>
        <w:rPr>
          <w:rFonts w:hint="eastAsia" w:ascii="宋体" w:hAnsi="宋体"/>
          <w:color w:val="auto"/>
          <w:szCs w:val="21"/>
          <w:highlight w:val="none"/>
        </w:rPr>
        <w:t>二、发包人提供的资料</w:t>
      </w:r>
      <w:bookmarkEnd w:id="3394"/>
    </w:p>
    <w:p w14:paraId="7CBAF928">
      <w:pPr>
        <w:spacing w:line="360" w:lineRule="auto"/>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施工场地及毗邻区域内的供水、排水、供电、供气、供热、通信、广播电视等地下管线资料、气象和水文观测资料，相邻建筑物和构筑物、地下工程的有关资料，以及其他与建设工程有关的原始资料。</w:t>
      </w:r>
    </w:p>
    <w:p w14:paraId="650E1DC1">
      <w:pPr>
        <w:spacing w:line="360" w:lineRule="auto"/>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定位放线的基准点、基准线和基准标高。</w:t>
      </w:r>
    </w:p>
    <w:p w14:paraId="14EAFDB6">
      <w:pPr>
        <w:spacing w:line="360" w:lineRule="auto"/>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发包人取得的有关审批、核准和备案材料，如规划许可证。</w:t>
      </w:r>
    </w:p>
    <w:p w14:paraId="62BDCD9C">
      <w:pPr>
        <w:spacing w:line="360" w:lineRule="auto"/>
        <w:ind w:firstLine="420" w:firstLineChars="200"/>
        <w:rPr>
          <w:rFonts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．其他资料。</w:t>
      </w:r>
      <w:bookmarkStart w:id="3395" w:name="_Toc152042575"/>
      <w:bookmarkStart w:id="3396" w:name="_Toc144974855"/>
      <w:bookmarkStart w:id="3397" w:name="_Toc152045786"/>
      <w:r>
        <w:rPr>
          <w:rFonts w:ascii="黑体" w:hAnsi="黑体" w:eastAsia="黑体"/>
          <w:b/>
          <w:bCs/>
          <w:color w:val="auto"/>
          <w:sz w:val="32"/>
          <w:highlight w:val="none"/>
        </w:rPr>
        <w:br w:type="page"/>
      </w:r>
    </w:p>
    <w:p w14:paraId="1A6E8A27">
      <w:pPr>
        <w:spacing w:line="400" w:lineRule="exact"/>
        <w:jc w:val="center"/>
        <w:rPr>
          <w:rFonts w:hint="eastAsia"/>
          <w:color w:val="auto"/>
          <w:highlight w:val="none"/>
        </w:rPr>
      </w:pPr>
    </w:p>
    <w:p w14:paraId="4CA22505">
      <w:pPr>
        <w:spacing w:line="400" w:lineRule="exact"/>
        <w:jc w:val="center"/>
        <w:rPr>
          <w:rFonts w:hint="eastAsia"/>
          <w:color w:val="auto"/>
          <w:highlight w:val="none"/>
        </w:rPr>
      </w:pPr>
    </w:p>
    <w:p w14:paraId="093533F1">
      <w:pPr>
        <w:spacing w:line="400" w:lineRule="exact"/>
        <w:jc w:val="center"/>
        <w:rPr>
          <w:rFonts w:hint="eastAsia"/>
          <w:color w:val="auto"/>
          <w:highlight w:val="none"/>
        </w:rPr>
      </w:pPr>
    </w:p>
    <w:p w14:paraId="04000FF1">
      <w:pPr>
        <w:spacing w:line="400" w:lineRule="exact"/>
        <w:jc w:val="center"/>
        <w:rPr>
          <w:rFonts w:hint="eastAsia"/>
          <w:color w:val="auto"/>
          <w:highlight w:val="none"/>
        </w:rPr>
      </w:pPr>
    </w:p>
    <w:p w14:paraId="2A08CED4">
      <w:pPr>
        <w:spacing w:line="400" w:lineRule="exact"/>
        <w:jc w:val="center"/>
        <w:rPr>
          <w:color w:val="auto"/>
          <w:highlight w:val="none"/>
        </w:rPr>
      </w:pPr>
    </w:p>
    <w:p w14:paraId="2A7D0766">
      <w:pPr>
        <w:pStyle w:val="117"/>
        <w:rPr>
          <w:color w:val="auto"/>
          <w:highlight w:val="none"/>
        </w:rPr>
      </w:pPr>
      <w:bookmarkStart w:id="3398" w:name="_Toc247527826"/>
      <w:bookmarkStart w:id="3399" w:name="_Toc247514245"/>
      <w:bookmarkStart w:id="3400" w:name="_Toc14329"/>
      <w:bookmarkStart w:id="3401" w:name="_Toc13756_WPSOffice_Level1"/>
      <w:bookmarkStart w:id="3402" w:name="_Toc4870"/>
      <w:bookmarkStart w:id="3403" w:name="_Toc4651"/>
      <w:bookmarkStart w:id="3404" w:name="_Toc3521"/>
      <w:bookmarkStart w:id="3405" w:name="_Toc16592"/>
      <w:bookmarkStart w:id="3406" w:name="_Toc519085629"/>
      <w:bookmarkStart w:id="3407" w:name="_Toc4804"/>
      <w:r>
        <w:rPr>
          <w:rFonts w:hint="eastAsia"/>
          <w:color w:val="auto"/>
          <w:highlight w:val="none"/>
        </w:rPr>
        <w:t>第七章  投标文件格式</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14:paraId="7D646831">
      <w:pPr>
        <w:spacing w:line="400" w:lineRule="exact"/>
        <w:rPr>
          <w:color w:val="auto"/>
          <w:highlight w:val="none"/>
        </w:rPr>
      </w:pPr>
    </w:p>
    <w:p w14:paraId="0ED15E58">
      <w:pPr>
        <w:spacing w:line="400" w:lineRule="exact"/>
        <w:rPr>
          <w:rFonts w:hint="eastAsia"/>
          <w:color w:val="auto"/>
          <w:highlight w:val="none"/>
        </w:rPr>
      </w:pPr>
      <w:r>
        <w:rPr>
          <w:color w:val="auto"/>
          <w:highlight w:val="none"/>
        </w:rPr>
        <w:br w:type="page"/>
      </w:r>
    </w:p>
    <w:p w14:paraId="05A8E7F4">
      <w:pPr>
        <w:spacing w:line="400" w:lineRule="exact"/>
        <w:rPr>
          <w:rFonts w:hint="eastAsia"/>
          <w:color w:val="auto"/>
          <w:highlight w:val="none"/>
        </w:rPr>
      </w:pPr>
    </w:p>
    <w:p w14:paraId="3A6DC0F2">
      <w:pPr>
        <w:spacing w:line="400" w:lineRule="exact"/>
        <w:rPr>
          <w:rFonts w:hint="eastAsia"/>
          <w:color w:val="auto"/>
          <w:highlight w:val="none"/>
        </w:rPr>
      </w:pPr>
    </w:p>
    <w:p w14:paraId="012C5383">
      <w:pPr>
        <w:spacing w:line="400" w:lineRule="exact"/>
        <w:rPr>
          <w:rFonts w:hint="eastAsia"/>
          <w:color w:val="auto"/>
          <w:highlight w:val="none"/>
        </w:rPr>
      </w:pPr>
    </w:p>
    <w:p w14:paraId="2D0C4399">
      <w:pPr>
        <w:spacing w:line="400" w:lineRule="exact"/>
        <w:rPr>
          <w:rFonts w:hint="eastAsia"/>
          <w:color w:val="auto"/>
          <w:highlight w:val="none"/>
        </w:rPr>
      </w:pPr>
    </w:p>
    <w:p w14:paraId="5DAAB6A8">
      <w:pPr>
        <w:spacing w:line="400" w:lineRule="exact"/>
        <w:rPr>
          <w:rFonts w:hint="eastAsia"/>
          <w:color w:val="auto"/>
          <w:highlight w:val="none"/>
        </w:rPr>
      </w:pPr>
    </w:p>
    <w:p w14:paraId="304444AD">
      <w:pPr>
        <w:spacing w:line="400" w:lineRule="exact"/>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 xml:space="preserve">   </w:t>
      </w:r>
      <w:r>
        <w:rPr>
          <w:rFonts w:hint="eastAsia" w:ascii="黑体" w:hAnsi="黑体" w:eastAsia="黑体"/>
          <w:color w:val="auto"/>
          <w:sz w:val="28"/>
          <w:szCs w:val="28"/>
          <w:highlight w:val="none"/>
          <w:u w:val="single"/>
        </w:rPr>
        <w:t xml:space="preserve">       </w:t>
      </w:r>
      <w:bookmarkStart w:id="3408" w:name="_Toc8805_WPSOffice_Level1"/>
      <w:bookmarkStart w:id="3409" w:name="_Toc19172_WPSOffice_Level1"/>
      <w:r>
        <w:rPr>
          <w:rFonts w:hint="eastAsia" w:ascii="黑体" w:hAnsi="黑体" w:eastAsia="黑体"/>
          <w:color w:val="auto"/>
          <w:sz w:val="28"/>
          <w:szCs w:val="28"/>
          <w:highlight w:val="none"/>
        </w:rPr>
        <w:t>（项目名称）</w:t>
      </w:r>
      <w:r>
        <w:rPr>
          <w:rFonts w:hint="eastAsia" w:ascii="黑体" w:hAnsi="黑体" w:eastAsia="黑体"/>
          <w:color w:val="auto"/>
          <w:sz w:val="28"/>
          <w:szCs w:val="28"/>
          <w:highlight w:val="none"/>
          <w:u w:val="single"/>
        </w:rPr>
        <w:t xml:space="preserve">    </w:t>
      </w:r>
      <w:r>
        <w:rPr>
          <w:rFonts w:hint="eastAsia" w:ascii="黑体" w:hAnsi="黑体" w:eastAsia="黑体"/>
          <w:color w:val="auto"/>
          <w:sz w:val="28"/>
          <w:szCs w:val="28"/>
          <w:highlight w:val="none"/>
        </w:rPr>
        <w:t>（标段名称）工程总承包</w:t>
      </w:r>
      <w:r>
        <w:rPr>
          <w:rFonts w:ascii="黑体" w:hAnsi="黑体" w:eastAsia="黑体"/>
          <w:color w:val="auto"/>
          <w:sz w:val="28"/>
          <w:szCs w:val="28"/>
          <w:highlight w:val="none"/>
        </w:rPr>
        <w:t>招标</w:t>
      </w:r>
      <w:bookmarkEnd w:id="3408"/>
      <w:bookmarkEnd w:id="3409"/>
    </w:p>
    <w:p w14:paraId="193F05CA">
      <w:pPr>
        <w:rPr>
          <w:rFonts w:eastAsia="黑体"/>
          <w:color w:val="auto"/>
          <w:sz w:val="20"/>
          <w:szCs w:val="20"/>
          <w:highlight w:val="none"/>
        </w:rPr>
      </w:pPr>
    </w:p>
    <w:p w14:paraId="66120E94">
      <w:pPr>
        <w:rPr>
          <w:rFonts w:eastAsia="黑体"/>
          <w:color w:val="auto"/>
          <w:sz w:val="20"/>
          <w:szCs w:val="20"/>
          <w:highlight w:val="none"/>
        </w:rPr>
      </w:pPr>
    </w:p>
    <w:p w14:paraId="253120A9">
      <w:pPr>
        <w:jc w:val="center"/>
        <w:rPr>
          <w:rFonts w:eastAsia="黑体"/>
          <w:color w:val="auto"/>
          <w:sz w:val="44"/>
          <w:szCs w:val="44"/>
          <w:highlight w:val="none"/>
        </w:rPr>
      </w:pPr>
      <w:bookmarkStart w:id="3410" w:name="_Toc20975_WPSOffice_Level2"/>
      <w:bookmarkStart w:id="3411" w:name="_Toc29366_WPSOffice_Level2"/>
      <w:r>
        <w:rPr>
          <w:rFonts w:eastAsia="黑体"/>
          <w:color w:val="auto"/>
          <w:sz w:val="44"/>
          <w:szCs w:val="44"/>
          <w:highlight w:val="none"/>
        </w:rPr>
        <w:t>投  标  文  件</w:t>
      </w:r>
      <w:bookmarkEnd w:id="3410"/>
      <w:bookmarkEnd w:id="3411"/>
    </w:p>
    <w:p w14:paraId="59A75780">
      <w:pPr>
        <w:rPr>
          <w:rFonts w:eastAsia="黑体"/>
          <w:color w:val="auto"/>
          <w:sz w:val="28"/>
          <w:szCs w:val="28"/>
          <w:highlight w:val="none"/>
        </w:rPr>
      </w:pPr>
    </w:p>
    <w:p w14:paraId="4E246C1B">
      <w:pPr>
        <w:ind w:firstLine="2800" w:firstLineChars="1000"/>
        <w:rPr>
          <w:rFonts w:hint="eastAsia" w:ascii="宋体" w:hAnsi="宋体" w:cs="宋体"/>
          <w:color w:val="auto"/>
          <w:sz w:val="28"/>
          <w:szCs w:val="28"/>
          <w:highlight w:val="none"/>
        </w:rPr>
      </w:pPr>
      <w:bookmarkStart w:id="3412" w:name="_Toc29686_WPSOffice_Level2"/>
      <w:bookmarkStart w:id="3413" w:name="_Toc6643_WPSOffice_Level2"/>
      <w:r>
        <w:rPr>
          <w:rFonts w:hint="eastAsia" w:ascii="宋体" w:hAnsi="宋体" w:cs="宋体"/>
          <w:color w:val="auto"/>
          <w:sz w:val="28"/>
          <w:szCs w:val="28"/>
          <w:highlight w:val="none"/>
        </w:rPr>
        <w:t>交易登记号:</w:t>
      </w:r>
      <w:bookmarkEnd w:id="3412"/>
      <w:bookmarkEnd w:id="3413"/>
      <w:r>
        <w:rPr>
          <w:rFonts w:hint="eastAsia" w:ascii="宋体" w:hAnsi="宋体" w:cs="宋体"/>
          <w:color w:val="auto"/>
          <w:sz w:val="28"/>
          <w:szCs w:val="28"/>
          <w:highlight w:val="none"/>
        </w:rPr>
        <w:t xml:space="preserve"> </w:t>
      </w:r>
      <w:r>
        <w:rPr>
          <w:rFonts w:hint="eastAsia" w:ascii="宋体" w:hAnsi="宋体" w:cs="宋体"/>
          <w:color w:val="auto"/>
          <w:sz w:val="28"/>
          <w:szCs w:val="28"/>
          <w:highlight w:val="none"/>
          <w:u w:val="single"/>
        </w:rPr>
        <w:t xml:space="preserve">           </w:t>
      </w:r>
    </w:p>
    <w:p w14:paraId="610EDAC0">
      <w:pPr>
        <w:rPr>
          <w:rFonts w:eastAsia="黑体"/>
          <w:color w:val="auto"/>
          <w:sz w:val="28"/>
          <w:szCs w:val="28"/>
          <w:highlight w:val="none"/>
        </w:rPr>
      </w:pPr>
    </w:p>
    <w:p w14:paraId="08D32F88">
      <w:pPr>
        <w:rPr>
          <w:rFonts w:hint="eastAsia" w:eastAsia="黑体"/>
          <w:color w:val="auto"/>
          <w:sz w:val="28"/>
          <w:szCs w:val="28"/>
          <w:highlight w:val="none"/>
        </w:rPr>
      </w:pPr>
    </w:p>
    <w:p w14:paraId="2148E8B7">
      <w:pPr>
        <w:rPr>
          <w:rFonts w:hint="eastAsia" w:eastAsia="黑体"/>
          <w:color w:val="auto"/>
          <w:sz w:val="28"/>
          <w:szCs w:val="28"/>
          <w:highlight w:val="none"/>
        </w:rPr>
      </w:pPr>
    </w:p>
    <w:p w14:paraId="2FFF3913">
      <w:pPr>
        <w:rPr>
          <w:rFonts w:eastAsia="黑体"/>
          <w:color w:val="auto"/>
          <w:sz w:val="28"/>
          <w:szCs w:val="28"/>
          <w:highlight w:val="none"/>
        </w:rPr>
      </w:pPr>
    </w:p>
    <w:p w14:paraId="65E89C20">
      <w:pPr>
        <w:rPr>
          <w:rFonts w:eastAsia="黑体"/>
          <w:color w:val="auto"/>
          <w:sz w:val="28"/>
          <w:szCs w:val="28"/>
          <w:highlight w:val="none"/>
        </w:rPr>
      </w:pPr>
    </w:p>
    <w:p w14:paraId="78A5A317">
      <w:pPr>
        <w:rPr>
          <w:rFonts w:eastAsia="黑体"/>
          <w:color w:val="auto"/>
          <w:sz w:val="28"/>
          <w:szCs w:val="28"/>
          <w:highlight w:val="none"/>
        </w:rPr>
      </w:pPr>
    </w:p>
    <w:p w14:paraId="02AE3854">
      <w:pPr>
        <w:rPr>
          <w:rFonts w:eastAsia="黑体"/>
          <w:color w:val="auto"/>
          <w:sz w:val="28"/>
          <w:szCs w:val="28"/>
          <w:highlight w:val="none"/>
        </w:rPr>
      </w:pPr>
    </w:p>
    <w:p w14:paraId="009383EB">
      <w:pPr>
        <w:spacing w:line="480" w:lineRule="auto"/>
        <w:ind w:firstLine="1260" w:firstLineChars="450"/>
        <w:rPr>
          <w:rFonts w:ascii="宋体" w:hAnsi="宋体"/>
          <w:color w:val="auto"/>
          <w:sz w:val="28"/>
          <w:szCs w:val="28"/>
          <w:highlight w:val="none"/>
          <w:u w:val="single"/>
        </w:rPr>
      </w:pPr>
      <w:bookmarkStart w:id="3414" w:name="_Toc17118_WPSOffice_Level2"/>
      <w:bookmarkStart w:id="3415" w:name="_Toc2140_WPSOffice_Level2"/>
      <w:r>
        <w:rPr>
          <w:rFonts w:ascii="宋体" w:hAnsi="宋体"/>
          <w:color w:val="auto"/>
          <w:sz w:val="28"/>
          <w:szCs w:val="28"/>
          <w:highlight w:val="none"/>
        </w:rPr>
        <w:t>投标人：</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ascii="宋体" w:hAnsi="宋体"/>
          <w:color w:val="auto"/>
          <w:sz w:val="28"/>
          <w:szCs w:val="28"/>
          <w:highlight w:val="none"/>
        </w:rPr>
        <w:t>（盖单位章）</w:t>
      </w:r>
      <w:bookmarkEnd w:id="3414"/>
      <w:bookmarkEnd w:id="3415"/>
    </w:p>
    <w:p w14:paraId="30260AFA">
      <w:pPr>
        <w:spacing w:line="480" w:lineRule="auto"/>
        <w:jc w:val="center"/>
        <w:rPr>
          <w:rFonts w:ascii="宋体" w:hAnsi="宋体"/>
          <w:color w:val="auto"/>
          <w:sz w:val="28"/>
          <w:szCs w:val="28"/>
          <w:highlight w:val="none"/>
        </w:rPr>
      </w:pPr>
      <w:r>
        <w:rPr>
          <w:rFonts w:hint="eastAsia" w:ascii="宋体" w:hAnsi="宋体"/>
          <w:color w:val="auto"/>
          <w:sz w:val="28"/>
          <w:szCs w:val="28"/>
          <w:highlight w:val="none"/>
        </w:rPr>
        <w:t xml:space="preserve"> </w:t>
      </w:r>
      <w:bookmarkStart w:id="3416" w:name="_Toc15340_WPSOffice_Level1"/>
      <w:bookmarkStart w:id="3417" w:name="_Toc30380_WPSOffice_Level1"/>
      <w:r>
        <w:rPr>
          <w:rFonts w:ascii="宋体" w:hAnsi="宋体"/>
          <w:color w:val="auto"/>
          <w:sz w:val="28"/>
          <w:szCs w:val="28"/>
          <w:highlight w:val="none"/>
        </w:rPr>
        <w:t>法定代表人或其委托代理人：</w:t>
      </w:r>
      <w:r>
        <w:rPr>
          <w:rFonts w:ascii="宋体" w:hAnsi="宋体"/>
          <w:color w:val="auto"/>
          <w:sz w:val="28"/>
          <w:szCs w:val="28"/>
          <w:highlight w:val="none"/>
          <w:u w:val="single"/>
        </w:rPr>
        <w:t xml:space="preserve">              </w:t>
      </w:r>
      <w:r>
        <w:rPr>
          <w:rFonts w:ascii="宋体" w:hAnsi="宋体"/>
          <w:color w:val="auto"/>
          <w:sz w:val="28"/>
          <w:szCs w:val="28"/>
          <w:highlight w:val="none"/>
        </w:rPr>
        <w:t>（签字）</w:t>
      </w:r>
      <w:bookmarkEnd w:id="3416"/>
      <w:bookmarkEnd w:id="3417"/>
    </w:p>
    <w:p w14:paraId="47F9F35F">
      <w:pPr>
        <w:ind w:firstLine="2520" w:firstLineChars="900"/>
        <w:rPr>
          <w:rFonts w:ascii="宋体" w:hAnsi="宋体"/>
          <w:color w:val="auto"/>
          <w:sz w:val="28"/>
          <w:szCs w:val="28"/>
          <w:highlight w:val="none"/>
          <w:u w:val="single"/>
        </w:rPr>
      </w:pPr>
    </w:p>
    <w:p w14:paraId="4ADFB00B">
      <w:pPr>
        <w:jc w:val="center"/>
        <w:rPr>
          <w:rFonts w:hint="eastAsia" w:ascii="宋体" w:hAnsi="宋体"/>
          <w:color w:val="auto"/>
          <w:sz w:val="28"/>
          <w:szCs w:val="28"/>
          <w:highlight w:val="none"/>
        </w:rPr>
      </w:pPr>
    </w:p>
    <w:p w14:paraId="715639A3">
      <w:pPr>
        <w:jc w:val="center"/>
        <w:rPr>
          <w:rFonts w:hint="eastAsia" w:ascii="宋体" w:hAnsi="宋体"/>
          <w:color w:val="auto"/>
          <w:sz w:val="28"/>
          <w:szCs w:val="28"/>
          <w:highlight w:val="none"/>
        </w:rPr>
      </w:pPr>
      <w:r>
        <w:rPr>
          <w:rFonts w:hint="eastAsia" w:ascii="宋体" w:hAnsi="宋体"/>
          <w:color w:val="auto"/>
          <w:sz w:val="28"/>
          <w:szCs w:val="28"/>
          <w:highlight w:val="none"/>
          <w:u w:val="single"/>
        </w:rPr>
        <w:t xml:space="preserve">         </w:t>
      </w:r>
      <w:bookmarkStart w:id="3418" w:name="_Toc28264_WPSOffice_Level1"/>
      <w:bookmarkStart w:id="3419" w:name="_Toc28738_WPSOffice_Level1"/>
      <w:r>
        <w:rPr>
          <w:rFonts w:ascii="宋体" w:hAnsi="宋体"/>
          <w:color w:val="auto"/>
          <w:sz w:val="28"/>
          <w:szCs w:val="28"/>
          <w:highlight w:val="none"/>
        </w:rPr>
        <w:t>年</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ascii="宋体" w:hAnsi="宋体"/>
          <w:color w:val="auto"/>
          <w:sz w:val="28"/>
          <w:szCs w:val="28"/>
          <w:highlight w:val="none"/>
        </w:rPr>
        <w:t>月</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rPr>
        <w:t>日</w:t>
      </w:r>
      <w:bookmarkEnd w:id="3418"/>
      <w:bookmarkEnd w:id="3419"/>
    </w:p>
    <w:p w14:paraId="2BA432F9">
      <w:pPr>
        <w:spacing w:line="440" w:lineRule="exact"/>
        <w:rPr>
          <w:rFonts w:hint="eastAsia" w:eastAsia="黑体"/>
          <w:color w:val="auto"/>
          <w:sz w:val="20"/>
          <w:szCs w:val="20"/>
          <w:highlight w:val="none"/>
        </w:rPr>
      </w:pPr>
    </w:p>
    <w:p w14:paraId="510A6D16">
      <w:pPr>
        <w:spacing w:line="440" w:lineRule="exact"/>
        <w:rPr>
          <w:rFonts w:hint="eastAsia" w:eastAsia="黑体"/>
          <w:color w:val="auto"/>
          <w:sz w:val="20"/>
          <w:szCs w:val="20"/>
          <w:highlight w:val="none"/>
        </w:rPr>
      </w:pPr>
    </w:p>
    <w:p w14:paraId="450001F5">
      <w:pPr>
        <w:spacing w:line="440" w:lineRule="exact"/>
        <w:rPr>
          <w:rFonts w:hint="eastAsia" w:eastAsia="黑体"/>
          <w:color w:val="auto"/>
          <w:sz w:val="20"/>
          <w:szCs w:val="20"/>
          <w:highlight w:val="none"/>
        </w:rPr>
      </w:pPr>
    </w:p>
    <w:p w14:paraId="345FC76A">
      <w:pPr>
        <w:spacing w:line="440" w:lineRule="exact"/>
        <w:rPr>
          <w:rFonts w:hint="eastAsia" w:eastAsia="黑体"/>
          <w:color w:val="auto"/>
          <w:sz w:val="20"/>
          <w:szCs w:val="20"/>
          <w:highlight w:val="none"/>
        </w:rPr>
      </w:pPr>
    </w:p>
    <w:p w14:paraId="5DF794B0">
      <w:pPr>
        <w:spacing w:line="440" w:lineRule="exact"/>
        <w:rPr>
          <w:rFonts w:hint="eastAsia" w:eastAsia="黑体"/>
          <w:color w:val="auto"/>
          <w:sz w:val="20"/>
          <w:szCs w:val="20"/>
          <w:highlight w:val="none"/>
        </w:rPr>
      </w:pPr>
    </w:p>
    <w:p w14:paraId="79231B57">
      <w:pPr>
        <w:spacing w:line="400" w:lineRule="exact"/>
        <w:rPr>
          <w:rFonts w:hint="eastAsia"/>
          <w:color w:val="auto"/>
          <w:highlight w:val="none"/>
        </w:rPr>
      </w:pPr>
    </w:p>
    <w:p w14:paraId="354D50FC">
      <w:pPr>
        <w:pStyle w:val="90"/>
        <w:spacing w:before="63"/>
        <w:outlineLvl w:val="9"/>
        <w:rPr>
          <w:rFonts w:hint="eastAsia"/>
          <w:color w:val="auto"/>
          <w:highlight w:val="none"/>
        </w:rPr>
      </w:pPr>
      <w:bookmarkStart w:id="3420" w:name="_Toc247514246"/>
      <w:bookmarkStart w:id="3421" w:name="_Toc4656"/>
      <w:bookmarkStart w:id="3422" w:name="_Toc31958"/>
      <w:bookmarkStart w:id="3423" w:name="_Toc20765_WPSOffice_Level2"/>
      <w:bookmarkStart w:id="3424" w:name="_Toc8818_WPSOffice_Level2"/>
      <w:bookmarkStart w:id="3425" w:name="_Toc22140"/>
      <w:bookmarkStart w:id="3426" w:name="_Toc30658"/>
      <w:bookmarkStart w:id="3427" w:name="_Toc247527827"/>
      <w:bookmarkStart w:id="3428" w:name="_Toc519085630"/>
      <w:bookmarkStart w:id="3429" w:name="_Toc152042576"/>
      <w:bookmarkStart w:id="3430" w:name="_Toc152045787"/>
      <w:bookmarkStart w:id="3431" w:name="_Toc144974856"/>
      <w:bookmarkStart w:id="3432" w:name="_Toc25796"/>
      <w:bookmarkStart w:id="3433" w:name="_Toc19054"/>
      <w:r>
        <w:rPr>
          <w:rFonts w:hint="eastAsia"/>
          <w:color w:val="auto"/>
          <w:highlight w:val="none"/>
        </w:rPr>
        <w:t>目    录</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14:paraId="04669871">
      <w:pPr>
        <w:spacing w:line="540" w:lineRule="exact"/>
        <w:rPr>
          <w:color w:val="auto"/>
          <w:highlight w:val="none"/>
        </w:rPr>
      </w:pPr>
      <w:bookmarkStart w:id="3434" w:name="_Toc21815_WPSOffice_Level1"/>
      <w:bookmarkStart w:id="3435" w:name="_Toc21871_WPSOffice_Level1"/>
      <w:r>
        <w:rPr>
          <w:rFonts w:hint="eastAsia"/>
          <w:color w:val="auto"/>
          <w:highlight w:val="none"/>
        </w:rPr>
        <w:t>一、投标函及投标函附录</w:t>
      </w:r>
      <w:bookmarkEnd w:id="3434"/>
      <w:bookmarkEnd w:id="3435"/>
    </w:p>
    <w:p w14:paraId="38B48008">
      <w:pPr>
        <w:spacing w:line="540" w:lineRule="exact"/>
        <w:rPr>
          <w:rFonts w:hint="eastAsia"/>
          <w:color w:val="auto"/>
          <w:highlight w:val="none"/>
        </w:rPr>
      </w:pPr>
      <w:bookmarkStart w:id="3436" w:name="_Toc11865_WPSOffice_Level1"/>
      <w:bookmarkStart w:id="3437" w:name="_Toc12884_WPSOffice_Level1"/>
      <w:r>
        <w:rPr>
          <w:rFonts w:hint="eastAsia"/>
          <w:color w:val="auto"/>
          <w:highlight w:val="none"/>
        </w:rPr>
        <w:t>二、法定代表人身份证明</w:t>
      </w:r>
      <w:bookmarkEnd w:id="3436"/>
      <w:bookmarkEnd w:id="3437"/>
    </w:p>
    <w:p w14:paraId="5E13CDAB">
      <w:pPr>
        <w:spacing w:line="540" w:lineRule="exact"/>
        <w:rPr>
          <w:rFonts w:hint="eastAsia"/>
          <w:color w:val="auto"/>
          <w:highlight w:val="none"/>
        </w:rPr>
      </w:pPr>
      <w:bookmarkStart w:id="3438" w:name="_Toc20615_WPSOffice_Level1"/>
      <w:bookmarkStart w:id="3439" w:name="_Toc9806_WPSOffice_Level1"/>
      <w:r>
        <w:rPr>
          <w:rFonts w:hint="eastAsia"/>
          <w:color w:val="auto"/>
          <w:highlight w:val="none"/>
        </w:rPr>
        <w:t>三、法定代表人授权委托书</w:t>
      </w:r>
      <w:bookmarkEnd w:id="3438"/>
      <w:bookmarkEnd w:id="3439"/>
    </w:p>
    <w:p w14:paraId="62E49C4F">
      <w:pPr>
        <w:spacing w:line="540" w:lineRule="exact"/>
        <w:rPr>
          <w:color w:val="auto"/>
          <w:highlight w:val="none"/>
        </w:rPr>
      </w:pPr>
      <w:bookmarkStart w:id="3440" w:name="_Toc16375_WPSOffice_Level1"/>
      <w:bookmarkStart w:id="3441" w:name="_Toc27988_WPSOffice_Level1"/>
      <w:r>
        <w:rPr>
          <w:rFonts w:hint="eastAsia"/>
          <w:color w:val="auto"/>
          <w:highlight w:val="none"/>
        </w:rPr>
        <w:t>四、联合体协议书（如有）</w:t>
      </w:r>
      <w:bookmarkEnd w:id="3440"/>
      <w:bookmarkEnd w:id="3441"/>
    </w:p>
    <w:p w14:paraId="2514EF18">
      <w:pPr>
        <w:spacing w:line="540" w:lineRule="exact"/>
        <w:rPr>
          <w:color w:val="auto"/>
          <w:highlight w:val="none"/>
        </w:rPr>
      </w:pPr>
      <w:bookmarkStart w:id="3442" w:name="_Toc8390_WPSOffice_Level1"/>
      <w:bookmarkStart w:id="3443" w:name="_Toc6526_WPSOffice_Level1"/>
      <w:r>
        <w:rPr>
          <w:rFonts w:hint="eastAsia"/>
          <w:color w:val="auto"/>
          <w:highlight w:val="none"/>
        </w:rPr>
        <w:t>五、投标保证金</w:t>
      </w:r>
      <w:bookmarkEnd w:id="3442"/>
      <w:bookmarkEnd w:id="3443"/>
      <w:r>
        <w:rPr>
          <w:rFonts w:hint="eastAsia"/>
          <w:color w:val="auto"/>
          <w:highlight w:val="none"/>
        </w:rPr>
        <w:t xml:space="preserve"> </w:t>
      </w:r>
    </w:p>
    <w:p w14:paraId="12B2AD57">
      <w:pPr>
        <w:spacing w:line="540" w:lineRule="exact"/>
        <w:rPr>
          <w:color w:val="auto"/>
          <w:highlight w:val="none"/>
        </w:rPr>
      </w:pPr>
      <w:bookmarkStart w:id="3444" w:name="_Toc17303_WPSOffice_Level1"/>
      <w:bookmarkStart w:id="3445" w:name="_Toc27983_WPSOffice_Level1"/>
      <w:r>
        <w:rPr>
          <w:rFonts w:hint="eastAsia"/>
          <w:color w:val="auto"/>
          <w:highlight w:val="none"/>
        </w:rPr>
        <w:t>六、价格清单</w:t>
      </w:r>
      <w:bookmarkEnd w:id="3444"/>
      <w:bookmarkEnd w:id="3445"/>
    </w:p>
    <w:p w14:paraId="2427C88E">
      <w:pPr>
        <w:spacing w:line="540" w:lineRule="exact"/>
        <w:rPr>
          <w:color w:val="auto"/>
          <w:highlight w:val="none"/>
        </w:rPr>
      </w:pPr>
      <w:bookmarkStart w:id="3446" w:name="_Toc22193_WPSOffice_Level1"/>
      <w:bookmarkStart w:id="3447" w:name="_Toc4550_WPSOffice_Level1"/>
      <w:r>
        <w:rPr>
          <w:rFonts w:hint="eastAsia"/>
          <w:color w:val="auto"/>
          <w:highlight w:val="none"/>
        </w:rPr>
        <w:t>七、承包人建议书</w:t>
      </w:r>
      <w:bookmarkEnd w:id="3446"/>
      <w:bookmarkEnd w:id="3447"/>
    </w:p>
    <w:p w14:paraId="263AF4CB">
      <w:pPr>
        <w:spacing w:line="540" w:lineRule="exact"/>
        <w:rPr>
          <w:rFonts w:hint="eastAsia" w:eastAsia="宋体"/>
          <w:color w:val="auto"/>
          <w:highlight w:val="none"/>
          <w:lang w:eastAsia="zh-CN"/>
        </w:rPr>
      </w:pPr>
      <w:bookmarkStart w:id="3448" w:name="_Toc2279_WPSOffice_Level1"/>
      <w:bookmarkStart w:id="3449" w:name="_Toc2592_WPSOffice_Level1"/>
      <w:r>
        <w:rPr>
          <w:rFonts w:hint="eastAsia"/>
          <w:color w:val="auto"/>
          <w:highlight w:val="none"/>
        </w:rPr>
        <w:t>八、承包人实施</w:t>
      </w:r>
      <w:bookmarkEnd w:id="3448"/>
      <w:bookmarkEnd w:id="3449"/>
      <w:r>
        <w:rPr>
          <w:rFonts w:hint="eastAsia"/>
          <w:color w:val="auto"/>
          <w:highlight w:val="none"/>
          <w:lang w:val="en-US" w:eastAsia="zh-CN"/>
        </w:rPr>
        <w:t>方案</w:t>
      </w:r>
    </w:p>
    <w:p w14:paraId="47E23DE7">
      <w:pPr>
        <w:spacing w:line="540" w:lineRule="exact"/>
        <w:rPr>
          <w:rFonts w:hint="eastAsia"/>
          <w:color w:val="auto"/>
          <w:highlight w:val="none"/>
        </w:rPr>
      </w:pPr>
      <w:bookmarkStart w:id="3450" w:name="_Toc9219_WPSOffice_Level1"/>
      <w:bookmarkStart w:id="3451" w:name="_Toc4265_WPSOffice_Level1"/>
      <w:r>
        <w:rPr>
          <w:rFonts w:hint="eastAsia"/>
          <w:color w:val="auto"/>
          <w:highlight w:val="none"/>
        </w:rPr>
        <w:t>九、项目管理机构</w:t>
      </w:r>
      <w:bookmarkEnd w:id="3450"/>
      <w:bookmarkEnd w:id="3451"/>
    </w:p>
    <w:p w14:paraId="1FC4C499">
      <w:pPr>
        <w:spacing w:line="600" w:lineRule="exact"/>
        <w:rPr>
          <w:rFonts w:hint="eastAsia"/>
          <w:color w:val="auto"/>
          <w:highlight w:val="none"/>
        </w:rPr>
      </w:pPr>
      <w:bookmarkStart w:id="3452" w:name="_Toc15202_WPSOffice_Level1"/>
      <w:bookmarkStart w:id="3453" w:name="_Toc28917_WPSOffice_Level1"/>
      <w:r>
        <w:rPr>
          <w:rFonts w:hint="eastAsia" w:ascii="宋体" w:hAnsi="宋体"/>
          <w:color w:val="auto"/>
          <w:szCs w:val="21"/>
          <w:highlight w:val="none"/>
        </w:rPr>
        <w:t>十、拟分包项目情况表</w:t>
      </w:r>
      <w:bookmarkEnd w:id="3452"/>
      <w:bookmarkEnd w:id="3453"/>
    </w:p>
    <w:p w14:paraId="454E74C6">
      <w:pPr>
        <w:spacing w:line="540" w:lineRule="exact"/>
        <w:rPr>
          <w:color w:val="auto"/>
          <w:highlight w:val="none"/>
        </w:rPr>
      </w:pPr>
      <w:bookmarkStart w:id="3454" w:name="_Toc23979_WPSOffice_Level1"/>
      <w:bookmarkStart w:id="3455" w:name="_Toc4098_WPSOffice_Level1"/>
      <w:r>
        <w:rPr>
          <w:rFonts w:hint="eastAsia"/>
          <w:color w:val="auto"/>
          <w:highlight w:val="none"/>
        </w:rPr>
        <w:t>十一、资格审查资料</w:t>
      </w:r>
      <w:bookmarkEnd w:id="3454"/>
      <w:bookmarkEnd w:id="3455"/>
    </w:p>
    <w:p w14:paraId="6056B259">
      <w:pPr>
        <w:spacing w:line="540" w:lineRule="exact"/>
        <w:rPr>
          <w:color w:val="auto"/>
          <w:highlight w:val="none"/>
        </w:rPr>
      </w:pPr>
      <w:bookmarkStart w:id="3456" w:name="_Toc5673_WPSOffice_Level1"/>
      <w:bookmarkStart w:id="3457" w:name="_Toc24608_WPSOffice_Level1"/>
      <w:r>
        <w:rPr>
          <w:rFonts w:hint="eastAsia"/>
          <w:color w:val="auto"/>
          <w:highlight w:val="none"/>
        </w:rPr>
        <w:t>十二、其他资料</w:t>
      </w:r>
      <w:bookmarkEnd w:id="3456"/>
      <w:bookmarkEnd w:id="3457"/>
    </w:p>
    <w:p w14:paraId="0A6A7DE8">
      <w:pPr>
        <w:spacing w:line="540" w:lineRule="exact"/>
        <w:rPr>
          <w:color w:val="auto"/>
          <w:highlight w:val="none"/>
        </w:rPr>
      </w:pPr>
      <w:r>
        <w:rPr>
          <w:color w:val="auto"/>
          <w:highlight w:val="none"/>
        </w:rPr>
        <w:t xml:space="preserve"> </w:t>
      </w:r>
    </w:p>
    <w:p w14:paraId="5AD6532C">
      <w:pPr>
        <w:spacing w:line="540" w:lineRule="exact"/>
        <w:rPr>
          <w:rFonts w:hint="eastAsia"/>
          <w:color w:val="auto"/>
          <w:highlight w:val="none"/>
        </w:rPr>
      </w:pPr>
    </w:p>
    <w:p w14:paraId="31969CB7">
      <w:pPr>
        <w:spacing w:line="540" w:lineRule="exact"/>
        <w:rPr>
          <w:rFonts w:hint="eastAsia"/>
          <w:color w:val="auto"/>
          <w:highlight w:val="none"/>
        </w:rPr>
      </w:pPr>
    </w:p>
    <w:p w14:paraId="270EF114">
      <w:pPr>
        <w:spacing w:line="540" w:lineRule="exact"/>
        <w:rPr>
          <w:rFonts w:hint="eastAsia"/>
          <w:color w:val="auto"/>
          <w:highlight w:val="none"/>
        </w:rPr>
      </w:pPr>
    </w:p>
    <w:p w14:paraId="3B4805EC">
      <w:pPr>
        <w:spacing w:line="540" w:lineRule="exact"/>
        <w:rPr>
          <w:rFonts w:hint="eastAsia"/>
          <w:color w:val="auto"/>
          <w:highlight w:val="none"/>
        </w:rPr>
      </w:pPr>
    </w:p>
    <w:p w14:paraId="0221F211">
      <w:pPr>
        <w:spacing w:line="540" w:lineRule="exact"/>
        <w:rPr>
          <w:rFonts w:hint="eastAsia"/>
          <w:color w:val="auto"/>
          <w:highlight w:val="none"/>
        </w:rPr>
      </w:pPr>
    </w:p>
    <w:p w14:paraId="5ABACD7F">
      <w:pPr>
        <w:spacing w:line="540" w:lineRule="exact"/>
        <w:rPr>
          <w:rFonts w:hint="eastAsia"/>
          <w:color w:val="auto"/>
          <w:highlight w:val="none"/>
        </w:rPr>
      </w:pPr>
    </w:p>
    <w:p w14:paraId="0F5871A0">
      <w:pPr>
        <w:spacing w:line="540" w:lineRule="exact"/>
        <w:rPr>
          <w:rFonts w:hint="eastAsia"/>
          <w:color w:val="auto"/>
          <w:highlight w:val="none"/>
        </w:rPr>
      </w:pPr>
    </w:p>
    <w:p w14:paraId="21B1415A">
      <w:pPr>
        <w:pStyle w:val="90"/>
        <w:spacing w:before="63"/>
        <w:rPr>
          <w:color w:val="auto"/>
          <w:sz w:val="28"/>
          <w:szCs w:val="28"/>
          <w:highlight w:val="none"/>
        </w:rPr>
      </w:pPr>
      <w:bookmarkStart w:id="3458" w:name="_Toc519085631"/>
      <w:bookmarkStart w:id="3459" w:name="_Toc144974857"/>
      <w:bookmarkStart w:id="3460" w:name="_Toc4938"/>
      <w:bookmarkStart w:id="3461" w:name="_Toc13200"/>
      <w:bookmarkStart w:id="3462" w:name="_Toc247527828"/>
      <w:bookmarkStart w:id="3463" w:name="_Toc152045788"/>
      <w:bookmarkStart w:id="3464" w:name="_Toc247514247"/>
      <w:bookmarkStart w:id="3465" w:name="_Toc18056"/>
      <w:bookmarkStart w:id="3466" w:name="_Toc1475"/>
      <w:bookmarkStart w:id="3467" w:name="_Toc4404"/>
      <w:bookmarkStart w:id="3468" w:name="_Toc143"/>
      <w:bookmarkStart w:id="3469" w:name="_Toc14991_WPSOffice_Level1"/>
      <w:bookmarkStart w:id="3470" w:name="_Toc152042577"/>
      <w:r>
        <w:rPr>
          <w:color w:val="auto"/>
          <w:sz w:val="28"/>
          <w:szCs w:val="28"/>
          <w:highlight w:val="none"/>
        </w:rPr>
        <w:t>一、投标函及投标函附录</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14:paraId="6ECF10CA">
      <w:pPr>
        <w:pStyle w:val="5"/>
        <w:spacing w:before="159"/>
        <w:jc w:val="center"/>
        <w:rPr>
          <w:color w:val="auto"/>
          <w:sz w:val="28"/>
          <w:szCs w:val="28"/>
          <w:highlight w:val="none"/>
        </w:rPr>
      </w:pPr>
      <w:bookmarkStart w:id="3471" w:name="_Toc19147"/>
      <w:bookmarkStart w:id="3472" w:name="_Toc519085632"/>
      <w:bookmarkStart w:id="3473" w:name="_Toc23232"/>
      <w:bookmarkStart w:id="3474" w:name="_Toc144974858"/>
      <w:bookmarkStart w:id="3475" w:name="_Toc247514248"/>
      <w:bookmarkStart w:id="3476" w:name="_Toc152042578"/>
      <w:bookmarkStart w:id="3477" w:name="_Toc247527829"/>
      <w:bookmarkStart w:id="3478" w:name="_Toc21703"/>
      <w:bookmarkStart w:id="3479" w:name="_Toc8170_WPSOffice_Level2"/>
      <w:bookmarkStart w:id="3480" w:name="_Toc152045789"/>
      <w:r>
        <w:rPr>
          <w:rFonts w:hint="eastAsia"/>
          <w:color w:val="auto"/>
          <w:sz w:val="28"/>
          <w:szCs w:val="28"/>
          <w:highlight w:val="none"/>
        </w:rPr>
        <w:t>（一）</w:t>
      </w:r>
      <w:r>
        <w:rPr>
          <w:color w:val="auto"/>
          <w:sz w:val="28"/>
          <w:szCs w:val="28"/>
          <w:highlight w:val="none"/>
        </w:rPr>
        <w:t>投标函</w:t>
      </w:r>
      <w:bookmarkEnd w:id="3471"/>
      <w:bookmarkEnd w:id="3472"/>
      <w:bookmarkEnd w:id="3473"/>
      <w:bookmarkEnd w:id="3474"/>
      <w:bookmarkEnd w:id="3475"/>
      <w:bookmarkEnd w:id="3476"/>
      <w:bookmarkEnd w:id="3477"/>
      <w:bookmarkEnd w:id="3478"/>
      <w:bookmarkEnd w:id="3479"/>
      <w:bookmarkEnd w:id="3480"/>
    </w:p>
    <w:p w14:paraId="3A8B56CC">
      <w:pPr>
        <w:spacing w:line="440" w:lineRule="exact"/>
        <w:rPr>
          <w:color w:val="auto"/>
          <w:szCs w:val="21"/>
          <w:highlight w:val="none"/>
        </w:rPr>
      </w:pPr>
      <w:r>
        <w:rPr>
          <w:color w:val="auto"/>
          <w:szCs w:val="21"/>
          <w:highlight w:val="none"/>
          <w:u w:val="single"/>
        </w:rPr>
        <w:t xml:space="preserve">                       </w:t>
      </w:r>
      <w:r>
        <w:rPr>
          <w:color w:val="auto"/>
          <w:szCs w:val="21"/>
          <w:highlight w:val="none"/>
        </w:rPr>
        <w:t>（招标人名称）：</w:t>
      </w:r>
    </w:p>
    <w:p w14:paraId="5232CF05">
      <w:pPr>
        <w:spacing w:line="440" w:lineRule="exact"/>
        <w:ind w:firstLine="420" w:firstLineChars="200"/>
        <w:rPr>
          <w:rFonts w:hint="eastAsia"/>
          <w:color w:val="auto"/>
          <w:szCs w:val="21"/>
          <w:highlight w:val="none"/>
        </w:rPr>
      </w:pPr>
      <w:r>
        <w:rPr>
          <w:color w:val="auto"/>
          <w:szCs w:val="21"/>
          <w:highlight w:val="none"/>
        </w:rPr>
        <w:t>1．我方已仔细研究了</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color w:val="auto"/>
          <w:szCs w:val="21"/>
          <w:highlight w:val="none"/>
        </w:rPr>
        <w:t>工程总承包</w:t>
      </w:r>
      <w:r>
        <w:rPr>
          <w:color w:val="auto"/>
          <w:szCs w:val="21"/>
          <w:highlight w:val="none"/>
        </w:rPr>
        <w:t>招标文件的全部内容，愿意以人民币（大写）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color w:val="auto"/>
          <w:szCs w:val="21"/>
          <w:highlight w:val="none"/>
        </w:rPr>
        <w:t>）的投标总报价，</w:t>
      </w:r>
      <w:r>
        <w:rPr>
          <w:rFonts w:hint="eastAsia"/>
          <w:color w:val="auto"/>
          <w:szCs w:val="21"/>
          <w:highlight w:val="none"/>
        </w:rPr>
        <w:t>工期</w:t>
      </w:r>
      <w:r>
        <w:rPr>
          <w:rFonts w:hint="eastAsia"/>
          <w:color w:val="auto"/>
          <w:szCs w:val="21"/>
          <w:highlight w:val="none"/>
          <w:u w:val="single"/>
        </w:rPr>
        <w:t xml:space="preserve">          </w:t>
      </w:r>
      <w:r>
        <w:rPr>
          <w:rFonts w:hint="eastAsia"/>
          <w:color w:val="auto"/>
          <w:szCs w:val="21"/>
          <w:highlight w:val="none"/>
        </w:rPr>
        <w:t xml:space="preserve"> 日历天，</w:t>
      </w:r>
      <w:r>
        <w:rPr>
          <w:color w:val="auto"/>
          <w:szCs w:val="21"/>
          <w:highlight w:val="none"/>
        </w:rPr>
        <w:t>按合同约定</w:t>
      </w:r>
      <w:r>
        <w:rPr>
          <w:rFonts w:hint="eastAsia"/>
          <w:color w:val="auto"/>
          <w:szCs w:val="21"/>
          <w:highlight w:val="none"/>
        </w:rPr>
        <w:t>进行设计、</w:t>
      </w:r>
      <w:r>
        <w:rPr>
          <w:color w:val="auto"/>
          <w:szCs w:val="21"/>
          <w:highlight w:val="none"/>
        </w:rPr>
        <w:t>实施和</w:t>
      </w:r>
      <w:r>
        <w:rPr>
          <w:rFonts w:hint="eastAsia"/>
          <w:color w:val="auto"/>
          <w:szCs w:val="21"/>
          <w:highlight w:val="none"/>
        </w:rPr>
        <w:t>竣工</w:t>
      </w:r>
      <w:r>
        <w:rPr>
          <w:color w:val="auto"/>
          <w:szCs w:val="21"/>
          <w:highlight w:val="none"/>
        </w:rPr>
        <w:t>承包工程，修补工程中的任何缺陷，</w:t>
      </w:r>
      <w:r>
        <w:rPr>
          <w:rFonts w:hint="eastAsia"/>
          <w:color w:val="auto"/>
          <w:szCs w:val="21"/>
          <w:highlight w:val="none"/>
        </w:rPr>
        <w:t>实现工程目的</w:t>
      </w:r>
      <w:r>
        <w:rPr>
          <w:color w:val="auto"/>
          <w:szCs w:val="21"/>
          <w:highlight w:val="none"/>
        </w:rPr>
        <w:t>。</w:t>
      </w:r>
      <w:r>
        <w:rPr>
          <w:rFonts w:hint="eastAsia"/>
          <w:color w:val="auto"/>
          <w:szCs w:val="21"/>
          <w:highlight w:val="none"/>
        </w:rPr>
        <w:t>设计质量达到</w:t>
      </w:r>
      <w:r>
        <w:rPr>
          <w:color w:val="auto"/>
          <w:szCs w:val="21"/>
          <w:highlight w:val="none"/>
          <w:u w:val="single"/>
        </w:rPr>
        <w:t xml:space="preserve">           </w:t>
      </w:r>
      <w:r>
        <w:rPr>
          <w:color w:val="auto"/>
          <w:szCs w:val="21"/>
          <w:highlight w:val="none"/>
        </w:rPr>
        <w:t xml:space="preserve"> 标准</w:t>
      </w:r>
      <w:r>
        <w:rPr>
          <w:rFonts w:hint="eastAsia"/>
          <w:color w:val="auto"/>
          <w:szCs w:val="21"/>
          <w:highlight w:val="none"/>
        </w:rPr>
        <w:t>，施工质量达到</w:t>
      </w:r>
      <w:r>
        <w:rPr>
          <w:color w:val="auto"/>
          <w:szCs w:val="21"/>
          <w:highlight w:val="none"/>
          <w:u w:val="single"/>
        </w:rPr>
        <w:t xml:space="preserve">           </w:t>
      </w:r>
      <w:r>
        <w:rPr>
          <w:color w:val="auto"/>
          <w:szCs w:val="21"/>
          <w:highlight w:val="none"/>
        </w:rPr>
        <w:t xml:space="preserve"> 标准</w:t>
      </w:r>
      <w:r>
        <w:rPr>
          <w:rFonts w:hint="eastAsia"/>
          <w:color w:val="auto"/>
          <w:szCs w:val="21"/>
          <w:highlight w:val="none"/>
        </w:rPr>
        <w:t>。</w:t>
      </w:r>
    </w:p>
    <w:p w14:paraId="30DBCD25">
      <w:pPr>
        <w:spacing w:line="440" w:lineRule="exact"/>
        <w:ind w:firstLine="420" w:firstLineChars="200"/>
        <w:rPr>
          <w:color w:val="auto"/>
          <w:szCs w:val="21"/>
          <w:highlight w:val="none"/>
        </w:rPr>
      </w:pPr>
      <w:r>
        <w:rPr>
          <w:rFonts w:hint="eastAsia"/>
          <w:color w:val="auto"/>
          <w:szCs w:val="21"/>
          <w:highlight w:val="none"/>
        </w:rPr>
        <w:t>2. 我方拟派的项目负责人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rPr>
        <w:t>（姓名），</w:t>
      </w:r>
      <w:r>
        <w:rPr>
          <w:rFonts w:hint="eastAsia"/>
          <w:color w:val="auto"/>
          <w:szCs w:val="21"/>
          <w:highlight w:val="none"/>
          <w:lang w:bidi="ar"/>
        </w:rPr>
        <w:t>证书名称：</w:t>
      </w:r>
      <w:r>
        <w:rPr>
          <w:color w:val="auto"/>
          <w:szCs w:val="21"/>
          <w:highlight w:val="none"/>
          <w:u w:val="single"/>
          <w:lang w:bidi="ar"/>
        </w:rPr>
        <w:t xml:space="preserve">        </w:t>
      </w:r>
      <w:r>
        <w:rPr>
          <w:rFonts w:hint="eastAsia"/>
          <w:color w:val="auto"/>
          <w:szCs w:val="21"/>
          <w:highlight w:val="none"/>
          <w:lang w:bidi="ar"/>
        </w:rPr>
        <w:t>，证书编号：</w:t>
      </w:r>
      <w:r>
        <w:rPr>
          <w:color w:val="auto"/>
          <w:szCs w:val="21"/>
          <w:highlight w:val="none"/>
          <w:u w:val="single"/>
          <w:lang w:bidi="ar"/>
        </w:rPr>
        <w:t xml:space="preserve">       </w:t>
      </w:r>
      <w:r>
        <w:rPr>
          <w:rFonts w:hint="eastAsia"/>
          <w:color w:val="auto"/>
          <w:szCs w:val="21"/>
          <w:highlight w:val="none"/>
          <w:lang w:bidi="ar"/>
        </w:rPr>
        <w:t>。</w:t>
      </w:r>
    </w:p>
    <w:p w14:paraId="1F864337">
      <w:pPr>
        <w:spacing w:line="440" w:lineRule="exact"/>
        <w:ind w:firstLine="420" w:firstLineChars="200"/>
        <w:rPr>
          <w:color w:val="auto"/>
          <w:szCs w:val="21"/>
          <w:highlight w:val="none"/>
        </w:rPr>
      </w:pPr>
      <w:r>
        <w:rPr>
          <w:rFonts w:hint="eastAsia"/>
          <w:color w:val="auto"/>
          <w:szCs w:val="21"/>
          <w:highlight w:val="none"/>
        </w:rPr>
        <w:t>3</w:t>
      </w:r>
      <w:r>
        <w:rPr>
          <w:color w:val="auto"/>
          <w:szCs w:val="21"/>
          <w:highlight w:val="none"/>
        </w:rPr>
        <w:t>．我方承诺在</w:t>
      </w:r>
      <w:r>
        <w:rPr>
          <w:rFonts w:hint="eastAsia"/>
          <w:color w:val="auto"/>
          <w:szCs w:val="21"/>
          <w:highlight w:val="none"/>
        </w:rPr>
        <w:t>招标文件规定的</w:t>
      </w:r>
      <w:r>
        <w:rPr>
          <w:color w:val="auto"/>
          <w:szCs w:val="21"/>
          <w:highlight w:val="none"/>
        </w:rPr>
        <w:t>投标有效期内不修改、撤销投标文件</w:t>
      </w:r>
      <w:r>
        <w:rPr>
          <w:rFonts w:hint="eastAsia"/>
          <w:color w:val="auto"/>
          <w:szCs w:val="21"/>
          <w:highlight w:val="none"/>
        </w:rPr>
        <w:t>。</w:t>
      </w:r>
    </w:p>
    <w:p w14:paraId="26F20B02">
      <w:pPr>
        <w:spacing w:line="440" w:lineRule="exact"/>
        <w:ind w:firstLine="420" w:firstLineChars="200"/>
        <w:rPr>
          <w:color w:val="auto"/>
          <w:szCs w:val="21"/>
          <w:highlight w:val="none"/>
        </w:rPr>
      </w:pPr>
      <w:r>
        <w:rPr>
          <w:rFonts w:hint="eastAsia"/>
          <w:color w:val="auto"/>
          <w:szCs w:val="21"/>
          <w:highlight w:val="none"/>
        </w:rPr>
        <w:t>4</w:t>
      </w:r>
      <w:r>
        <w:rPr>
          <w:color w:val="auto"/>
          <w:szCs w:val="21"/>
          <w:highlight w:val="none"/>
        </w:rPr>
        <w:t>．随同本投标函提交投标保证金一份</w:t>
      </w:r>
    </w:p>
    <w:p w14:paraId="5D1CE34B">
      <w:pPr>
        <w:spacing w:line="440" w:lineRule="exact"/>
        <w:ind w:firstLine="420" w:firstLineChars="200"/>
        <w:rPr>
          <w:color w:val="auto"/>
          <w:szCs w:val="21"/>
          <w:highlight w:val="none"/>
        </w:rPr>
      </w:pPr>
      <w:r>
        <w:rPr>
          <w:rFonts w:hint="eastAsia"/>
          <w:color w:val="auto"/>
          <w:szCs w:val="21"/>
          <w:highlight w:val="none"/>
        </w:rPr>
        <w:t>5</w:t>
      </w:r>
      <w:r>
        <w:rPr>
          <w:color w:val="auto"/>
          <w:szCs w:val="21"/>
          <w:highlight w:val="none"/>
        </w:rPr>
        <w:t>．如我方中标：</w:t>
      </w:r>
    </w:p>
    <w:p w14:paraId="2084B654">
      <w:pPr>
        <w:spacing w:line="440" w:lineRule="exact"/>
        <w:ind w:firstLine="718" w:firstLineChars="342"/>
        <w:rPr>
          <w:color w:val="auto"/>
          <w:szCs w:val="21"/>
          <w:highlight w:val="none"/>
        </w:rPr>
      </w:pPr>
      <w:r>
        <w:rPr>
          <w:color w:val="auto"/>
          <w:szCs w:val="21"/>
          <w:highlight w:val="none"/>
        </w:rPr>
        <w:t>（1）我方承诺在收到中标通知书后，在中标通知书规定的期限内与你方签订合同。</w:t>
      </w:r>
    </w:p>
    <w:p w14:paraId="6157A03D">
      <w:pPr>
        <w:spacing w:line="440" w:lineRule="exact"/>
        <w:ind w:firstLine="718" w:firstLineChars="342"/>
        <w:rPr>
          <w:color w:val="auto"/>
          <w:szCs w:val="21"/>
          <w:highlight w:val="none"/>
        </w:rPr>
      </w:pPr>
      <w:r>
        <w:rPr>
          <w:color w:val="auto"/>
          <w:szCs w:val="21"/>
          <w:highlight w:val="none"/>
        </w:rPr>
        <w:t>（2）随同本投标函递交的投标函附录属于合同文件的组成部分。</w:t>
      </w:r>
    </w:p>
    <w:p w14:paraId="19AFADDE">
      <w:pPr>
        <w:spacing w:line="440" w:lineRule="exact"/>
        <w:ind w:firstLine="718" w:firstLineChars="342"/>
        <w:rPr>
          <w:color w:val="auto"/>
          <w:szCs w:val="21"/>
          <w:highlight w:val="none"/>
        </w:rPr>
      </w:pPr>
      <w:r>
        <w:rPr>
          <w:color w:val="auto"/>
          <w:szCs w:val="21"/>
          <w:highlight w:val="none"/>
        </w:rPr>
        <w:t>（3）我方承诺按照招标文件规定向你方递交履约担保。</w:t>
      </w:r>
    </w:p>
    <w:p w14:paraId="5D0FA017">
      <w:pPr>
        <w:spacing w:line="440" w:lineRule="exact"/>
        <w:ind w:firstLine="718" w:firstLineChars="342"/>
        <w:rPr>
          <w:color w:val="auto"/>
          <w:szCs w:val="21"/>
          <w:highlight w:val="none"/>
        </w:rPr>
      </w:pPr>
      <w:r>
        <w:rPr>
          <w:color w:val="auto"/>
          <w:szCs w:val="21"/>
          <w:highlight w:val="none"/>
        </w:rPr>
        <w:t>（4）我方承诺在合同约定的期限内完成并移交全部合同工程。</w:t>
      </w:r>
    </w:p>
    <w:p w14:paraId="4AF161BB">
      <w:pPr>
        <w:spacing w:line="360" w:lineRule="auto"/>
        <w:ind w:firstLine="420" w:firstLineChars="200"/>
        <w:rPr>
          <w:rFonts w:hint="eastAsia"/>
          <w:color w:val="auto"/>
          <w:highlight w:val="none"/>
        </w:rPr>
      </w:pPr>
      <w:r>
        <w:rPr>
          <w:rFonts w:hint="eastAsia"/>
          <w:color w:val="auto"/>
          <w:szCs w:val="21"/>
          <w:highlight w:val="none"/>
        </w:rPr>
        <w:t>6</w:t>
      </w:r>
      <w:r>
        <w:rPr>
          <w:color w:val="auto"/>
          <w:szCs w:val="21"/>
          <w:highlight w:val="none"/>
        </w:rPr>
        <w:t>．</w:t>
      </w:r>
      <w:r>
        <w:rPr>
          <w:rFonts w:hint="eastAsia"/>
          <w:color w:val="auto"/>
          <w:highlight w:val="none"/>
        </w:rPr>
        <w:t>我方在此声明，所递交的投标文件及有关资料内容完整、真实和准确，且不存在第二章“投标人须知”第1.4.3项规定的任何一种情形。</w:t>
      </w:r>
    </w:p>
    <w:p w14:paraId="641C29F3">
      <w:pPr>
        <w:spacing w:line="360"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14:paraId="4470B40F">
      <w:pPr>
        <w:spacing w:line="360" w:lineRule="auto"/>
        <w:ind w:firstLine="420" w:firstLineChars="200"/>
        <w:rPr>
          <w:color w:val="auto"/>
          <w:szCs w:val="21"/>
          <w:highlight w:val="none"/>
        </w:rPr>
      </w:pPr>
    </w:p>
    <w:p w14:paraId="717B3EAE">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65E0EB19">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61ED5F28">
      <w:pPr>
        <w:spacing w:line="440" w:lineRule="exact"/>
        <w:ind w:firstLine="3675" w:firstLineChars="1750"/>
        <w:rPr>
          <w:color w:val="auto"/>
          <w:szCs w:val="21"/>
          <w:highlight w:val="none"/>
        </w:rPr>
      </w:pPr>
      <w:r>
        <w:rPr>
          <w:color w:val="auto"/>
          <w:szCs w:val="21"/>
          <w:highlight w:val="none"/>
        </w:rPr>
        <w:t>地址：</w:t>
      </w:r>
      <w:r>
        <w:rPr>
          <w:color w:val="auto"/>
          <w:szCs w:val="21"/>
          <w:highlight w:val="none"/>
          <w:u w:val="single"/>
        </w:rPr>
        <w:t xml:space="preserve">                                     </w:t>
      </w:r>
    </w:p>
    <w:p w14:paraId="2A70F009">
      <w:pPr>
        <w:spacing w:line="440" w:lineRule="exact"/>
        <w:ind w:firstLine="3675" w:firstLineChars="1750"/>
        <w:rPr>
          <w:color w:val="auto"/>
          <w:szCs w:val="21"/>
          <w:highlight w:val="none"/>
        </w:rPr>
      </w:pPr>
      <w:r>
        <w:rPr>
          <w:color w:val="auto"/>
          <w:szCs w:val="21"/>
          <w:highlight w:val="none"/>
        </w:rPr>
        <w:t>网址：</w:t>
      </w:r>
      <w:r>
        <w:rPr>
          <w:color w:val="auto"/>
          <w:szCs w:val="21"/>
          <w:highlight w:val="none"/>
          <w:u w:val="single"/>
        </w:rPr>
        <w:t xml:space="preserve">                                     </w:t>
      </w:r>
    </w:p>
    <w:p w14:paraId="6BEF08F0">
      <w:pPr>
        <w:spacing w:line="440" w:lineRule="exact"/>
        <w:ind w:firstLine="3675" w:firstLineChars="1750"/>
        <w:rPr>
          <w:color w:val="auto"/>
          <w:szCs w:val="21"/>
          <w:highlight w:val="none"/>
        </w:rPr>
      </w:pPr>
      <w:r>
        <w:rPr>
          <w:color w:val="auto"/>
          <w:szCs w:val="21"/>
          <w:highlight w:val="none"/>
        </w:rPr>
        <w:t>电话：</w:t>
      </w:r>
      <w:r>
        <w:rPr>
          <w:color w:val="auto"/>
          <w:szCs w:val="21"/>
          <w:highlight w:val="none"/>
          <w:u w:val="single"/>
        </w:rPr>
        <w:t xml:space="preserve">                                     </w:t>
      </w:r>
    </w:p>
    <w:p w14:paraId="7A509B5F">
      <w:pPr>
        <w:spacing w:line="440" w:lineRule="exact"/>
        <w:ind w:firstLine="3675" w:firstLineChars="1750"/>
        <w:rPr>
          <w:color w:val="auto"/>
          <w:szCs w:val="21"/>
          <w:highlight w:val="none"/>
        </w:rPr>
      </w:pPr>
      <w:r>
        <w:rPr>
          <w:color w:val="auto"/>
          <w:szCs w:val="21"/>
          <w:highlight w:val="none"/>
        </w:rPr>
        <w:t>传真：</w:t>
      </w:r>
      <w:r>
        <w:rPr>
          <w:color w:val="auto"/>
          <w:szCs w:val="21"/>
          <w:highlight w:val="none"/>
          <w:u w:val="single"/>
        </w:rPr>
        <w:t xml:space="preserve">                                     </w:t>
      </w:r>
    </w:p>
    <w:p w14:paraId="4E61D9A3">
      <w:pPr>
        <w:spacing w:line="440" w:lineRule="exact"/>
        <w:ind w:firstLine="3675" w:firstLineChars="1750"/>
        <w:rPr>
          <w:color w:val="auto"/>
          <w:szCs w:val="21"/>
          <w:highlight w:val="none"/>
        </w:rPr>
      </w:pPr>
      <w:r>
        <w:rPr>
          <w:color w:val="auto"/>
          <w:szCs w:val="21"/>
          <w:highlight w:val="none"/>
        </w:rPr>
        <w:t>邮政编码：</w:t>
      </w:r>
      <w:r>
        <w:rPr>
          <w:color w:val="auto"/>
          <w:szCs w:val="21"/>
          <w:highlight w:val="none"/>
          <w:u w:val="single"/>
        </w:rPr>
        <w:t xml:space="preserve">                                 </w:t>
      </w:r>
    </w:p>
    <w:p w14:paraId="60986D06">
      <w:pPr>
        <w:spacing w:line="440" w:lineRule="exact"/>
        <w:ind w:firstLine="4725" w:firstLineChars="225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199986DB">
      <w:pPr>
        <w:spacing w:line="440" w:lineRule="exact"/>
        <w:ind w:firstLine="4725" w:firstLineChars="2250"/>
        <w:rPr>
          <w:rFonts w:hint="eastAsia"/>
          <w:color w:val="auto"/>
          <w:szCs w:val="21"/>
          <w:highlight w:val="none"/>
        </w:rPr>
      </w:pPr>
    </w:p>
    <w:p w14:paraId="11EBB1B5">
      <w:pPr>
        <w:spacing w:line="440" w:lineRule="exact"/>
        <w:ind w:firstLine="4725" w:firstLineChars="2250"/>
        <w:rPr>
          <w:rFonts w:hint="eastAsia"/>
          <w:color w:val="auto"/>
          <w:szCs w:val="21"/>
          <w:highlight w:val="none"/>
        </w:rPr>
      </w:pPr>
    </w:p>
    <w:p w14:paraId="6B1F786A">
      <w:pPr>
        <w:spacing w:after="120" w:line="360" w:lineRule="auto"/>
        <w:rPr>
          <w:rFonts w:hint="eastAsia"/>
          <w:color w:val="auto"/>
          <w:szCs w:val="21"/>
          <w:highlight w:val="none"/>
        </w:rPr>
      </w:pPr>
      <w:r>
        <w:rPr>
          <w:rFonts w:hint="eastAsia" w:ascii="宋体" w:hAnsi="宋体"/>
          <w:color w:val="auto"/>
          <w:szCs w:val="21"/>
          <w:highlight w:val="none"/>
        </w:rPr>
        <w:t>备注：采用资格预审的，资格审查资料如有更新</w:t>
      </w:r>
      <w:r>
        <w:rPr>
          <w:rFonts w:hint="eastAsia"/>
          <w:color w:val="auto"/>
          <w:highlight w:val="none"/>
        </w:rPr>
        <w:t>或补充</w:t>
      </w:r>
      <w:r>
        <w:rPr>
          <w:rFonts w:hint="eastAsia" w:ascii="宋体" w:hAnsi="宋体"/>
          <w:color w:val="auto"/>
          <w:szCs w:val="21"/>
          <w:highlight w:val="none"/>
        </w:rPr>
        <w:t>，投标人应在第</w:t>
      </w:r>
      <w:r>
        <w:rPr>
          <w:rFonts w:hint="eastAsia"/>
          <w:color w:val="auto"/>
          <w:szCs w:val="21"/>
          <w:highlight w:val="none"/>
        </w:rPr>
        <w:t>7</w:t>
      </w:r>
      <w:r>
        <w:rPr>
          <w:rFonts w:hint="eastAsia" w:ascii="宋体" w:hAnsi="宋体"/>
          <w:color w:val="auto"/>
          <w:szCs w:val="21"/>
          <w:highlight w:val="none"/>
        </w:rPr>
        <w:t>条中说明。</w:t>
      </w:r>
    </w:p>
    <w:p w14:paraId="3D2B31E8">
      <w:pPr>
        <w:spacing w:line="440" w:lineRule="exact"/>
        <w:ind w:firstLine="4725" w:firstLineChars="2250"/>
        <w:rPr>
          <w:rFonts w:hint="eastAsia"/>
          <w:color w:val="auto"/>
          <w:szCs w:val="21"/>
          <w:highlight w:val="none"/>
        </w:rPr>
      </w:pPr>
    </w:p>
    <w:p w14:paraId="51A629D6">
      <w:pPr>
        <w:pStyle w:val="5"/>
        <w:spacing w:before="159"/>
        <w:jc w:val="center"/>
        <w:rPr>
          <w:rFonts w:hint="eastAsia"/>
          <w:color w:val="auto"/>
          <w:sz w:val="28"/>
          <w:szCs w:val="28"/>
          <w:highlight w:val="none"/>
        </w:rPr>
      </w:pPr>
      <w:bookmarkStart w:id="3481" w:name="_Toc152042579"/>
      <w:bookmarkStart w:id="3482" w:name="_Toc152045790"/>
      <w:bookmarkStart w:id="3483" w:name="_Toc247527830"/>
      <w:bookmarkStart w:id="3484" w:name="_Toc30138"/>
      <w:bookmarkStart w:id="3485" w:name="_Toc519085633"/>
      <w:bookmarkStart w:id="3486" w:name="_Toc932_WPSOffice_Level2"/>
      <w:bookmarkStart w:id="3487" w:name="_Toc538"/>
      <w:bookmarkStart w:id="3488" w:name="_Toc247514249"/>
      <w:bookmarkStart w:id="3489" w:name="_Toc144974859"/>
      <w:bookmarkStart w:id="3490" w:name="_Toc22043"/>
      <w:r>
        <w:rPr>
          <w:rFonts w:hint="eastAsia"/>
          <w:color w:val="auto"/>
          <w:sz w:val="28"/>
          <w:szCs w:val="28"/>
          <w:highlight w:val="none"/>
        </w:rPr>
        <w:t>（二）</w:t>
      </w:r>
      <w:r>
        <w:rPr>
          <w:color w:val="auto"/>
          <w:sz w:val="28"/>
          <w:szCs w:val="28"/>
          <w:highlight w:val="none"/>
        </w:rPr>
        <w:t>投标函附录</w:t>
      </w:r>
      <w:bookmarkEnd w:id="3481"/>
      <w:bookmarkEnd w:id="3482"/>
      <w:bookmarkEnd w:id="3483"/>
      <w:bookmarkEnd w:id="3484"/>
      <w:bookmarkEnd w:id="3485"/>
      <w:bookmarkEnd w:id="3486"/>
      <w:bookmarkEnd w:id="3487"/>
      <w:bookmarkEnd w:id="3488"/>
      <w:bookmarkEnd w:id="3489"/>
      <w:bookmarkEnd w:id="3490"/>
    </w:p>
    <w:p w14:paraId="563624B6">
      <w:pPr>
        <w:rPr>
          <w:rFonts w:hint="eastAsia"/>
          <w:color w:val="auto"/>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161"/>
        <w:gridCol w:w="1986"/>
        <w:gridCol w:w="2526"/>
        <w:gridCol w:w="744"/>
      </w:tblGrid>
      <w:tr w14:paraId="10BC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3EF0D5BC">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序号</w:t>
            </w:r>
          </w:p>
        </w:tc>
        <w:tc>
          <w:tcPr>
            <w:tcW w:w="2161" w:type="dxa"/>
            <w:noWrap w:val="0"/>
            <w:vAlign w:val="center"/>
          </w:tcPr>
          <w:p w14:paraId="1E0B55E3">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条款名称</w:t>
            </w:r>
          </w:p>
        </w:tc>
        <w:tc>
          <w:tcPr>
            <w:tcW w:w="1986" w:type="dxa"/>
            <w:noWrap w:val="0"/>
            <w:vAlign w:val="center"/>
          </w:tcPr>
          <w:p w14:paraId="2EAD179F">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合同条款号</w:t>
            </w:r>
          </w:p>
        </w:tc>
        <w:tc>
          <w:tcPr>
            <w:tcW w:w="2526" w:type="dxa"/>
            <w:noWrap w:val="0"/>
            <w:vAlign w:val="center"/>
          </w:tcPr>
          <w:p w14:paraId="564D7DAF">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约定</w:t>
            </w:r>
            <w:r>
              <w:rPr>
                <w:rFonts w:ascii="宋体" w:hAnsi="宋体" w:eastAsia="宋体" w:cs="Times New Roman"/>
                <w:b/>
                <w:color w:val="auto"/>
                <w:szCs w:val="21"/>
                <w:highlight w:val="none"/>
              </w:rPr>
              <w:t>内容</w:t>
            </w:r>
          </w:p>
        </w:tc>
        <w:tc>
          <w:tcPr>
            <w:tcW w:w="744" w:type="dxa"/>
            <w:noWrap w:val="0"/>
            <w:vAlign w:val="center"/>
          </w:tcPr>
          <w:p w14:paraId="3C723E5D">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备注</w:t>
            </w:r>
          </w:p>
        </w:tc>
      </w:tr>
      <w:tr w14:paraId="2439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12285E0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w:t>
            </w:r>
          </w:p>
        </w:tc>
        <w:tc>
          <w:tcPr>
            <w:tcW w:w="2161" w:type="dxa"/>
            <w:noWrap w:val="0"/>
            <w:vAlign w:val="center"/>
          </w:tcPr>
          <w:p w14:paraId="15483A3C">
            <w:pPr>
              <w:keepNext w:val="0"/>
              <w:keepLines w:val="0"/>
              <w:suppressLineNumbers w:val="0"/>
              <w:spacing w:before="0" w:beforeAutospacing="0" w:after="0" w:afterAutospacing="0" w:line="440" w:lineRule="exact"/>
              <w:ind w:left="0" w:right="0" w:firstLine="718" w:firstLineChars="342"/>
              <w:rPr>
                <w:rFonts w:ascii="宋体" w:hAnsi="宋体" w:eastAsia="宋体" w:cs="Times New Roman"/>
                <w:color w:val="auto"/>
                <w:szCs w:val="21"/>
                <w:highlight w:val="none"/>
              </w:rPr>
            </w:pPr>
            <w:r>
              <w:rPr>
                <w:rFonts w:ascii="宋体" w:hAnsi="宋体" w:eastAsia="宋体" w:cs="Times New Roman"/>
                <w:color w:val="auto"/>
                <w:szCs w:val="21"/>
                <w:highlight w:val="none"/>
              </w:rPr>
              <w:t>项目负责人</w:t>
            </w:r>
          </w:p>
        </w:tc>
        <w:tc>
          <w:tcPr>
            <w:tcW w:w="1986" w:type="dxa"/>
            <w:noWrap w:val="0"/>
            <w:vAlign w:val="center"/>
          </w:tcPr>
          <w:p w14:paraId="6774AB4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2</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4</w:t>
            </w:r>
          </w:p>
        </w:tc>
        <w:tc>
          <w:tcPr>
            <w:tcW w:w="2526" w:type="dxa"/>
            <w:noWrap w:val="0"/>
            <w:vAlign w:val="center"/>
          </w:tcPr>
          <w:p w14:paraId="52D88EF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 xml:space="preserve">姓名： （见投标函）          </w:t>
            </w:r>
          </w:p>
        </w:tc>
        <w:tc>
          <w:tcPr>
            <w:tcW w:w="744" w:type="dxa"/>
            <w:noWrap w:val="0"/>
            <w:vAlign w:val="center"/>
          </w:tcPr>
          <w:p w14:paraId="72C2E21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5AE0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5EEA89C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w:t>
            </w:r>
          </w:p>
        </w:tc>
        <w:tc>
          <w:tcPr>
            <w:tcW w:w="2161" w:type="dxa"/>
            <w:noWrap w:val="0"/>
            <w:vAlign w:val="center"/>
          </w:tcPr>
          <w:p w14:paraId="35B2453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工期</w:t>
            </w:r>
          </w:p>
        </w:tc>
        <w:tc>
          <w:tcPr>
            <w:tcW w:w="1986" w:type="dxa"/>
            <w:noWrap w:val="0"/>
            <w:vAlign w:val="center"/>
          </w:tcPr>
          <w:p w14:paraId="56581F8B">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3</w:t>
            </w:r>
          </w:p>
        </w:tc>
        <w:tc>
          <w:tcPr>
            <w:tcW w:w="2526" w:type="dxa"/>
            <w:noWrap w:val="0"/>
            <w:vAlign w:val="center"/>
          </w:tcPr>
          <w:p w14:paraId="4271F84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天数： （见投标函）</w:t>
            </w:r>
          </w:p>
        </w:tc>
        <w:tc>
          <w:tcPr>
            <w:tcW w:w="744" w:type="dxa"/>
            <w:noWrap w:val="0"/>
            <w:vAlign w:val="center"/>
          </w:tcPr>
          <w:p w14:paraId="49250B49">
            <w:pPr>
              <w:keepNext w:val="0"/>
              <w:keepLines w:val="0"/>
              <w:suppressLineNumbers w:val="0"/>
              <w:spacing w:before="0" w:beforeAutospacing="0" w:after="0" w:afterAutospacing="0" w:line="440" w:lineRule="exact"/>
              <w:ind w:left="0" w:right="0" w:firstLine="718" w:firstLineChars="342"/>
              <w:rPr>
                <w:rFonts w:ascii="Calibri" w:hAnsi="Calibri" w:eastAsia="宋体" w:cs="Times New Roman"/>
                <w:color w:val="auto"/>
                <w:szCs w:val="21"/>
                <w:highlight w:val="none"/>
              </w:rPr>
            </w:pPr>
          </w:p>
        </w:tc>
      </w:tr>
      <w:tr w14:paraId="1C12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05D272E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w:t>
            </w:r>
          </w:p>
        </w:tc>
        <w:tc>
          <w:tcPr>
            <w:tcW w:w="2161" w:type="dxa"/>
            <w:noWrap w:val="0"/>
            <w:vAlign w:val="center"/>
          </w:tcPr>
          <w:p w14:paraId="1DAAB85C">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缺陷责任期</w:t>
            </w:r>
          </w:p>
        </w:tc>
        <w:tc>
          <w:tcPr>
            <w:tcW w:w="1986" w:type="dxa"/>
            <w:noWrap w:val="0"/>
            <w:vAlign w:val="center"/>
          </w:tcPr>
          <w:p w14:paraId="0A79349B">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5</w:t>
            </w:r>
          </w:p>
        </w:tc>
        <w:tc>
          <w:tcPr>
            <w:tcW w:w="2526" w:type="dxa"/>
            <w:noWrap w:val="0"/>
            <w:vAlign w:val="center"/>
          </w:tcPr>
          <w:p w14:paraId="3F70AAF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34EB35A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7C32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3FA7020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4</w:t>
            </w:r>
          </w:p>
        </w:tc>
        <w:tc>
          <w:tcPr>
            <w:tcW w:w="2161" w:type="dxa"/>
            <w:noWrap w:val="0"/>
            <w:vAlign w:val="center"/>
          </w:tcPr>
          <w:p w14:paraId="0A56D4FB">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分包</w:t>
            </w:r>
          </w:p>
        </w:tc>
        <w:tc>
          <w:tcPr>
            <w:tcW w:w="1986" w:type="dxa"/>
            <w:noWrap w:val="0"/>
            <w:vAlign w:val="center"/>
          </w:tcPr>
          <w:p w14:paraId="0A43D15C">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3</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4</w:t>
            </w:r>
          </w:p>
        </w:tc>
        <w:tc>
          <w:tcPr>
            <w:tcW w:w="2526" w:type="dxa"/>
            <w:noWrap w:val="0"/>
            <w:vAlign w:val="center"/>
          </w:tcPr>
          <w:p w14:paraId="3A9273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43A5F22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469C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7DAB718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5</w:t>
            </w:r>
          </w:p>
        </w:tc>
        <w:tc>
          <w:tcPr>
            <w:tcW w:w="2161" w:type="dxa"/>
            <w:noWrap w:val="0"/>
            <w:vAlign w:val="center"/>
          </w:tcPr>
          <w:p w14:paraId="7D4275B3">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价格调整的差额计算</w:t>
            </w:r>
          </w:p>
        </w:tc>
        <w:tc>
          <w:tcPr>
            <w:tcW w:w="1986" w:type="dxa"/>
            <w:noWrap w:val="0"/>
            <w:vAlign w:val="center"/>
          </w:tcPr>
          <w:p w14:paraId="13AFC3D8">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16</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1</w:t>
            </w:r>
          </w:p>
        </w:tc>
        <w:tc>
          <w:tcPr>
            <w:tcW w:w="2526" w:type="dxa"/>
            <w:noWrap w:val="0"/>
            <w:vAlign w:val="center"/>
          </w:tcPr>
          <w:p w14:paraId="6734B8F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见价格指数权重表</w:t>
            </w:r>
          </w:p>
        </w:tc>
        <w:tc>
          <w:tcPr>
            <w:tcW w:w="744" w:type="dxa"/>
            <w:noWrap w:val="0"/>
            <w:vAlign w:val="center"/>
          </w:tcPr>
          <w:p w14:paraId="4216C68D">
            <w:pPr>
              <w:keepNext w:val="0"/>
              <w:keepLines w:val="0"/>
              <w:suppressLineNumbers w:val="0"/>
              <w:spacing w:before="0" w:beforeAutospacing="0" w:after="0" w:afterAutospacing="0" w:line="440" w:lineRule="exact"/>
              <w:ind w:left="0" w:right="0" w:firstLine="718" w:firstLineChars="342"/>
              <w:rPr>
                <w:rFonts w:ascii="Calibri" w:hAnsi="Calibri" w:eastAsia="宋体" w:cs="Times New Roman"/>
                <w:color w:val="auto"/>
                <w:szCs w:val="21"/>
                <w:highlight w:val="none"/>
              </w:rPr>
            </w:pPr>
          </w:p>
        </w:tc>
      </w:tr>
      <w:tr w14:paraId="644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top"/>
          </w:tcPr>
          <w:p w14:paraId="79018A65">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161" w:type="dxa"/>
            <w:noWrap w:val="0"/>
            <w:vAlign w:val="top"/>
          </w:tcPr>
          <w:p w14:paraId="6A1B36C4">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986" w:type="dxa"/>
            <w:noWrap w:val="0"/>
            <w:vAlign w:val="center"/>
          </w:tcPr>
          <w:p w14:paraId="4E864347">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526" w:type="dxa"/>
            <w:noWrap w:val="0"/>
            <w:vAlign w:val="center"/>
          </w:tcPr>
          <w:p w14:paraId="57243A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081924F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7F19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top"/>
          </w:tcPr>
          <w:p w14:paraId="59A8E04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161" w:type="dxa"/>
            <w:noWrap w:val="0"/>
            <w:vAlign w:val="top"/>
          </w:tcPr>
          <w:p w14:paraId="620CB654">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986" w:type="dxa"/>
            <w:noWrap w:val="0"/>
            <w:vAlign w:val="center"/>
          </w:tcPr>
          <w:p w14:paraId="690985F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526" w:type="dxa"/>
            <w:noWrap w:val="0"/>
            <w:vAlign w:val="center"/>
          </w:tcPr>
          <w:p w14:paraId="1AEC6A6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20CFD91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106F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1" w:type="dxa"/>
            <w:gridSpan w:val="5"/>
            <w:noWrap w:val="0"/>
            <w:vAlign w:val="center"/>
          </w:tcPr>
          <w:p w14:paraId="27D9513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黑体" w:hAnsi="宋体" w:eastAsia="黑体" w:cs="Times New Roman"/>
                <w:color w:val="auto"/>
                <w:szCs w:val="21"/>
                <w:highlight w:val="none"/>
              </w:rPr>
              <w:t>备注：</w:t>
            </w:r>
            <w:r>
              <w:rPr>
                <w:rFonts w:hint="eastAsia" w:ascii="宋体" w:hAnsi="宋体" w:eastAsia="宋体" w:cs="Times New Roman"/>
                <w:color w:val="auto"/>
                <w:szCs w:val="21"/>
                <w:highlight w:val="none"/>
              </w:rPr>
              <w:t>投标人在响应招标文件中规定的实质性要求和条件的基础上，可做出其他有利于招标人的承诺。此类承诺可在本表中予以补充填写。</w:t>
            </w:r>
          </w:p>
        </w:tc>
      </w:tr>
    </w:tbl>
    <w:p w14:paraId="05E94646">
      <w:pPr>
        <w:spacing w:line="440" w:lineRule="exact"/>
        <w:ind w:left="840" w:leftChars="400" w:firstLine="2200" w:firstLineChars="1100"/>
        <w:rPr>
          <w:rFonts w:hint="eastAsia" w:eastAsia="黑体"/>
          <w:color w:val="auto"/>
          <w:sz w:val="20"/>
          <w:szCs w:val="20"/>
          <w:highlight w:val="none"/>
        </w:rPr>
      </w:pPr>
    </w:p>
    <w:p w14:paraId="1105C044">
      <w:pPr>
        <w:spacing w:line="440" w:lineRule="exact"/>
        <w:ind w:left="840" w:leftChars="400" w:firstLine="2200" w:firstLineChars="1100"/>
        <w:rPr>
          <w:rFonts w:hint="eastAsia" w:eastAsia="黑体"/>
          <w:color w:val="auto"/>
          <w:sz w:val="20"/>
          <w:szCs w:val="20"/>
          <w:highlight w:val="none"/>
        </w:rPr>
      </w:pPr>
    </w:p>
    <w:p w14:paraId="1B6F6072">
      <w:pPr>
        <w:spacing w:line="440" w:lineRule="exact"/>
        <w:ind w:left="840" w:leftChars="400" w:firstLine="2200" w:firstLineChars="1100"/>
        <w:rPr>
          <w:rFonts w:hint="eastAsia" w:eastAsia="黑体"/>
          <w:color w:val="auto"/>
          <w:sz w:val="20"/>
          <w:szCs w:val="20"/>
          <w:highlight w:val="none"/>
        </w:rPr>
      </w:pPr>
    </w:p>
    <w:p w14:paraId="147AA3B5">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78BD2369">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4E704586">
      <w:pPr>
        <w:spacing w:line="440" w:lineRule="exact"/>
        <w:ind w:firstLine="5040" w:firstLineChars="2400"/>
        <w:rPr>
          <w:rFonts w:hint="eastAsia"/>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782900E4">
      <w:pPr>
        <w:spacing w:line="440" w:lineRule="exact"/>
        <w:ind w:left="840" w:leftChars="400" w:firstLine="2200" w:firstLineChars="1100"/>
        <w:rPr>
          <w:rFonts w:hint="eastAsia" w:eastAsia="黑体"/>
          <w:color w:val="auto"/>
          <w:sz w:val="20"/>
          <w:szCs w:val="20"/>
          <w:highlight w:val="none"/>
        </w:rPr>
      </w:pPr>
      <w:r>
        <w:rPr>
          <w:rFonts w:eastAsia="黑体"/>
          <w:color w:val="auto"/>
          <w:sz w:val="20"/>
          <w:szCs w:val="20"/>
          <w:highlight w:val="none"/>
        </w:rPr>
        <w:br w:type="page"/>
      </w:r>
    </w:p>
    <w:p w14:paraId="65C70415">
      <w:pPr>
        <w:spacing w:line="440" w:lineRule="exact"/>
        <w:jc w:val="center"/>
        <w:rPr>
          <w:rFonts w:hint="eastAsia" w:ascii="黑体" w:hAnsi="黑体" w:eastAsia="黑体"/>
          <w:color w:val="auto"/>
          <w:sz w:val="28"/>
          <w:szCs w:val="28"/>
          <w:highlight w:val="none"/>
        </w:rPr>
      </w:pPr>
      <w:bookmarkStart w:id="3491" w:name="_Toc15043_WPSOffice_Level1"/>
      <w:r>
        <w:rPr>
          <w:rFonts w:hint="eastAsia" w:ascii="黑体" w:hAnsi="黑体" w:eastAsia="黑体"/>
          <w:color w:val="auto"/>
          <w:sz w:val="28"/>
          <w:szCs w:val="28"/>
          <w:highlight w:val="none"/>
        </w:rPr>
        <w:t>价格指数权重表</w:t>
      </w:r>
      <w:bookmarkEnd w:id="3491"/>
    </w:p>
    <w:p w14:paraId="7E707A0A">
      <w:pPr>
        <w:spacing w:line="440" w:lineRule="exact"/>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905"/>
        <w:gridCol w:w="720"/>
        <w:gridCol w:w="1080"/>
        <w:gridCol w:w="720"/>
        <w:gridCol w:w="1266"/>
        <w:gridCol w:w="1616"/>
        <w:gridCol w:w="1799"/>
      </w:tblGrid>
      <w:tr w14:paraId="39BC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1367" w:type="dxa"/>
            <w:gridSpan w:val="2"/>
            <w:vMerge w:val="restart"/>
            <w:tcBorders>
              <w:bottom w:val="single" w:color="auto" w:sz="4" w:space="0"/>
            </w:tcBorders>
            <w:noWrap w:val="0"/>
            <w:vAlign w:val="center"/>
          </w:tcPr>
          <w:p w14:paraId="1143ECC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    称</w:t>
            </w:r>
          </w:p>
        </w:tc>
        <w:tc>
          <w:tcPr>
            <w:tcW w:w="1800" w:type="dxa"/>
            <w:gridSpan w:val="2"/>
            <w:noWrap w:val="0"/>
            <w:vAlign w:val="top"/>
          </w:tcPr>
          <w:p w14:paraId="4E2601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基本价格指数</w:t>
            </w:r>
          </w:p>
        </w:tc>
        <w:tc>
          <w:tcPr>
            <w:tcW w:w="3602" w:type="dxa"/>
            <w:gridSpan w:val="3"/>
            <w:tcBorders>
              <w:bottom w:val="single" w:color="auto" w:sz="4" w:space="0"/>
            </w:tcBorders>
            <w:noWrap w:val="0"/>
            <w:vAlign w:val="top"/>
          </w:tcPr>
          <w:p w14:paraId="2B7C76D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权        重</w:t>
            </w:r>
          </w:p>
        </w:tc>
        <w:tc>
          <w:tcPr>
            <w:tcW w:w="1799" w:type="dxa"/>
            <w:vMerge w:val="restart"/>
            <w:noWrap w:val="0"/>
            <w:vAlign w:val="center"/>
          </w:tcPr>
          <w:p w14:paraId="5E0C8F9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价格指数来源</w:t>
            </w:r>
          </w:p>
        </w:tc>
      </w:tr>
      <w:tr w14:paraId="4BC5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367" w:type="dxa"/>
            <w:gridSpan w:val="2"/>
            <w:vMerge w:val="continue"/>
            <w:noWrap w:val="0"/>
            <w:vAlign w:val="top"/>
          </w:tcPr>
          <w:p w14:paraId="3A9710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720" w:type="dxa"/>
            <w:noWrap w:val="0"/>
            <w:vAlign w:val="top"/>
          </w:tcPr>
          <w:p w14:paraId="310A1ED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代号</w:t>
            </w:r>
          </w:p>
        </w:tc>
        <w:tc>
          <w:tcPr>
            <w:tcW w:w="1080" w:type="dxa"/>
            <w:noWrap w:val="0"/>
            <w:vAlign w:val="top"/>
          </w:tcPr>
          <w:p w14:paraId="3F6309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指数值</w:t>
            </w:r>
          </w:p>
        </w:tc>
        <w:tc>
          <w:tcPr>
            <w:tcW w:w="720" w:type="dxa"/>
            <w:noWrap w:val="0"/>
            <w:vAlign w:val="top"/>
          </w:tcPr>
          <w:p w14:paraId="1076801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代号</w:t>
            </w:r>
          </w:p>
        </w:tc>
        <w:tc>
          <w:tcPr>
            <w:tcW w:w="1266" w:type="dxa"/>
            <w:noWrap w:val="0"/>
            <w:vAlign w:val="top"/>
          </w:tcPr>
          <w:p w14:paraId="6964514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允许范围</w:t>
            </w:r>
          </w:p>
        </w:tc>
        <w:tc>
          <w:tcPr>
            <w:tcW w:w="1616" w:type="dxa"/>
            <w:noWrap w:val="0"/>
            <w:vAlign w:val="top"/>
          </w:tcPr>
          <w:p w14:paraId="24ECE0B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投标人建议值</w:t>
            </w:r>
          </w:p>
        </w:tc>
        <w:tc>
          <w:tcPr>
            <w:tcW w:w="1799" w:type="dxa"/>
            <w:vMerge w:val="continue"/>
            <w:noWrap w:val="0"/>
            <w:vAlign w:val="top"/>
          </w:tcPr>
          <w:p w14:paraId="5CD898A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A06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67" w:type="dxa"/>
            <w:gridSpan w:val="2"/>
            <w:noWrap w:val="0"/>
            <w:vAlign w:val="top"/>
          </w:tcPr>
          <w:p w14:paraId="56F881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定值部分</w:t>
            </w:r>
          </w:p>
        </w:tc>
        <w:tc>
          <w:tcPr>
            <w:tcW w:w="720" w:type="dxa"/>
            <w:noWrap w:val="0"/>
            <w:vAlign w:val="top"/>
          </w:tcPr>
          <w:p w14:paraId="47A6DB6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80" w:type="dxa"/>
            <w:noWrap w:val="0"/>
            <w:vAlign w:val="top"/>
          </w:tcPr>
          <w:p w14:paraId="76A16C5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720" w:type="dxa"/>
            <w:noWrap w:val="0"/>
            <w:vAlign w:val="top"/>
          </w:tcPr>
          <w:p w14:paraId="326B7C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A</w:t>
            </w:r>
          </w:p>
        </w:tc>
        <w:tc>
          <w:tcPr>
            <w:tcW w:w="1266" w:type="dxa"/>
            <w:noWrap w:val="0"/>
            <w:vAlign w:val="top"/>
          </w:tcPr>
          <w:p w14:paraId="7B56B5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616" w:type="dxa"/>
            <w:noWrap w:val="0"/>
            <w:vAlign w:val="top"/>
          </w:tcPr>
          <w:p w14:paraId="6AF7E3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799" w:type="dxa"/>
            <w:noWrap w:val="0"/>
            <w:vAlign w:val="top"/>
          </w:tcPr>
          <w:p w14:paraId="7B5EB1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FBD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62" w:type="dxa"/>
            <w:vMerge w:val="restart"/>
            <w:noWrap w:val="0"/>
            <w:vAlign w:val="top"/>
          </w:tcPr>
          <w:p w14:paraId="05CC399B">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变</w:t>
            </w:r>
          </w:p>
          <w:p w14:paraId="26834C14">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值</w:t>
            </w:r>
          </w:p>
          <w:p w14:paraId="10A2318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部</w:t>
            </w:r>
          </w:p>
          <w:p w14:paraId="091507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分</w:t>
            </w:r>
          </w:p>
        </w:tc>
        <w:tc>
          <w:tcPr>
            <w:tcW w:w="905" w:type="dxa"/>
            <w:noWrap w:val="0"/>
            <w:vAlign w:val="top"/>
          </w:tcPr>
          <w:p w14:paraId="298170B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人工费</w:t>
            </w:r>
          </w:p>
        </w:tc>
        <w:tc>
          <w:tcPr>
            <w:tcW w:w="720" w:type="dxa"/>
            <w:noWrap w:val="0"/>
            <w:vAlign w:val="top"/>
          </w:tcPr>
          <w:p w14:paraId="35FF1A4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01</w:t>
            </w:r>
          </w:p>
        </w:tc>
        <w:tc>
          <w:tcPr>
            <w:tcW w:w="1080" w:type="dxa"/>
            <w:noWrap w:val="0"/>
            <w:vAlign w:val="top"/>
          </w:tcPr>
          <w:p w14:paraId="568376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452445F6">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1</w:t>
            </w:r>
          </w:p>
        </w:tc>
        <w:tc>
          <w:tcPr>
            <w:tcW w:w="1266" w:type="dxa"/>
            <w:noWrap w:val="0"/>
            <w:vAlign w:val="top"/>
          </w:tcPr>
          <w:p w14:paraId="24E5FDD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至</w:t>
            </w:r>
            <w:r>
              <w:rPr>
                <w:rFonts w:hint="eastAsia" w:ascii="宋体" w:hAnsi="宋体" w:eastAsia="宋体" w:cs="Times New Roman"/>
                <w:color w:val="auto"/>
                <w:szCs w:val="21"/>
                <w:highlight w:val="none"/>
                <w:u w:val="single"/>
              </w:rPr>
              <w:t>__</w:t>
            </w:r>
          </w:p>
        </w:tc>
        <w:tc>
          <w:tcPr>
            <w:tcW w:w="1616" w:type="dxa"/>
            <w:noWrap w:val="0"/>
            <w:vAlign w:val="top"/>
          </w:tcPr>
          <w:p w14:paraId="05719A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61873A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25C0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62" w:type="dxa"/>
            <w:vMerge w:val="continue"/>
            <w:noWrap w:val="0"/>
            <w:vAlign w:val="top"/>
          </w:tcPr>
          <w:p w14:paraId="15721B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14B4DE0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钢材</w:t>
            </w:r>
          </w:p>
        </w:tc>
        <w:tc>
          <w:tcPr>
            <w:tcW w:w="720" w:type="dxa"/>
            <w:noWrap w:val="0"/>
            <w:vAlign w:val="top"/>
          </w:tcPr>
          <w:p w14:paraId="5A92BB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02</w:t>
            </w:r>
          </w:p>
        </w:tc>
        <w:tc>
          <w:tcPr>
            <w:tcW w:w="1080" w:type="dxa"/>
            <w:noWrap w:val="0"/>
            <w:vAlign w:val="top"/>
          </w:tcPr>
          <w:p w14:paraId="37A623E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590A84D2">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2</w:t>
            </w:r>
          </w:p>
        </w:tc>
        <w:tc>
          <w:tcPr>
            <w:tcW w:w="1266" w:type="dxa"/>
            <w:noWrap w:val="0"/>
            <w:vAlign w:val="top"/>
          </w:tcPr>
          <w:p w14:paraId="11A992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 xml:space="preserve"> 至__</w:t>
            </w:r>
          </w:p>
        </w:tc>
        <w:tc>
          <w:tcPr>
            <w:tcW w:w="1616" w:type="dxa"/>
            <w:noWrap w:val="0"/>
            <w:vAlign w:val="top"/>
          </w:tcPr>
          <w:p w14:paraId="38828C4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7DE5C57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114D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5716453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62F58CD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水泥</w:t>
            </w:r>
          </w:p>
        </w:tc>
        <w:tc>
          <w:tcPr>
            <w:tcW w:w="720" w:type="dxa"/>
            <w:noWrap w:val="0"/>
            <w:vAlign w:val="top"/>
          </w:tcPr>
          <w:p w14:paraId="34C3A30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03</w:t>
            </w:r>
          </w:p>
        </w:tc>
        <w:tc>
          <w:tcPr>
            <w:tcW w:w="1080" w:type="dxa"/>
            <w:noWrap w:val="0"/>
            <w:vAlign w:val="top"/>
          </w:tcPr>
          <w:p w14:paraId="535545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38977361">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3</w:t>
            </w:r>
          </w:p>
        </w:tc>
        <w:tc>
          <w:tcPr>
            <w:tcW w:w="1266" w:type="dxa"/>
            <w:noWrap w:val="0"/>
            <w:vAlign w:val="top"/>
          </w:tcPr>
          <w:p w14:paraId="268EAB8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 xml:space="preserve"> 至</w:t>
            </w:r>
            <w:r>
              <w:rPr>
                <w:rFonts w:hint="eastAsia" w:ascii="宋体" w:hAnsi="宋体" w:eastAsia="宋体" w:cs="Times New Roman"/>
                <w:color w:val="auto"/>
                <w:szCs w:val="21"/>
                <w:highlight w:val="none"/>
                <w:u w:val="single"/>
              </w:rPr>
              <w:t>__</w:t>
            </w:r>
          </w:p>
        </w:tc>
        <w:tc>
          <w:tcPr>
            <w:tcW w:w="1616" w:type="dxa"/>
            <w:noWrap w:val="0"/>
            <w:vAlign w:val="top"/>
          </w:tcPr>
          <w:p w14:paraId="000583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170F88B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6FB0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74375B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0E501CD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6C7523E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73562F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087FBCA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0B4089C5">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1B880FF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18E499B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5EA5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52D59A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2B1A526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1E77E6D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72C000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0A9231F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3306B638">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211FDF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2A2D1D2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76C0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324E4F4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6D2B52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778DE4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08636D8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1B2CB58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3A6779B6">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4169F3C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17E084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7DD8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3" w:type="dxa"/>
            <w:gridSpan w:val="6"/>
            <w:noWrap w:val="0"/>
            <w:vAlign w:val="top"/>
          </w:tcPr>
          <w:p w14:paraId="424A83FA">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合            计</w:t>
            </w:r>
          </w:p>
        </w:tc>
        <w:tc>
          <w:tcPr>
            <w:tcW w:w="1616" w:type="dxa"/>
            <w:noWrap w:val="0"/>
            <w:vAlign w:val="top"/>
          </w:tcPr>
          <w:p w14:paraId="476F7CB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w:t>
            </w: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00</w:t>
            </w:r>
          </w:p>
        </w:tc>
        <w:tc>
          <w:tcPr>
            <w:tcW w:w="1799" w:type="dxa"/>
            <w:noWrap w:val="0"/>
            <w:vAlign w:val="top"/>
          </w:tcPr>
          <w:p w14:paraId="15134A4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40291466">
      <w:pPr>
        <w:spacing w:line="440" w:lineRule="exact"/>
        <w:ind w:left="630" w:hanging="630" w:hangingChars="300"/>
        <w:rPr>
          <w:rFonts w:hint="eastAsia" w:ascii="宋体" w:hAnsi="宋体"/>
          <w:color w:val="auto"/>
          <w:szCs w:val="21"/>
          <w:highlight w:val="none"/>
        </w:rPr>
      </w:pPr>
    </w:p>
    <w:p w14:paraId="73D4C76F">
      <w:pPr>
        <w:spacing w:line="440" w:lineRule="exact"/>
        <w:rPr>
          <w:rFonts w:hint="eastAsia" w:eastAsia="黑体"/>
          <w:color w:val="auto"/>
          <w:sz w:val="20"/>
          <w:szCs w:val="20"/>
          <w:highlight w:val="none"/>
        </w:rPr>
      </w:pPr>
    </w:p>
    <w:p w14:paraId="29C825AA">
      <w:pPr>
        <w:jc w:val="center"/>
        <w:rPr>
          <w:color w:val="auto"/>
          <w:szCs w:val="21"/>
          <w:highlight w:val="none"/>
        </w:rPr>
      </w:pPr>
    </w:p>
    <w:p w14:paraId="57CB192B">
      <w:pPr>
        <w:spacing w:line="440" w:lineRule="exact"/>
        <w:rPr>
          <w:color w:val="auto"/>
          <w:szCs w:val="21"/>
          <w:highlight w:val="none"/>
        </w:rPr>
      </w:pPr>
    </w:p>
    <w:p w14:paraId="199BBACF">
      <w:pPr>
        <w:spacing w:line="440" w:lineRule="exact"/>
        <w:rPr>
          <w:rFonts w:eastAsia="黑体"/>
          <w:color w:val="auto"/>
          <w:sz w:val="20"/>
          <w:szCs w:val="20"/>
          <w:highlight w:val="none"/>
        </w:rPr>
      </w:pPr>
      <w:r>
        <w:rPr>
          <w:color w:val="auto"/>
          <w:szCs w:val="21"/>
          <w:highlight w:val="none"/>
        </w:rPr>
        <w:br w:type="page"/>
      </w:r>
    </w:p>
    <w:p w14:paraId="61880CCD">
      <w:pPr>
        <w:pStyle w:val="90"/>
        <w:spacing w:before="63"/>
        <w:rPr>
          <w:color w:val="auto"/>
          <w:sz w:val="28"/>
          <w:szCs w:val="28"/>
          <w:highlight w:val="none"/>
        </w:rPr>
      </w:pPr>
      <w:bookmarkStart w:id="3492" w:name="_Toc26209"/>
      <w:bookmarkStart w:id="3493" w:name="_Toc247514283"/>
      <w:bookmarkStart w:id="3494" w:name="_Toc30796"/>
      <w:bookmarkStart w:id="3495" w:name="_Toc5360"/>
      <w:bookmarkStart w:id="3496" w:name="_Toc152045791"/>
      <w:bookmarkStart w:id="3497" w:name="_Toc247527831"/>
      <w:bookmarkStart w:id="3498" w:name="_Toc152042580"/>
      <w:bookmarkStart w:id="3499" w:name="_Toc28409"/>
      <w:bookmarkStart w:id="3500" w:name="_Toc144974860"/>
      <w:bookmarkStart w:id="3501" w:name="_Toc519085634"/>
      <w:bookmarkStart w:id="3502" w:name="_Toc10292"/>
      <w:bookmarkStart w:id="3503" w:name="_Toc21870_WPSOffice_Level1"/>
      <w:bookmarkStart w:id="3504" w:name="_Toc21849"/>
      <w:r>
        <w:rPr>
          <w:color w:val="auto"/>
          <w:sz w:val="28"/>
          <w:szCs w:val="28"/>
          <w:highlight w:val="none"/>
        </w:rPr>
        <w:t>二、法定代表人身份证明</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14:paraId="0514D893">
      <w:pPr>
        <w:spacing w:line="440" w:lineRule="exact"/>
        <w:rPr>
          <w:rFonts w:hint="eastAsia"/>
          <w:color w:val="auto"/>
          <w:szCs w:val="21"/>
          <w:highlight w:val="none"/>
        </w:rPr>
      </w:pPr>
      <w:r>
        <w:rPr>
          <w:rFonts w:hint="eastAsia"/>
          <w:color w:val="auto"/>
          <w:szCs w:val="21"/>
          <w:highlight w:val="none"/>
        </w:rPr>
        <w:t xml:space="preserve">   </w:t>
      </w:r>
    </w:p>
    <w:p w14:paraId="76BFEA26">
      <w:pPr>
        <w:spacing w:line="440" w:lineRule="exact"/>
        <w:rPr>
          <w:rFonts w:hint="eastAsia"/>
          <w:color w:val="auto"/>
          <w:szCs w:val="21"/>
          <w:highlight w:val="none"/>
        </w:rPr>
      </w:pPr>
    </w:p>
    <w:p w14:paraId="5E689506">
      <w:pPr>
        <w:spacing w:line="440" w:lineRule="exact"/>
        <w:jc w:val="center"/>
        <w:rPr>
          <w:rFonts w:hint="eastAsia" w:ascii="黑体" w:hAnsi="黑体" w:eastAsia="黑体"/>
          <w:color w:val="auto"/>
          <w:sz w:val="28"/>
          <w:szCs w:val="28"/>
          <w:highlight w:val="none"/>
        </w:rPr>
      </w:pPr>
    </w:p>
    <w:p w14:paraId="7C345903">
      <w:pPr>
        <w:spacing w:line="440" w:lineRule="exact"/>
        <w:rPr>
          <w:color w:val="auto"/>
          <w:szCs w:val="21"/>
          <w:highlight w:val="none"/>
        </w:rPr>
      </w:pPr>
      <w:r>
        <w:rPr>
          <w:color w:val="auto"/>
          <w:szCs w:val="21"/>
          <w:highlight w:val="none"/>
        </w:rPr>
        <w:t>投标人名称：</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6E782C1B">
      <w:pPr>
        <w:spacing w:line="440" w:lineRule="exact"/>
        <w:rPr>
          <w:color w:val="auto"/>
          <w:szCs w:val="21"/>
          <w:highlight w:val="none"/>
        </w:rPr>
      </w:pPr>
      <w:r>
        <w:rPr>
          <w:color w:val="auto"/>
          <w:szCs w:val="21"/>
          <w:highlight w:val="none"/>
        </w:rPr>
        <w:t>单位性质：</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40CB98AB">
      <w:pPr>
        <w:spacing w:line="440" w:lineRule="exact"/>
        <w:rPr>
          <w:color w:val="auto"/>
          <w:szCs w:val="21"/>
          <w:highlight w:val="none"/>
        </w:rPr>
      </w:pPr>
      <w:r>
        <w:rPr>
          <w:color w:val="auto"/>
          <w:szCs w:val="21"/>
          <w:highlight w:val="none"/>
        </w:rPr>
        <w:t>地址：</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45E0E057">
      <w:pPr>
        <w:spacing w:line="440" w:lineRule="exact"/>
        <w:rPr>
          <w:color w:val="auto"/>
          <w:szCs w:val="21"/>
          <w:highlight w:val="none"/>
        </w:rPr>
      </w:pPr>
      <w:r>
        <w:rPr>
          <w:color w:val="auto"/>
          <w:szCs w:val="21"/>
          <w:highlight w:val="none"/>
        </w:rPr>
        <w:t>成立时间：</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6C870CA">
      <w:pPr>
        <w:spacing w:line="440" w:lineRule="exact"/>
        <w:rPr>
          <w:color w:val="auto"/>
          <w:szCs w:val="21"/>
          <w:highlight w:val="none"/>
        </w:rPr>
      </w:pPr>
      <w:r>
        <w:rPr>
          <w:color w:val="auto"/>
          <w:szCs w:val="21"/>
          <w:highlight w:val="none"/>
        </w:rPr>
        <w:t>经营期限：</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17063081">
      <w:pPr>
        <w:spacing w:line="440" w:lineRule="exact"/>
        <w:rPr>
          <w:rFonts w:hint="eastAsia"/>
          <w:color w:val="auto"/>
          <w:szCs w:val="21"/>
          <w:highlight w:val="none"/>
        </w:rPr>
      </w:pPr>
      <w:r>
        <w:rPr>
          <w:color w:val="auto"/>
          <w:szCs w:val="21"/>
          <w:highlight w:val="none"/>
        </w:rPr>
        <w:t>姓名：</w:t>
      </w:r>
      <w:r>
        <w:rPr>
          <w:color w:val="auto"/>
          <w:szCs w:val="21"/>
          <w:highlight w:val="none"/>
          <w:u w:val="single"/>
        </w:rPr>
        <w:t xml:space="preserve">   </w:t>
      </w:r>
      <w:r>
        <w:rPr>
          <w:rFonts w:hint="eastAsia"/>
          <w:color w:val="auto"/>
          <w:szCs w:val="21"/>
          <w:highlight w:val="none"/>
          <w:u w:val="single"/>
        </w:rPr>
        <w:t>（法定代表人签字）</w:t>
      </w:r>
      <w:r>
        <w:rPr>
          <w:color w:val="auto"/>
          <w:szCs w:val="21"/>
          <w:highlight w:val="none"/>
          <w:u w:val="single"/>
        </w:rPr>
        <w:t xml:space="preserve"> </w:t>
      </w:r>
      <w:r>
        <w:rPr>
          <w:color w:val="auto"/>
          <w:szCs w:val="21"/>
          <w:highlight w:val="none"/>
        </w:rPr>
        <w:t xml:space="preserve"> 性别：</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1EB88FE6">
      <w:pPr>
        <w:spacing w:line="440" w:lineRule="exact"/>
        <w:rPr>
          <w:color w:val="auto"/>
          <w:szCs w:val="21"/>
          <w:highlight w:val="none"/>
        </w:rPr>
      </w:pPr>
      <w:r>
        <w:rPr>
          <w:color w:val="auto"/>
          <w:szCs w:val="21"/>
          <w:highlight w:val="none"/>
        </w:rPr>
        <w:t>年龄：</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64D1D05A">
      <w:pPr>
        <w:spacing w:line="440" w:lineRule="exact"/>
        <w:rPr>
          <w:color w:val="auto"/>
          <w:szCs w:val="21"/>
          <w:highlight w:val="none"/>
        </w:rPr>
      </w:pPr>
      <w:r>
        <w:rPr>
          <w:color w:val="auto"/>
          <w:szCs w:val="21"/>
          <w:highlight w:val="none"/>
        </w:rPr>
        <w:t>系</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投标人名称</w:t>
      </w:r>
      <w:r>
        <w:rPr>
          <w:rFonts w:hint="eastAsia"/>
          <w:color w:val="auto"/>
          <w:szCs w:val="21"/>
          <w:highlight w:val="none"/>
        </w:rPr>
        <w:t>）</w:t>
      </w:r>
      <w:r>
        <w:rPr>
          <w:color w:val="auto"/>
          <w:szCs w:val="21"/>
          <w:highlight w:val="none"/>
        </w:rPr>
        <w:t>的法定代表人。</w:t>
      </w:r>
    </w:p>
    <w:p w14:paraId="24D9D668">
      <w:pPr>
        <w:spacing w:line="440" w:lineRule="exact"/>
        <w:ind w:firstLine="420" w:firstLineChars="200"/>
        <w:rPr>
          <w:color w:val="auto"/>
          <w:szCs w:val="21"/>
          <w:highlight w:val="none"/>
        </w:rPr>
      </w:pPr>
      <w:r>
        <w:rPr>
          <w:color w:val="auto"/>
          <w:szCs w:val="21"/>
          <w:highlight w:val="none"/>
        </w:rPr>
        <w:t>特此证明。</w:t>
      </w:r>
    </w:p>
    <w:p w14:paraId="63952863">
      <w:pPr>
        <w:spacing w:line="440" w:lineRule="exact"/>
        <w:rPr>
          <w:color w:val="auto"/>
          <w:szCs w:val="21"/>
          <w:highlight w:val="none"/>
        </w:rPr>
      </w:pPr>
    </w:p>
    <w:p w14:paraId="49CDCCCE">
      <w:pPr>
        <w:spacing w:line="440" w:lineRule="exact"/>
        <w:rPr>
          <w:rFonts w:hint="eastAsia"/>
          <w:color w:val="auto"/>
          <w:szCs w:val="21"/>
          <w:highlight w:val="none"/>
        </w:rPr>
      </w:pPr>
    </w:p>
    <w:p w14:paraId="73704F2A">
      <w:pPr>
        <w:spacing w:line="440" w:lineRule="exact"/>
        <w:rPr>
          <w:color w:val="auto"/>
          <w:szCs w:val="21"/>
          <w:highlight w:val="none"/>
        </w:rPr>
      </w:pPr>
    </w:p>
    <w:p w14:paraId="7F04325D">
      <w:pPr>
        <w:spacing w:line="440" w:lineRule="exact"/>
        <w:rPr>
          <w:color w:val="auto"/>
          <w:szCs w:val="21"/>
          <w:highlight w:val="none"/>
        </w:rPr>
      </w:pPr>
      <w:r>
        <w:rPr>
          <w:color w:val="auto"/>
          <w:szCs w:val="21"/>
          <w:highlight w:val="none"/>
        </w:rPr>
        <w:t xml:space="preserve">                          投标人：</w:t>
      </w:r>
      <w:r>
        <w:rPr>
          <w:color w:val="auto"/>
          <w:szCs w:val="21"/>
          <w:highlight w:val="none"/>
          <w:u w:val="single"/>
        </w:rPr>
        <w:t xml:space="preserve">                 </w:t>
      </w:r>
      <w:r>
        <w:rPr>
          <w:color w:val="auto"/>
          <w:szCs w:val="21"/>
          <w:highlight w:val="none"/>
        </w:rPr>
        <w:t>（盖单位章）</w:t>
      </w:r>
    </w:p>
    <w:p w14:paraId="01767815">
      <w:pPr>
        <w:spacing w:line="440" w:lineRule="exact"/>
        <w:rPr>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 日           </w:t>
      </w:r>
    </w:p>
    <w:p w14:paraId="791D7A03">
      <w:pPr>
        <w:spacing w:line="440" w:lineRule="exact"/>
        <w:rPr>
          <w:rFonts w:hint="eastAsia" w:eastAsia="黑体"/>
          <w:color w:val="auto"/>
          <w:sz w:val="20"/>
          <w:szCs w:val="20"/>
          <w:highlight w:val="none"/>
        </w:rPr>
      </w:pPr>
    </w:p>
    <w:p w14:paraId="0E2BE15F">
      <w:pPr>
        <w:spacing w:line="440" w:lineRule="exact"/>
        <w:rPr>
          <w:rFonts w:hint="eastAsia" w:eastAsia="黑体"/>
          <w:color w:val="auto"/>
          <w:sz w:val="20"/>
          <w:szCs w:val="20"/>
          <w:highlight w:val="none"/>
        </w:rPr>
      </w:pPr>
    </w:p>
    <w:p w14:paraId="2655D311">
      <w:pPr>
        <w:spacing w:line="440" w:lineRule="exact"/>
        <w:rPr>
          <w:rFonts w:hint="eastAsia" w:eastAsia="黑体"/>
          <w:color w:val="auto"/>
          <w:sz w:val="20"/>
          <w:szCs w:val="20"/>
          <w:highlight w:val="none"/>
        </w:rPr>
      </w:pPr>
    </w:p>
    <w:p w14:paraId="167CC6AF">
      <w:pPr>
        <w:spacing w:line="440" w:lineRule="exact"/>
        <w:rPr>
          <w:rFonts w:hint="eastAsia" w:eastAsia="黑体"/>
          <w:color w:val="auto"/>
          <w:sz w:val="20"/>
          <w:szCs w:val="20"/>
          <w:highlight w:val="none"/>
        </w:rPr>
      </w:pPr>
    </w:p>
    <w:p w14:paraId="2BA61953">
      <w:pPr>
        <w:spacing w:line="440" w:lineRule="exact"/>
        <w:rPr>
          <w:rFonts w:hint="eastAsia" w:eastAsia="黑体"/>
          <w:color w:val="auto"/>
          <w:sz w:val="20"/>
          <w:szCs w:val="20"/>
          <w:highlight w:val="none"/>
        </w:rPr>
      </w:pPr>
    </w:p>
    <w:p w14:paraId="367F4E95">
      <w:pPr>
        <w:spacing w:line="440" w:lineRule="exact"/>
        <w:rPr>
          <w:rFonts w:hint="eastAsia" w:eastAsia="黑体"/>
          <w:color w:val="auto"/>
          <w:sz w:val="20"/>
          <w:szCs w:val="20"/>
          <w:highlight w:val="none"/>
        </w:rPr>
      </w:pPr>
    </w:p>
    <w:p w14:paraId="47123BDB">
      <w:pPr>
        <w:spacing w:line="440" w:lineRule="exact"/>
        <w:rPr>
          <w:rFonts w:hint="eastAsia" w:eastAsia="黑体"/>
          <w:color w:val="auto"/>
          <w:sz w:val="20"/>
          <w:szCs w:val="20"/>
          <w:highlight w:val="none"/>
        </w:rPr>
      </w:pPr>
    </w:p>
    <w:p w14:paraId="07B3E395">
      <w:pPr>
        <w:spacing w:line="440" w:lineRule="exact"/>
        <w:rPr>
          <w:rFonts w:hint="eastAsia"/>
          <w:color w:val="auto"/>
          <w:sz w:val="20"/>
          <w:szCs w:val="20"/>
          <w:highlight w:val="none"/>
        </w:rPr>
      </w:pPr>
      <w:r>
        <w:rPr>
          <w:rFonts w:hint="eastAsia" w:ascii="宋体" w:hAnsi="宋体"/>
          <w:bCs/>
          <w:color w:val="auto"/>
          <w:szCs w:val="21"/>
          <w:highlight w:val="none"/>
        </w:rPr>
        <w:t>备注:附法定代表人身份证扫描件</w:t>
      </w:r>
    </w:p>
    <w:p w14:paraId="7BA951D5">
      <w:pPr>
        <w:pStyle w:val="90"/>
        <w:spacing w:before="63"/>
        <w:rPr>
          <w:rStyle w:val="91"/>
          <w:rFonts w:hint="eastAsia"/>
          <w:color w:val="auto"/>
          <w:highlight w:val="none"/>
        </w:rPr>
      </w:pPr>
      <w:r>
        <w:rPr>
          <w:color w:val="auto"/>
          <w:sz w:val="20"/>
          <w:highlight w:val="none"/>
        </w:rPr>
        <w:br w:type="page"/>
      </w:r>
      <w:bookmarkStart w:id="3505" w:name="_Toc29062"/>
      <w:bookmarkStart w:id="3506" w:name="_Toc20611_WPSOffice_Level1"/>
      <w:bookmarkStart w:id="3507" w:name="_Toc13979"/>
      <w:r>
        <w:rPr>
          <w:rStyle w:val="91"/>
          <w:rFonts w:hint="eastAsia"/>
          <w:color w:val="auto"/>
          <w:highlight w:val="none"/>
        </w:rPr>
        <w:t>三</w:t>
      </w:r>
      <w:r>
        <w:rPr>
          <w:rStyle w:val="91"/>
          <w:color w:val="auto"/>
          <w:highlight w:val="none"/>
        </w:rPr>
        <w:t>、</w:t>
      </w:r>
      <w:r>
        <w:rPr>
          <w:rStyle w:val="91"/>
          <w:rFonts w:hint="eastAsia"/>
          <w:color w:val="auto"/>
          <w:highlight w:val="none"/>
        </w:rPr>
        <w:t>授权委托书</w:t>
      </w:r>
      <w:bookmarkEnd w:id="3505"/>
      <w:bookmarkEnd w:id="3506"/>
      <w:bookmarkEnd w:id="3507"/>
    </w:p>
    <w:p w14:paraId="02E71B7F">
      <w:pPr>
        <w:spacing w:before="319" w:beforeLines="100" w:after="319" w:afterLines="100" w:line="480" w:lineRule="exact"/>
        <w:jc w:val="center"/>
        <w:rPr>
          <w:rFonts w:hint="eastAsia" w:ascii="黑体" w:hAnsi="宋体" w:cs="黑体"/>
          <w:color w:val="auto"/>
          <w:szCs w:val="28"/>
          <w:highlight w:val="none"/>
        </w:rPr>
      </w:pPr>
    </w:p>
    <w:p w14:paraId="796B7F10">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本人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（姓名）系</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（投标人名称）的法定代表人，现委托</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（姓名）为我方代理人。代理人根据授权，以我方名义签署、澄清、说明、补正、递交、撤回、修改</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（项目名称）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（标段名称）</w:t>
      </w:r>
      <w:r>
        <w:rPr>
          <w:rFonts w:hint="eastAsia" w:ascii="宋体" w:hAnsi="宋体"/>
          <w:color w:val="auto"/>
          <w:szCs w:val="21"/>
          <w:highlight w:val="none"/>
        </w:rPr>
        <w:t>工程总承包的</w:t>
      </w:r>
      <w:r>
        <w:rPr>
          <w:rFonts w:hint="eastAsia" w:ascii="宋体" w:hAnsi="宋体" w:cs="宋体"/>
          <w:color w:val="auto"/>
          <w:szCs w:val="21"/>
          <w:highlight w:val="none"/>
          <w:lang w:bidi="ar"/>
        </w:rPr>
        <w:t>投标文件、签订合同和处理有关事宜，其法律后果由我方承担。</w:t>
      </w:r>
    </w:p>
    <w:p w14:paraId="522680A1">
      <w:pPr>
        <w:spacing w:before="159" w:beforeLines="50"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委托期限：</w:t>
      </w:r>
      <w:r>
        <w:rPr>
          <w:rFonts w:hint="eastAsia" w:ascii="宋体" w:hAnsi="宋体" w:cs="宋体"/>
          <w:color w:val="auto"/>
          <w:szCs w:val="21"/>
          <w:highlight w:val="none"/>
          <w:u w:val="single"/>
          <w:lang w:bidi="ar"/>
        </w:rPr>
        <w:t xml:space="preserve">                                                          </w:t>
      </w:r>
    </w:p>
    <w:p w14:paraId="1F1C7A56">
      <w:pPr>
        <w:spacing w:line="500" w:lineRule="exact"/>
        <w:ind w:firstLine="1260" w:firstLineChars="600"/>
        <w:rPr>
          <w:rFonts w:hint="eastAsia" w:ascii="宋体" w:hAnsi="宋体" w:cs="宋体"/>
          <w:color w:val="auto"/>
          <w:szCs w:val="21"/>
          <w:highlight w:val="none"/>
        </w:rPr>
      </w:pPr>
      <w:r>
        <w:rPr>
          <w:rFonts w:hint="eastAsia" w:ascii="宋体" w:hAnsi="宋体" w:cs="宋体"/>
          <w:color w:val="auto"/>
          <w:szCs w:val="21"/>
          <w:highlight w:val="none"/>
          <w:lang w:bidi="ar"/>
        </w:rPr>
        <w:t xml:space="preserve">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14:paraId="3CE0576F">
      <w:pPr>
        <w:spacing w:before="319" w:beforeLines="100" w:after="319" w:afterLines="100"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代理人无转委托权。</w:t>
      </w:r>
    </w:p>
    <w:p w14:paraId="7F1A69BC">
      <w:pPr>
        <w:spacing w:after="319" w:afterLines="100" w:line="360" w:lineRule="exact"/>
        <w:ind w:firstLine="420" w:firstLineChars="200"/>
        <w:rPr>
          <w:rFonts w:hint="eastAsia" w:ascii="宋体" w:hAnsi="宋体" w:cs="宋体"/>
          <w:color w:val="auto"/>
          <w:szCs w:val="21"/>
          <w:highlight w:val="none"/>
          <w:lang w:bidi="ar"/>
        </w:rPr>
      </w:pPr>
      <w:bookmarkStart w:id="3508" w:name="_Toc7286_WPSOffice_Level1"/>
      <w:bookmarkStart w:id="3509" w:name="_Toc31666_WPSOffice_Level1"/>
      <w:r>
        <w:rPr>
          <w:rFonts w:hint="eastAsia" w:ascii="宋体" w:hAnsi="宋体" w:cs="宋体"/>
          <w:color w:val="auto"/>
          <w:szCs w:val="21"/>
          <w:highlight w:val="none"/>
          <w:lang w:bidi="ar"/>
        </w:rPr>
        <w:t>附：1、法定代表人身份证明</w:t>
      </w:r>
      <w:bookmarkEnd w:id="3508"/>
      <w:bookmarkEnd w:id="3509"/>
    </w:p>
    <w:p w14:paraId="2A852E51">
      <w:pPr>
        <w:spacing w:line="360" w:lineRule="exact"/>
        <w:ind w:firstLine="840" w:firstLineChars="400"/>
        <w:rPr>
          <w:rFonts w:hint="eastAsia"/>
          <w:color w:val="auto"/>
          <w:szCs w:val="21"/>
          <w:highlight w:val="none"/>
        </w:rPr>
      </w:pPr>
      <w:bookmarkStart w:id="3510" w:name="_Toc19775_WPSOffice_Level1"/>
      <w:bookmarkStart w:id="3511" w:name="_Toc26041_WPSOffice_Level1"/>
      <w:r>
        <w:rPr>
          <w:rFonts w:hint="eastAsia" w:ascii="宋体" w:hAnsi="宋体"/>
          <w:bCs/>
          <w:color w:val="auto"/>
          <w:szCs w:val="21"/>
          <w:highlight w:val="none"/>
        </w:rPr>
        <w:t>2．委托代理人身份证正反面复印件</w:t>
      </w:r>
      <w:bookmarkEnd w:id="3510"/>
      <w:bookmarkEnd w:id="3511"/>
    </w:p>
    <w:p w14:paraId="74BA1C83">
      <w:pPr>
        <w:spacing w:after="319" w:afterLines="100" w:line="500" w:lineRule="exact"/>
        <w:ind w:firstLine="420" w:firstLineChars="200"/>
        <w:rPr>
          <w:rFonts w:hint="eastAsia" w:ascii="宋体" w:hAnsi="宋体" w:cs="宋体"/>
          <w:color w:val="auto"/>
          <w:szCs w:val="21"/>
          <w:highlight w:val="none"/>
        </w:rPr>
      </w:pPr>
    </w:p>
    <w:p w14:paraId="37487074">
      <w:pPr>
        <w:spacing w:line="400" w:lineRule="exact"/>
        <w:ind w:firstLine="3570" w:firstLineChars="1700"/>
        <w:rPr>
          <w:rFonts w:hint="eastAsia" w:ascii="宋体" w:hAnsi="宋体" w:cs="宋体"/>
          <w:color w:val="auto"/>
          <w:szCs w:val="21"/>
          <w:highlight w:val="none"/>
        </w:rPr>
      </w:pPr>
    </w:p>
    <w:p w14:paraId="2FD78BD4">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投  标  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（盖单位章）</w:t>
      </w:r>
    </w:p>
    <w:p w14:paraId="237A6CD1">
      <w:pPr>
        <w:spacing w:line="400" w:lineRule="exact"/>
        <w:ind w:firstLine="3570" w:firstLineChars="1700"/>
        <w:rPr>
          <w:rFonts w:hint="eastAsia" w:ascii="宋体" w:hAnsi="宋体" w:cs="宋体"/>
          <w:color w:val="auto"/>
          <w:szCs w:val="21"/>
          <w:highlight w:val="none"/>
        </w:rPr>
      </w:pPr>
    </w:p>
    <w:p w14:paraId="4530C885">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法定代表人：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（签字）</w:t>
      </w:r>
    </w:p>
    <w:p w14:paraId="06C06884">
      <w:pPr>
        <w:spacing w:line="400" w:lineRule="exact"/>
        <w:ind w:firstLine="3570" w:firstLineChars="1700"/>
        <w:rPr>
          <w:rFonts w:hint="eastAsia" w:ascii="宋体" w:hAnsi="宋体" w:cs="宋体"/>
          <w:color w:val="auto"/>
          <w:szCs w:val="21"/>
          <w:highlight w:val="none"/>
        </w:rPr>
      </w:pPr>
    </w:p>
    <w:p w14:paraId="70FF4A10">
      <w:pPr>
        <w:spacing w:line="400" w:lineRule="exact"/>
        <w:ind w:firstLine="3570" w:firstLineChars="1700"/>
        <w:rPr>
          <w:rFonts w:hint="eastAsia" w:ascii="宋体" w:hAnsi="宋体" w:cs="宋体"/>
          <w:color w:val="auto"/>
          <w:szCs w:val="21"/>
          <w:highlight w:val="none"/>
          <w:u w:val="single"/>
        </w:rPr>
      </w:pPr>
      <w:r>
        <w:rPr>
          <w:rFonts w:hint="eastAsia" w:ascii="宋体" w:hAnsi="宋体" w:cs="宋体"/>
          <w:color w:val="auto"/>
          <w:szCs w:val="21"/>
          <w:highlight w:val="none"/>
          <w:lang w:bidi="ar"/>
        </w:rPr>
        <w:t>身份证号码：</w:t>
      </w:r>
      <w:r>
        <w:rPr>
          <w:rFonts w:hint="eastAsia" w:ascii="宋体" w:hAnsi="宋体" w:cs="宋体"/>
          <w:color w:val="auto"/>
          <w:szCs w:val="21"/>
          <w:highlight w:val="none"/>
          <w:u w:val="single"/>
          <w:lang w:bidi="ar"/>
        </w:rPr>
        <w:t xml:space="preserve">                                   </w:t>
      </w:r>
    </w:p>
    <w:p w14:paraId="57CE24D0">
      <w:pPr>
        <w:spacing w:line="400" w:lineRule="exact"/>
        <w:ind w:firstLine="3570" w:firstLineChars="1700"/>
        <w:rPr>
          <w:rFonts w:hint="eastAsia" w:ascii="宋体" w:hAnsi="宋体" w:cs="宋体"/>
          <w:color w:val="auto"/>
          <w:szCs w:val="21"/>
          <w:highlight w:val="none"/>
          <w:u w:val="single"/>
        </w:rPr>
      </w:pPr>
    </w:p>
    <w:p w14:paraId="55EF0B59">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委托代理人：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（签字）</w:t>
      </w:r>
    </w:p>
    <w:p w14:paraId="7BFA0B12">
      <w:pPr>
        <w:spacing w:line="400" w:lineRule="exact"/>
        <w:ind w:firstLine="3570" w:firstLineChars="1700"/>
        <w:rPr>
          <w:rFonts w:hint="eastAsia" w:ascii="宋体" w:hAnsi="宋体" w:cs="宋体"/>
          <w:color w:val="auto"/>
          <w:szCs w:val="21"/>
          <w:highlight w:val="none"/>
        </w:rPr>
      </w:pPr>
    </w:p>
    <w:p w14:paraId="7394D069">
      <w:pPr>
        <w:spacing w:line="400" w:lineRule="exact"/>
        <w:ind w:firstLine="3570" w:firstLineChars="1700"/>
        <w:rPr>
          <w:rFonts w:hint="eastAsia" w:ascii="宋体" w:hAnsi="宋体" w:cs="宋体"/>
          <w:color w:val="auto"/>
          <w:szCs w:val="21"/>
          <w:highlight w:val="none"/>
          <w:u w:val="single"/>
        </w:rPr>
      </w:pPr>
      <w:r>
        <w:rPr>
          <w:rFonts w:hint="eastAsia" w:ascii="宋体" w:hAnsi="宋体" w:cs="宋体"/>
          <w:color w:val="auto"/>
          <w:szCs w:val="21"/>
          <w:highlight w:val="none"/>
          <w:lang w:bidi="ar"/>
        </w:rPr>
        <w:t>身份证号码：</w:t>
      </w:r>
      <w:r>
        <w:rPr>
          <w:rFonts w:hint="eastAsia" w:ascii="宋体" w:hAnsi="宋体" w:cs="宋体"/>
          <w:color w:val="auto"/>
          <w:szCs w:val="21"/>
          <w:highlight w:val="none"/>
          <w:u w:val="single"/>
          <w:lang w:bidi="ar"/>
        </w:rPr>
        <w:t xml:space="preserve">                                   </w:t>
      </w:r>
    </w:p>
    <w:p w14:paraId="750C6431">
      <w:pPr>
        <w:spacing w:line="400" w:lineRule="exact"/>
        <w:ind w:firstLine="3570" w:firstLineChars="1700"/>
        <w:rPr>
          <w:rFonts w:hint="eastAsia" w:ascii="宋体" w:hAnsi="宋体" w:cs="宋体"/>
          <w:color w:val="auto"/>
          <w:szCs w:val="21"/>
          <w:highlight w:val="none"/>
        </w:rPr>
      </w:pPr>
    </w:p>
    <w:p w14:paraId="7DB43A91">
      <w:pPr>
        <w:spacing w:line="400" w:lineRule="exact"/>
        <w:ind w:firstLine="4830" w:firstLineChars="2300"/>
        <w:rPr>
          <w:rFonts w:hint="eastAsia" w:ascii="宋体" w:hAnsi="宋体" w:cs="宋体"/>
          <w:color w:val="auto"/>
          <w:szCs w:val="21"/>
          <w:highlight w:val="none"/>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日</w:t>
      </w:r>
    </w:p>
    <w:p w14:paraId="6FF9D499">
      <w:pPr>
        <w:spacing w:line="440" w:lineRule="exact"/>
        <w:rPr>
          <w:rFonts w:hint="eastAsia" w:eastAsia="黑体"/>
          <w:color w:val="auto"/>
          <w:sz w:val="20"/>
          <w:szCs w:val="20"/>
          <w:highlight w:val="none"/>
        </w:rPr>
      </w:pPr>
    </w:p>
    <w:p w14:paraId="14CA9099">
      <w:pPr>
        <w:spacing w:line="440" w:lineRule="exact"/>
        <w:rPr>
          <w:rFonts w:hint="eastAsia"/>
          <w:color w:val="auto"/>
          <w:highlight w:val="none"/>
        </w:rPr>
      </w:pPr>
      <w:r>
        <w:rPr>
          <w:rFonts w:eastAsia="黑体"/>
          <w:color w:val="auto"/>
          <w:sz w:val="20"/>
          <w:szCs w:val="20"/>
          <w:highlight w:val="none"/>
        </w:rPr>
        <w:br w:type="page"/>
      </w:r>
    </w:p>
    <w:p w14:paraId="0F9D701B">
      <w:pPr>
        <w:pStyle w:val="90"/>
        <w:spacing w:before="63"/>
        <w:rPr>
          <w:color w:val="auto"/>
          <w:sz w:val="28"/>
          <w:szCs w:val="28"/>
          <w:highlight w:val="none"/>
        </w:rPr>
      </w:pPr>
      <w:bookmarkStart w:id="3512" w:name="_Toc24740"/>
      <w:bookmarkStart w:id="3513" w:name="_Toc519085635"/>
      <w:bookmarkStart w:id="3514" w:name="_Toc10370"/>
      <w:bookmarkStart w:id="3515" w:name="_Toc152042582"/>
      <w:bookmarkStart w:id="3516" w:name="_Toc5259_WPSOffice_Level1"/>
      <w:bookmarkStart w:id="3517" w:name="_Toc247527833"/>
      <w:bookmarkStart w:id="3518" w:name="_Toc14534"/>
      <w:bookmarkStart w:id="3519" w:name="_Toc23648"/>
      <w:bookmarkStart w:id="3520" w:name="_Toc247514285"/>
      <w:bookmarkStart w:id="3521" w:name="_Toc4054"/>
      <w:bookmarkStart w:id="3522" w:name="_Toc18863"/>
      <w:bookmarkStart w:id="3523" w:name="_Toc152045793"/>
      <w:r>
        <w:rPr>
          <w:rFonts w:hint="eastAsia"/>
          <w:color w:val="auto"/>
          <w:sz w:val="28"/>
          <w:szCs w:val="28"/>
          <w:highlight w:val="none"/>
        </w:rPr>
        <w:t>四、联合体协议书</w:t>
      </w:r>
      <w:bookmarkEnd w:id="3512"/>
      <w:bookmarkEnd w:id="3513"/>
      <w:bookmarkEnd w:id="3514"/>
      <w:bookmarkEnd w:id="3515"/>
      <w:bookmarkEnd w:id="3516"/>
      <w:bookmarkEnd w:id="3517"/>
      <w:bookmarkEnd w:id="3518"/>
      <w:bookmarkEnd w:id="3519"/>
      <w:bookmarkEnd w:id="3520"/>
      <w:bookmarkEnd w:id="3521"/>
      <w:bookmarkEnd w:id="3522"/>
      <w:bookmarkEnd w:id="3523"/>
    </w:p>
    <w:p w14:paraId="6B70CF5D">
      <w:pPr>
        <w:spacing w:line="394" w:lineRule="exact"/>
        <w:ind w:firstLine="560" w:firstLineChars="200"/>
        <w:rPr>
          <w:rFonts w:hint="eastAsia"/>
          <w:color w:val="auto"/>
          <w:sz w:val="28"/>
          <w:szCs w:val="28"/>
          <w:highlight w:val="none"/>
        </w:rPr>
      </w:pPr>
    </w:p>
    <w:p w14:paraId="67823694">
      <w:pPr>
        <w:spacing w:line="400" w:lineRule="exact"/>
        <w:jc w:val="center"/>
        <w:rPr>
          <w:color w:val="auto"/>
          <w:szCs w:val="21"/>
          <w:highlight w:val="none"/>
        </w:rPr>
      </w:pPr>
    </w:p>
    <w:p w14:paraId="1C7D9A4F">
      <w:pPr>
        <w:spacing w:line="394" w:lineRule="exact"/>
        <w:ind w:firstLine="525" w:firstLineChars="25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（所有成员单位名称）自愿组成</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工程总承包投标。现就联合体投标事宜订立如下协议：</w:t>
      </w:r>
    </w:p>
    <w:p w14:paraId="386E668B">
      <w:pPr>
        <w:spacing w:line="394" w:lineRule="exact"/>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6D88811B">
      <w:pPr>
        <w:spacing w:line="394" w:lineRule="exact"/>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联合体牵头人合法代表联合体各成员负责本招标项目资格预审申请文件、投标文件编制和合同谈判活动，并代表联合体提交和接收相关的资料、信息及指示，并处理与之有关的一切事务，负责合同实施阶段的主办、组织和协调工作。</w:t>
      </w:r>
    </w:p>
    <w:p w14:paraId="13659176">
      <w:pPr>
        <w:spacing w:line="394" w:lineRule="exact"/>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．联合体将严格按照资格预审文件和招标文件的各项要求，递交资格预审申请文件和投标文件，履行合同，并对外承担连带责任。</w:t>
      </w:r>
    </w:p>
    <w:p w14:paraId="62C12DCD">
      <w:pPr>
        <w:spacing w:line="394" w:lineRule="exact"/>
        <w:ind w:firstLine="420" w:firstLineChars="200"/>
        <w:rPr>
          <w:rFonts w:hint="eastAsia"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．联合体各成员单位内部的职责分工如下：</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4C38A8C">
      <w:pPr>
        <w:spacing w:line="394" w:lineRule="exact"/>
        <w:ind w:firstLine="420" w:firstLineChars="200"/>
        <w:rPr>
          <w:rFonts w:hint="eastAsia" w:ascii="宋体" w:hAnsi="宋体"/>
          <w:color w:val="auto"/>
          <w:szCs w:val="21"/>
          <w:highlight w:val="none"/>
        </w:rPr>
      </w:pPr>
      <w:r>
        <w:rPr>
          <w:rFonts w:hint="eastAsia"/>
          <w:color w:val="auto"/>
          <w:szCs w:val="21"/>
          <w:highlight w:val="none"/>
        </w:rPr>
        <w:t>5</w:t>
      </w:r>
      <w:r>
        <w:rPr>
          <w:rFonts w:hint="eastAsia" w:ascii="宋体" w:hAnsi="宋体"/>
          <w:color w:val="auto"/>
          <w:szCs w:val="21"/>
          <w:highlight w:val="none"/>
        </w:rPr>
        <w:t>．本协议书自签署之日起生效，合同履行完毕后自动失效。</w:t>
      </w:r>
    </w:p>
    <w:p w14:paraId="3E5457DB">
      <w:pPr>
        <w:spacing w:line="394" w:lineRule="exact"/>
        <w:ind w:firstLine="420" w:firstLineChars="200"/>
        <w:rPr>
          <w:rFonts w:hint="eastAsia" w:ascii="宋体" w:hAnsi="宋体"/>
          <w:color w:val="auto"/>
          <w:szCs w:val="21"/>
          <w:highlight w:val="none"/>
        </w:rPr>
      </w:pPr>
      <w:r>
        <w:rPr>
          <w:rFonts w:hint="eastAsia"/>
          <w:color w:val="auto"/>
          <w:szCs w:val="21"/>
          <w:highlight w:val="none"/>
        </w:rPr>
        <w:t>8</w:t>
      </w:r>
      <w:r>
        <w:rPr>
          <w:rFonts w:hint="eastAsia" w:ascii="宋体" w:hAnsi="宋体"/>
          <w:color w:val="auto"/>
          <w:szCs w:val="21"/>
          <w:highlight w:val="none"/>
        </w:rPr>
        <w:t>．本协议书一式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0D59010B">
      <w:pPr>
        <w:spacing w:line="394" w:lineRule="exact"/>
        <w:ind w:firstLine="420" w:firstLineChars="200"/>
        <w:rPr>
          <w:rFonts w:hint="eastAsia" w:ascii="宋体" w:hAnsi="宋体"/>
          <w:color w:val="auto"/>
          <w:szCs w:val="21"/>
          <w:highlight w:val="none"/>
        </w:rPr>
      </w:pPr>
    </w:p>
    <w:p w14:paraId="7B96ABDF">
      <w:pPr>
        <w:spacing w:line="394" w:lineRule="exact"/>
        <w:ind w:firstLine="420" w:firstLineChars="200"/>
        <w:rPr>
          <w:rFonts w:hint="eastAsia" w:ascii="宋体" w:hAnsi="宋体"/>
          <w:color w:val="auto"/>
          <w:szCs w:val="21"/>
          <w:highlight w:val="none"/>
        </w:rPr>
      </w:pPr>
    </w:p>
    <w:p w14:paraId="30CB8EEF">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421F5D6E">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法定代表人或其委托代理人：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115B0506">
      <w:pPr>
        <w:spacing w:line="394" w:lineRule="exact"/>
        <w:ind w:firstLine="1785" w:firstLineChars="850"/>
        <w:rPr>
          <w:rFonts w:hint="eastAsia" w:ascii="宋体" w:hAnsi="宋体"/>
          <w:color w:val="auto"/>
          <w:szCs w:val="21"/>
          <w:highlight w:val="none"/>
        </w:rPr>
      </w:pPr>
    </w:p>
    <w:p w14:paraId="03F444CB">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成员一名称：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3707B5F9">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法定代表人或其委托代理人：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30BDE579">
      <w:pPr>
        <w:spacing w:line="394" w:lineRule="exact"/>
        <w:ind w:firstLine="2100" w:firstLineChars="1000"/>
        <w:rPr>
          <w:rFonts w:hint="eastAsia" w:ascii="宋体" w:hAnsi="宋体"/>
          <w:color w:val="auto"/>
          <w:szCs w:val="21"/>
          <w:highlight w:val="none"/>
        </w:rPr>
      </w:pPr>
      <w:r>
        <w:rPr>
          <w:rFonts w:hint="eastAsia" w:ascii="宋体" w:hAnsi="宋体"/>
          <w:color w:val="auto"/>
          <w:szCs w:val="21"/>
          <w:highlight w:val="none"/>
        </w:rPr>
        <w:t>……</w:t>
      </w:r>
    </w:p>
    <w:p w14:paraId="757585C4">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4A5BDF7A">
      <w:pPr>
        <w:spacing w:line="394" w:lineRule="exact"/>
        <w:jc w:val="right"/>
        <w:rPr>
          <w:rFonts w:hint="eastAsia" w:ascii="宋体" w:hAnsi="宋体"/>
          <w:color w:val="auto"/>
          <w:szCs w:val="21"/>
          <w:highlight w:val="none"/>
        </w:rPr>
      </w:pPr>
    </w:p>
    <w:p w14:paraId="6622AA5F">
      <w:pPr>
        <w:spacing w:line="394" w:lineRule="exact"/>
        <w:jc w:val="right"/>
        <w:rPr>
          <w:rFonts w:hint="eastAsia" w:ascii="宋体" w:hAnsi="宋体"/>
          <w:color w:val="auto"/>
          <w:szCs w:val="21"/>
          <w:highlight w:val="none"/>
        </w:rPr>
      </w:pPr>
    </w:p>
    <w:p w14:paraId="17C79FD5">
      <w:pPr>
        <w:spacing w:line="394" w:lineRule="exact"/>
        <w:jc w:val="right"/>
        <w:rPr>
          <w:rFonts w:hint="eastAsia" w:ascii="宋体" w:hAnsi="宋体"/>
          <w:color w:val="auto"/>
          <w:szCs w:val="21"/>
          <w:highlight w:val="none"/>
        </w:rPr>
      </w:pPr>
    </w:p>
    <w:p w14:paraId="716B638E">
      <w:pPr>
        <w:spacing w:line="394" w:lineRule="exact"/>
        <w:jc w:val="right"/>
        <w:rPr>
          <w:rFonts w:hint="eastAsia" w:ascii="宋体" w:hAnsi="宋体"/>
          <w:color w:val="auto"/>
          <w:szCs w:val="21"/>
          <w:highlight w:val="none"/>
        </w:rPr>
      </w:pPr>
    </w:p>
    <w:p w14:paraId="5536C015">
      <w:pPr>
        <w:spacing w:line="394" w:lineRule="exact"/>
        <w:jc w:val="right"/>
        <w:rPr>
          <w:rFonts w:hint="eastAsia" w:ascii="宋体" w:hAnsi="宋体"/>
          <w:color w:val="auto"/>
          <w:szCs w:val="21"/>
          <w:highlight w:val="none"/>
        </w:rPr>
      </w:pPr>
    </w:p>
    <w:p w14:paraId="6BEC3C08">
      <w:pPr>
        <w:spacing w:line="400" w:lineRule="exact"/>
        <w:rPr>
          <w:rFonts w:hint="eastAsia"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4B83355E">
      <w:pPr>
        <w:spacing w:line="394" w:lineRule="exact"/>
        <w:ind w:left="840" w:leftChars="300" w:hanging="210" w:hangingChars="100"/>
        <w:rPr>
          <w:rFonts w:hint="eastAsia" w:ascii="宋体" w:hAnsi="宋体"/>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0C5E4467">
      <w:pPr>
        <w:spacing w:line="394" w:lineRule="exact"/>
        <w:ind w:left="945" w:leftChars="300" w:hanging="315" w:hangingChars="150"/>
        <w:rPr>
          <w:rFonts w:hint="eastAsia" w:ascii="宋体" w:hAnsi="宋体"/>
          <w:color w:val="auto"/>
          <w:szCs w:val="21"/>
          <w:highlight w:val="none"/>
        </w:rPr>
      </w:pPr>
    </w:p>
    <w:p w14:paraId="41D79AE5">
      <w:pPr>
        <w:ind w:firstLine="2879" w:firstLineChars="1371"/>
        <w:rPr>
          <w:color w:val="auto"/>
          <w:sz w:val="28"/>
          <w:szCs w:val="28"/>
          <w:highlight w:val="none"/>
        </w:rPr>
      </w:pPr>
      <w:r>
        <w:rPr>
          <w:color w:val="auto"/>
          <w:highlight w:val="none"/>
        </w:rPr>
        <w:br w:type="page"/>
      </w:r>
    </w:p>
    <w:p w14:paraId="21D58697">
      <w:pPr>
        <w:pStyle w:val="90"/>
        <w:spacing w:before="63"/>
        <w:rPr>
          <w:color w:val="auto"/>
          <w:sz w:val="28"/>
          <w:szCs w:val="28"/>
          <w:highlight w:val="none"/>
        </w:rPr>
      </w:pPr>
      <w:bookmarkStart w:id="3524" w:name="_Toc8597"/>
      <w:bookmarkStart w:id="3525" w:name="_Toc25015"/>
      <w:bookmarkStart w:id="3526" w:name="_Toc152045794"/>
      <w:bookmarkStart w:id="3527" w:name="_Toc13917"/>
      <w:bookmarkStart w:id="3528" w:name="_Toc247527834"/>
      <w:bookmarkStart w:id="3529" w:name="_Toc14824"/>
      <w:bookmarkStart w:id="3530" w:name="_Toc247514286"/>
      <w:bookmarkStart w:id="3531" w:name="_Toc152042583"/>
      <w:bookmarkStart w:id="3532" w:name="_Toc22463"/>
      <w:bookmarkStart w:id="3533" w:name="_Toc144974862"/>
      <w:bookmarkStart w:id="3534" w:name="_Toc519085636"/>
      <w:bookmarkStart w:id="3535" w:name="_Toc12288"/>
      <w:bookmarkStart w:id="3536" w:name="_Toc29295_WPSOffice_Level1"/>
      <w:r>
        <w:rPr>
          <w:rFonts w:hint="eastAsia"/>
          <w:color w:val="auto"/>
          <w:sz w:val="28"/>
          <w:szCs w:val="28"/>
          <w:highlight w:val="none"/>
        </w:rPr>
        <w:t>五</w:t>
      </w:r>
      <w:r>
        <w:rPr>
          <w:color w:val="auto"/>
          <w:sz w:val="28"/>
          <w:szCs w:val="28"/>
          <w:highlight w:val="none"/>
        </w:rPr>
        <w:t>、投标保证金</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14:paraId="04AD7D3C">
      <w:pPr>
        <w:spacing w:line="440" w:lineRule="exact"/>
        <w:rPr>
          <w:rFonts w:hint="eastAsia"/>
          <w:color w:val="auto"/>
          <w:szCs w:val="21"/>
          <w:highlight w:val="none"/>
        </w:rPr>
      </w:pPr>
    </w:p>
    <w:p w14:paraId="7BC7987E">
      <w:pPr>
        <w:spacing w:line="460" w:lineRule="exac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（招标人名称）：</w:t>
      </w:r>
    </w:p>
    <w:p w14:paraId="6CFD0CE4">
      <w:pPr>
        <w:spacing w:line="400" w:lineRule="exact"/>
        <w:ind w:firstLine="525" w:firstLineChars="250"/>
        <w:rPr>
          <w:rFonts w:hint="eastAsia"/>
          <w:color w:val="auto"/>
          <w:highlight w:val="none"/>
        </w:rPr>
      </w:pPr>
    </w:p>
    <w:p w14:paraId="3260E46C">
      <w:pPr>
        <w:spacing w:line="400" w:lineRule="exact"/>
        <w:ind w:firstLine="525" w:firstLineChars="2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 xml:space="preserve"> 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日参加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color w:val="auto"/>
          <w:szCs w:val="21"/>
          <w:highlight w:val="none"/>
        </w:rPr>
        <w:t>工程总承包</w:t>
      </w:r>
      <w:r>
        <w:rPr>
          <w:rFonts w:hint="eastAsia"/>
          <w:color w:val="auto"/>
          <w:highlight w:val="none"/>
        </w:rPr>
        <w:t xml:space="preserve">的投标，我方已按照本项目招标文件的规定提交了投标保证金，我方承诺出现以下情形时，你方可不予退还我方提交的投标保证金： </w:t>
      </w:r>
    </w:p>
    <w:p w14:paraId="77F94F8D">
      <w:pPr>
        <w:spacing w:line="360" w:lineRule="auto"/>
        <w:ind w:firstLine="420" w:firstLineChars="200"/>
        <w:rPr>
          <w:rFonts w:hint="eastAsia"/>
          <w:color w:val="auto"/>
          <w:highlight w:val="none"/>
        </w:rPr>
      </w:pPr>
      <w:r>
        <w:rPr>
          <w:rFonts w:hint="eastAsia"/>
          <w:color w:val="auto"/>
          <w:highlight w:val="none"/>
        </w:rPr>
        <w:t xml:space="preserve">1. 在规定的投标有效期内撤销或者修改投标文件。 </w:t>
      </w:r>
    </w:p>
    <w:p w14:paraId="51B39671">
      <w:pPr>
        <w:spacing w:line="360" w:lineRule="auto"/>
        <w:ind w:firstLine="420" w:firstLineChars="200"/>
        <w:rPr>
          <w:rFonts w:hint="eastAsia"/>
          <w:color w:val="auto"/>
          <w:highlight w:val="none"/>
        </w:rPr>
      </w:pPr>
      <w:r>
        <w:rPr>
          <w:rFonts w:hint="eastAsia"/>
          <w:color w:val="auto"/>
          <w:highlight w:val="none"/>
        </w:rPr>
        <w:t xml:space="preserve">2. 相互串通投标，或者向评标委员会成员行贿，或者以他人名义投标，或者以其他方式弄虚作假谋取中标。 </w:t>
      </w:r>
    </w:p>
    <w:p w14:paraId="4C6399D9">
      <w:pPr>
        <w:spacing w:line="400" w:lineRule="exact"/>
        <w:ind w:firstLine="420" w:firstLineChars="200"/>
        <w:rPr>
          <w:rFonts w:hint="eastAsia"/>
          <w:color w:val="auto"/>
          <w:highlight w:val="none"/>
        </w:rPr>
      </w:pPr>
      <w:r>
        <w:rPr>
          <w:rFonts w:hint="eastAsia"/>
          <w:color w:val="auto"/>
          <w:highlight w:val="none"/>
        </w:rPr>
        <w:t>3. 在收到中标通知书后，无正当理由拒签合同或未按招标文件规定提交履约保证金。</w:t>
      </w:r>
    </w:p>
    <w:p w14:paraId="465B4C47">
      <w:pPr>
        <w:spacing w:line="400" w:lineRule="exact"/>
        <w:ind w:firstLine="420" w:firstLineChars="200"/>
        <w:rPr>
          <w:rFonts w:hint="eastAsia"/>
          <w:color w:val="auto"/>
          <w:highlight w:val="none"/>
        </w:rPr>
      </w:pPr>
    </w:p>
    <w:p w14:paraId="11BA5CF3">
      <w:pPr>
        <w:spacing w:line="400" w:lineRule="exact"/>
        <w:ind w:firstLine="420" w:firstLineChars="200"/>
        <w:rPr>
          <w:rFonts w:hint="eastAsia"/>
          <w:color w:val="auto"/>
          <w:highlight w:val="none"/>
        </w:rPr>
      </w:pPr>
    </w:p>
    <w:p w14:paraId="2BCD7E9E">
      <w:pPr>
        <w:spacing w:line="400" w:lineRule="exact"/>
        <w:ind w:firstLine="420" w:firstLineChars="200"/>
        <w:rPr>
          <w:color w:val="auto"/>
          <w:szCs w:val="21"/>
          <w:highlight w:val="none"/>
        </w:rPr>
      </w:pPr>
      <w:r>
        <w:rPr>
          <w:rFonts w:hint="eastAsia"/>
          <w:color w:val="auto"/>
          <w:szCs w:val="21"/>
          <w:highlight w:val="none"/>
        </w:rPr>
        <w:t>附：《投标保证金提交确认函》</w:t>
      </w:r>
      <w:r>
        <w:rPr>
          <w:rFonts w:hint="eastAsia"/>
          <w:color w:val="auto"/>
          <w:highlight w:val="none"/>
        </w:rPr>
        <w:t>（从平台导入）</w:t>
      </w:r>
      <w:r>
        <w:rPr>
          <w:rFonts w:hint="eastAsia"/>
          <w:color w:val="auto"/>
          <w:szCs w:val="21"/>
          <w:highlight w:val="none"/>
        </w:rPr>
        <w:t>。</w:t>
      </w:r>
    </w:p>
    <w:p w14:paraId="479AADD8">
      <w:pPr>
        <w:spacing w:line="400" w:lineRule="exact"/>
        <w:jc w:val="center"/>
        <w:rPr>
          <w:rFonts w:hint="eastAsia" w:ascii="宋体" w:hAnsi="宋体"/>
          <w:strike/>
          <w:color w:val="auto"/>
          <w:highlight w:val="none"/>
        </w:rPr>
      </w:pPr>
    </w:p>
    <w:p w14:paraId="07471F43">
      <w:pPr>
        <w:spacing w:line="400" w:lineRule="exact"/>
        <w:jc w:val="center"/>
        <w:rPr>
          <w:rFonts w:hint="eastAsia" w:ascii="宋体" w:hAnsi="宋体"/>
          <w:color w:val="auto"/>
          <w:highlight w:val="none"/>
        </w:rPr>
      </w:pPr>
    </w:p>
    <w:p w14:paraId="71E48164">
      <w:pPr>
        <w:spacing w:line="400" w:lineRule="exact"/>
        <w:jc w:val="center"/>
        <w:rPr>
          <w:rFonts w:hint="eastAsia" w:ascii="宋体" w:hAnsi="宋体"/>
          <w:color w:val="auto"/>
          <w:highlight w:val="none"/>
        </w:rPr>
      </w:pPr>
    </w:p>
    <w:p w14:paraId="2FA76047">
      <w:pPr>
        <w:spacing w:line="400" w:lineRule="exact"/>
        <w:jc w:val="center"/>
        <w:rPr>
          <w:rFonts w:hint="eastAsia" w:ascii="宋体" w:hAnsi="宋体"/>
          <w:color w:val="auto"/>
          <w:highlight w:val="none"/>
        </w:rPr>
      </w:pPr>
    </w:p>
    <w:p w14:paraId="0E6EB464">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13F88A32">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0E0360DA">
      <w:pPr>
        <w:spacing w:line="400" w:lineRule="exact"/>
        <w:ind w:right="840"/>
        <w:jc w:val="right"/>
        <w:rPr>
          <w:rFonts w:hint="eastAsia" w:ascii="宋体" w:hAnsi="宋体"/>
          <w:color w:val="auto"/>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67637AE4">
      <w:pPr>
        <w:spacing w:line="400" w:lineRule="exact"/>
        <w:jc w:val="center"/>
        <w:rPr>
          <w:rFonts w:hint="eastAsia" w:ascii="宋体" w:hAnsi="宋体"/>
          <w:color w:val="auto"/>
          <w:highlight w:val="none"/>
        </w:rPr>
      </w:pPr>
    </w:p>
    <w:p w14:paraId="24B1553C">
      <w:pPr>
        <w:spacing w:line="400" w:lineRule="exact"/>
        <w:jc w:val="center"/>
        <w:rPr>
          <w:rFonts w:hint="eastAsia" w:ascii="宋体" w:hAnsi="宋体"/>
          <w:color w:val="auto"/>
          <w:highlight w:val="none"/>
        </w:rPr>
      </w:pPr>
    </w:p>
    <w:p w14:paraId="54A57C6A">
      <w:pPr>
        <w:spacing w:line="400" w:lineRule="exact"/>
        <w:jc w:val="center"/>
        <w:rPr>
          <w:rFonts w:hint="eastAsia" w:ascii="宋体" w:hAnsi="宋体"/>
          <w:color w:val="auto"/>
          <w:highlight w:val="none"/>
        </w:rPr>
      </w:pPr>
    </w:p>
    <w:p w14:paraId="2F990533">
      <w:pPr>
        <w:spacing w:line="400" w:lineRule="exact"/>
        <w:jc w:val="center"/>
        <w:rPr>
          <w:rFonts w:hint="eastAsia" w:ascii="宋体" w:hAnsi="宋体"/>
          <w:color w:val="auto"/>
          <w:highlight w:val="none"/>
        </w:rPr>
      </w:pPr>
    </w:p>
    <w:p w14:paraId="08BBC782">
      <w:pPr>
        <w:spacing w:line="400" w:lineRule="exact"/>
        <w:jc w:val="center"/>
        <w:rPr>
          <w:rFonts w:hint="eastAsia" w:ascii="宋体" w:hAnsi="宋体"/>
          <w:color w:val="auto"/>
          <w:highlight w:val="none"/>
        </w:rPr>
      </w:pPr>
    </w:p>
    <w:p w14:paraId="55B1F372">
      <w:pPr>
        <w:spacing w:line="400" w:lineRule="exact"/>
        <w:jc w:val="center"/>
        <w:rPr>
          <w:rFonts w:hint="eastAsia" w:ascii="宋体" w:hAnsi="宋体"/>
          <w:color w:val="auto"/>
          <w:highlight w:val="none"/>
        </w:rPr>
      </w:pPr>
    </w:p>
    <w:p w14:paraId="10949D7E">
      <w:pPr>
        <w:spacing w:line="400" w:lineRule="exact"/>
        <w:jc w:val="center"/>
        <w:rPr>
          <w:rFonts w:hint="eastAsia" w:ascii="宋体" w:hAnsi="宋体"/>
          <w:color w:val="auto"/>
          <w:highlight w:val="none"/>
        </w:rPr>
      </w:pPr>
    </w:p>
    <w:p w14:paraId="752940AA">
      <w:pPr>
        <w:spacing w:line="460" w:lineRule="exact"/>
        <w:rPr>
          <w:rFonts w:hint="eastAsia" w:ascii="宋体" w:hAnsi="宋体"/>
          <w:bCs/>
          <w:color w:val="auto"/>
          <w:szCs w:val="21"/>
          <w:highlight w:val="none"/>
        </w:rPr>
      </w:pPr>
    </w:p>
    <w:p w14:paraId="2BCD696D">
      <w:pPr>
        <w:spacing w:line="460" w:lineRule="exact"/>
        <w:rPr>
          <w:rFonts w:hint="eastAsia" w:ascii="宋体" w:hAnsi="宋体"/>
          <w:bCs/>
          <w:color w:val="auto"/>
          <w:szCs w:val="21"/>
          <w:highlight w:val="none"/>
        </w:rPr>
      </w:pPr>
    </w:p>
    <w:p w14:paraId="7559EEBB">
      <w:pPr>
        <w:spacing w:line="400" w:lineRule="exact"/>
        <w:jc w:val="center"/>
        <w:rPr>
          <w:rFonts w:hint="eastAsia" w:ascii="宋体" w:hAnsi="宋体"/>
          <w:color w:val="auto"/>
          <w:highlight w:val="none"/>
        </w:rPr>
      </w:pPr>
    </w:p>
    <w:p w14:paraId="78416537">
      <w:pPr>
        <w:pStyle w:val="90"/>
        <w:spacing w:before="63"/>
        <w:rPr>
          <w:rFonts w:hint="eastAsia"/>
          <w:color w:val="auto"/>
          <w:sz w:val="28"/>
          <w:szCs w:val="28"/>
          <w:highlight w:val="none"/>
        </w:rPr>
      </w:pPr>
      <w:bookmarkStart w:id="3537" w:name="_Toc247514287"/>
      <w:bookmarkStart w:id="3538" w:name="_Toc15145_WPSOffice_Level1"/>
      <w:bookmarkStart w:id="3539" w:name="_Toc32415"/>
      <w:bookmarkStart w:id="3540" w:name="_Toc14408"/>
      <w:bookmarkStart w:id="3541" w:name="_Toc144974863"/>
      <w:bookmarkStart w:id="3542" w:name="_Toc28474"/>
      <w:bookmarkStart w:id="3543" w:name="_Toc152045795"/>
      <w:bookmarkStart w:id="3544" w:name="_Toc519085637"/>
      <w:bookmarkStart w:id="3545" w:name="_Toc16020"/>
      <w:bookmarkStart w:id="3546" w:name="_Toc21784"/>
      <w:bookmarkStart w:id="3547" w:name="_Toc247527835"/>
      <w:bookmarkStart w:id="3548" w:name="_Toc1503"/>
      <w:bookmarkStart w:id="3549" w:name="_Toc152042584"/>
      <w:r>
        <w:rPr>
          <w:rFonts w:hint="eastAsia"/>
          <w:color w:val="auto"/>
          <w:sz w:val="28"/>
          <w:szCs w:val="28"/>
          <w:highlight w:val="none"/>
        </w:rPr>
        <w:t>六</w:t>
      </w:r>
      <w:r>
        <w:rPr>
          <w:color w:val="auto"/>
          <w:sz w:val="28"/>
          <w:szCs w:val="28"/>
          <w:highlight w:val="none"/>
        </w:rPr>
        <w:t>、</w:t>
      </w:r>
      <w:r>
        <w:rPr>
          <w:rFonts w:hint="eastAsia"/>
          <w:color w:val="auto"/>
          <w:sz w:val="28"/>
          <w:szCs w:val="28"/>
          <w:highlight w:val="none"/>
        </w:rPr>
        <w:t>价格清单</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14:paraId="668EA0EC">
      <w:pPr>
        <w:rPr>
          <w:rFonts w:hint="eastAsia"/>
          <w:color w:val="auto"/>
          <w:highlight w:val="none"/>
        </w:rPr>
      </w:pPr>
      <w:bookmarkStart w:id="3550" w:name="_Toc519085638"/>
    </w:p>
    <w:p w14:paraId="48871203">
      <w:pPr>
        <w:pStyle w:val="5"/>
        <w:spacing w:before="159"/>
        <w:jc w:val="center"/>
        <w:rPr>
          <w:color w:val="auto"/>
          <w:highlight w:val="none"/>
        </w:rPr>
      </w:pPr>
      <w:bookmarkStart w:id="3551" w:name="_Toc18254"/>
      <w:bookmarkStart w:id="3552" w:name="_Toc6153"/>
      <w:bookmarkStart w:id="3553" w:name="_Toc19158"/>
      <w:bookmarkStart w:id="3554" w:name="_Toc5505_WPSOffice_Level2"/>
      <w:r>
        <w:rPr>
          <w:rFonts w:hint="eastAsia"/>
          <w:color w:val="auto"/>
          <w:highlight w:val="none"/>
        </w:rPr>
        <w:t>（一）价格清单说明</w:t>
      </w:r>
      <w:bookmarkEnd w:id="3550"/>
      <w:bookmarkEnd w:id="3551"/>
      <w:bookmarkEnd w:id="3552"/>
      <w:bookmarkEnd w:id="3553"/>
      <w:bookmarkEnd w:id="3554"/>
    </w:p>
    <w:p w14:paraId="7149E8C6">
      <w:pPr>
        <w:spacing w:line="440" w:lineRule="exact"/>
        <w:ind w:firstLine="420" w:firstLineChars="200"/>
        <w:rPr>
          <w:color w:val="auto"/>
          <w:szCs w:val="21"/>
          <w:highlight w:val="none"/>
        </w:rPr>
      </w:pPr>
      <w:r>
        <w:rPr>
          <w:rFonts w:hint="eastAsia"/>
          <w:color w:val="auto"/>
          <w:szCs w:val="21"/>
          <w:highlight w:val="none"/>
        </w:rPr>
        <w:t>1.</w:t>
      </w:r>
      <w:r>
        <w:rPr>
          <w:color w:val="auto"/>
          <w:szCs w:val="21"/>
          <w:highlight w:val="none"/>
        </w:rPr>
        <w:t>1</w:t>
      </w:r>
      <w:r>
        <w:rPr>
          <w:rFonts w:hint="eastAsia"/>
          <w:color w:val="auto"/>
          <w:szCs w:val="21"/>
          <w:highlight w:val="none"/>
        </w:rPr>
        <w:t xml:space="preserve"> 价格清单列出的任何数量，不视为要求承包人实施的工程的实际或准确的工作量。在价格清单中列出的任何工作量和价格数据应仅限用于合同约定的变更和支付的参考资料，而不能用于其他目的。</w:t>
      </w:r>
    </w:p>
    <w:p w14:paraId="09991250">
      <w:pPr>
        <w:spacing w:line="440" w:lineRule="exact"/>
        <w:ind w:firstLine="420" w:firstLineChars="200"/>
        <w:rPr>
          <w:rFonts w:hint="eastAsia"/>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 xml:space="preserve"> 本价格清单应与</w:t>
      </w:r>
      <w:r>
        <w:rPr>
          <w:color w:val="auto"/>
          <w:szCs w:val="21"/>
          <w:highlight w:val="none"/>
        </w:rPr>
        <w:t>招标文件中投标人须知、</w:t>
      </w:r>
      <w:r>
        <w:rPr>
          <w:rFonts w:hint="eastAsia"/>
          <w:color w:val="auto"/>
          <w:szCs w:val="21"/>
          <w:highlight w:val="none"/>
        </w:rPr>
        <w:t>专用</w:t>
      </w:r>
      <w:r>
        <w:rPr>
          <w:color w:val="auto"/>
          <w:szCs w:val="21"/>
          <w:highlight w:val="none"/>
        </w:rPr>
        <w:t>合同条款、</w:t>
      </w:r>
      <w:r>
        <w:rPr>
          <w:rFonts w:hint="eastAsia"/>
          <w:color w:val="auto"/>
          <w:szCs w:val="21"/>
          <w:highlight w:val="none"/>
        </w:rPr>
        <w:t>通用合同条款、发包人要求等一起阅读和理解。</w:t>
      </w:r>
    </w:p>
    <w:p w14:paraId="78844D31">
      <w:pPr>
        <w:spacing w:line="440" w:lineRule="exact"/>
        <w:ind w:firstLine="420" w:firstLineChars="200"/>
        <w:rPr>
          <w:rFonts w:hint="eastAsia"/>
          <w:color w:val="auto"/>
          <w:szCs w:val="21"/>
          <w:highlight w:val="none"/>
        </w:rPr>
      </w:pPr>
      <w:r>
        <w:rPr>
          <w:rFonts w:hint="eastAsia"/>
          <w:color w:val="auto"/>
          <w:szCs w:val="21"/>
          <w:highlight w:val="none"/>
        </w:rPr>
        <w:t>1.3 设计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。（A）</w:t>
      </w:r>
    </w:p>
    <w:p w14:paraId="2DDDCFEC">
      <w:pPr>
        <w:spacing w:line="440" w:lineRule="exact"/>
        <w:ind w:firstLine="420" w:firstLineChars="200"/>
        <w:rPr>
          <w:rFonts w:hint="eastAsia"/>
          <w:color w:val="auto"/>
          <w:szCs w:val="21"/>
          <w:highlight w:val="none"/>
        </w:rPr>
      </w:pPr>
      <w:r>
        <w:rPr>
          <w:rFonts w:hint="eastAsia"/>
          <w:color w:val="auto"/>
          <w:szCs w:val="21"/>
          <w:highlight w:val="none"/>
        </w:rPr>
        <w:t>1.3 勘察设计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。（B）</w:t>
      </w:r>
    </w:p>
    <w:p w14:paraId="21D8F211">
      <w:pPr>
        <w:spacing w:line="440" w:lineRule="exact"/>
        <w:ind w:firstLine="420" w:firstLineChars="200"/>
        <w:rPr>
          <w:rFonts w:hint="eastAsia"/>
          <w:color w:val="auto"/>
          <w:szCs w:val="21"/>
          <w:highlight w:val="none"/>
        </w:rPr>
      </w:pPr>
      <w:r>
        <w:rPr>
          <w:rFonts w:hint="eastAsia"/>
          <w:color w:val="auto"/>
          <w:szCs w:val="21"/>
          <w:highlight w:val="none"/>
        </w:rPr>
        <w:t xml:space="preserve">1.4 </w:t>
      </w:r>
      <w:r>
        <w:rPr>
          <w:color w:val="auto"/>
          <w:szCs w:val="21"/>
          <w:highlight w:val="none"/>
        </w:rPr>
        <w:t>工程设备</w:t>
      </w:r>
      <w:r>
        <w:rPr>
          <w:rFonts w:hint="eastAsia"/>
          <w:color w:val="auto"/>
          <w:szCs w:val="21"/>
          <w:highlight w:val="none"/>
        </w:rPr>
        <w:t>费的说明：</w:t>
      </w:r>
      <w:r>
        <w:rPr>
          <w:rFonts w:hint="eastAsia"/>
          <w:color w:val="auto"/>
          <w:szCs w:val="21"/>
          <w:highlight w:val="none"/>
          <w:u w:val="single"/>
        </w:rPr>
        <w:t xml:space="preserve">                              </w:t>
      </w:r>
      <w:r>
        <w:rPr>
          <w:rFonts w:hint="eastAsia"/>
          <w:color w:val="auto"/>
          <w:szCs w:val="21"/>
          <w:highlight w:val="none"/>
        </w:rPr>
        <w:t>。</w:t>
      </w:r>
    </w:p>
    <w:p w14:paraId="148BDC42">
      <w:pPr>
        <w:spacing w:line="440" w:lineRule="exact"/>
        <w:ind w:firstLine="420" w:firstLineChars="200"/>
        <w:rPr>
          <w:rFonts w:hint="eastAsia"/>
          <w:color w:val="auto"/>
          <w:szCs w:val="21"/>
          <w:highlight w:val="none"/>
        </w:rPr>
      </w:pPr>
      <w:r>
        <w:rPr>
          <w:rFonts w:hint="eastAsia"/>
          <w:color w:val="auto"/>
          <w:szCs w:val="21"/>
          <w:highlight w:val="none"/>
        </w:rPr>
        <w:t>1.5 必备的备品备件费的说明：</w:t>
      </w:r>
      <w:r>
        <w:rPr>
          <w:rFonts w:hint="eastAsia"/>
          <w:color w:val="auto"/>
          <w:szCs w:val="21"/>
          <w:highlight w:val="none"/>
          <w:u w:val="single"/>
        </w:rPr>
        <w:t xml:space="preserve">                        </w:t>
      </w:r>
      <w:r>
        <w:rPr>
          <w:rFonts w:hint="eastAsia"/>
          <w:color w:val="auto"/>
          <w:szCs w:val="21"/>
          <w:highlight w:val="none"/>
        </w:rPr>
        <w:t>。</w:t>
      </w:r>
    </w:p>
    <w:p w14:paraId="0A609CE8">
      <w:pPr>
        <w:spacing w:line="440" w:lineRule="exact"/>
        <w:ind w:firstLine="420" w:firstLineChars="200"/>
        <w:rPr>
          <w:rFonts w:hint="eastAsia"/>
          <w:color w:val="auto"/>
          <w:szCs w:val="21"/>
          <w:highlight w:val="none"/>
        </w:rPr>
      </w:pPr>
      <w:r>
        <w:rPr>
          <w:rFonts w:hint="eastAsia"/>
          <w:color w:val="auto"/>
          <w:szCs w:val="21"/>
          <w:highlight w:val="none"/>
        </w:rPr>
        <w:t>1.6 建筑</w:t>
      </w:r>
      <w:r>
        <w:rPr>
          <w:color w:val="auto"/>
          <w:szCs w:val="21"/>
          <w:highlight w:val="none"/>
        </w:rPr>
        <w:t>安装工程费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3EA1F945">
      <w:pPr>
        <w:spacing w:line="440" w:lineRule="exact"/>
        <w:ind w:firstLine="420" w:firstLineChars="200"/>
        <w:rPr>
          <w:rFonts w:hint="eastAsia"/>
          <w:color w:val="auto"/>
          <w:szCs w:val="21"/>
          <w:highlight w:val="none"/>
        </w:rPr>
      </w:pPr>
      <w:r>
        <w:rPr>
          <w:rFonts w:hint="eastAsia"/>
          <w:color w:val="auto"/>
          <w:szCs w:val="21"/>
          <w:highlight w:val="none"/>
        </w:rPr>
        <w:t>1.7 技术服务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7CC4625F">
      <w:pPr>
        <w:spacing w:line="440" w:lineRule="exact"/>
        <w:ind w:firstLine="420" w:firstLineChars="200"/>
        <w:rPr>
          <w:rFonts w:hint="eastAsia"/>
          <w:color w:val="auto"/>
          <w:szCs w:val="21"/>
          <w:highlight w:val="none"/>
        </w:rPr>
      </w:pPr>
      <w:r>
        <w:rPr>
          <w:rFonts w:hint="eastAsia"/>
          <w:color w:val="auto"/>
          <w:szCs w:val="21"/>
          <w:highlight w:val="none"/>
        </w:rPr>
        <w:t xml:space="preserve">1.8 </w:t>
      </w:r>
      <w:r>
        <w:rPr>
          <w:color w:val="auto"/>
          <w:szCs w:val="21"/>
          <w:highlight w:val="none"/>
        </w:rPr>
        <w:t>暂列金额</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52BD4F7B">
      <w:pPr>
        <w:spacing w:line="440" w:lineRule="exact"/>
        <w:ind w:firstLine="420" w:firstLineChars="200"/>
        <w:rPr>
          <w:rFonts w:hint="eastAsia"/>
          <w:color w:val="auto"/>
          <w:szCs w:val="21"/>
          <w:highlight w:val="none"/>
        </w:rPr>
      </w:pPr>
      <w:r>
        <w:rPr>
          <w:rFonts w:hint="eastAsia"/>
          <w:color w:val="auto"/>
          <w:szCs w:val="21"/>
          <w:highlight w:val="none"/>
        </w:rPr>
        <w:t>1.9 暂估价的说明：由招标人列明并应包含在投标报价汇总表中。</w:t>
      </w:r>
    </w:p>
    <w:p w14:paraId="72CB837F">
      <w:pPr>
        <w:spacing w:line="440" w:lineRule="exact"/>
        <w:ind w:firstLine="420" w:firstLineChars="200"/>
        <w:rPr>
          <w:rFonts w:hint="eastAsia"/>
          <w:color w:val="auto"/>
          <w:szCs w:val="21"/>
          <w:highlight w:val="none"/>
        </w:rPr>
      </w:pPr>
      <w:r>
        <w:rPr>
          <w:rFonts w:hint="eastAsia"/>
          <w:color w:val="auto"/>
          <w:szCs w:val="21"/>
          <w:highlight w:val="none"/>
        </w:rPr>
        <w:t xml:space="preserve">1.10 </w:t>
      </w:r>
      <w:r>
        <w:rPr>
          <w:color w:val="auto"/>
          <w:szCs w:val="21"/>
          <w:highlight w:val="none"/>
        </w:rPr>
        <w:t>其它费用</w:t>
      </w:r>
      <w:r>
        <w:rPr>
          <w:rFonts w:hint="eastAsia"/>
          <w:color w:val="auto"/>
          <w:szCs w:val="21"/>
          <w:highlight w:val="none"/>
        </w:rPr>
        <w:t>的说明</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rPr>
        <w:t>。</w:t>
      </w:r>
    </w:p>
    <w:p w14:paraId="6F3E0D2E">
      <w:pPr>
        <w:spacing w:line="440" w:lineRule="exact"/>
        <w:ind w:firstLine="420" w:firstLineChars="200"/>
        <w:rPr>
          <w:rFonts w:hint="eastAsia"/>
          <w:color w:val="auto"/>
          <w:szCs w:val="21"/>
          <w:highlight w:val="none"/>
        </w:rPr>
      </w:pPr>
    </w:p>
    <w:p w14:paraId="6C2980EC">
      <w:pPr>
        <w:spacing w:line="440" w:lineRule="exact"/>
        <w:ind w:firstLine="420" w:firstLineChars="200"/>
        <w:rPr>
          <w:rFonts w:hint="eastAsia"/>
          <w:color w:val="auto"/>
          <w:szCs w:val="21"/>
          <w:highlight w:val="none"/>
        </w:rPr>
      </w:pPr>
    </w:p>
    <w:p w14:paraId="6DEC3F41">
      <w:pPr>
        <w:spacing w:line="440" w:lineRule="exact"/>
        <w:ind w:firstLine="420" w:firstLineChars="200"/>
        <w:rPr>
          <w:rFonts w:hint="eastAsia"/>
          <w:color w:val="auto"/>
          <w:szCs w:val="21"/>
          <w:highlight w:val="none"/>
        </w:rPr>
      </w:pPr>
    </w:p>
    <w:p w14:paraId="6F707460">
      <w:pPr>
        <w:spacing w:line="440" w:lineRule="exact"/>
        <w:ind w:firstLine="420" w:firstLineChars="200"/>
        <w:rPr>
          <w:rFonts w:hint="eastAsia"/>
          <w:color w:val="auto"/>
          <w:szCs w:val="21"/>
          <w:highlight w:val="none"/>
        </w:rPr>
      </w:pPr>
    </w:p>
    <w:p w14:paraId="457FE0B7">
      <w:pPr>
        <w:spacing w:line="440" w:lineRule="exact"/>
        <w:ind w:firstLine="420" w:firstLineChars="200"/>
        <w:rPr>
          <w:rFonts w:hint="eastAsia"/>
          <w:color w:val="auto"/>
          <w:szCs w:val="21"/>
          <w:highlight w:val="none"/>
        </w:rPr>
      </w:pPr>
    </w:p>
    <w:p w14:paraId="1D748966">
      <w:pPr>
        <w:spacing w:line="440" w:lineRule="exact"/>
        <w:ind w:firstLine="420" w:firstLineChars="200"/>
        <w:rPr>
          <w:rFonts w:hint="eastAsia"/>
          <w:color w:val="auto"/>
          <w:szCs w:val="21"/>
          <w:highlight w:val="none"/>
        </w:rPr>
      </w:pPr>
    </w:p>
    <w:p w14:paraId="1C20A683">
      <w:pPr>
        <w:spacing w:line="440" w:lineRule="exact"/>
        <w:ind w:firstLine="420" w:firstLineChars="200"/>
        <w:rPr>
          <w:rFonts w:hint="eastAsia"/>
          <w:color w:val="auto"/>
          <w:szCs w:val="21"/>
          <w:highlight w:val="none"/>
        </w:rPr>
      </w:pPr>
    </w:p>
    <w:p w14:paraId="1307AE87">
      <w:pPr>
        <w:spacing w:line="440" w:lineRule="exact"/>
        <w:ind w:firstLine="420" w:firstLineChars="200"/>
        <w:rPr>
          <w:rFonts w:hint="eastAsia"/>
          <w:color w:val="auto"/>
          <w:szCs w:val="21"/>
          <w:highlight w:val="none"/>
        </w:rPr>
      </w:pPr>
    </w:p>
    <w:p w14:paraId="4C8F1465">
      <w:pPr>
        <w:spacing w:line="440" w:lineRule="exact"/>
        <w:ind w:firstLine="420" w:firstLineChars="200"/>
        <w:rPr>
          <w:rFonts w:hint="eastAsia"/>
          <w:color w:val="auto"/>
          <w:szCs w:val="21"/>
          <w:highlight w:val="none"/>
        </w:rPr>
      </w:pPr>
    </w:p>
    <w:p w14:paraId="3FF51915">
      <w:pPr>
        <w:spacing w:line="440" w:lineRule="exact"/>
        <w:ind w:firstLine="420" w:firstLineChars="200"/>
        <w:rPr>
          <w:rFonts w:hint="eastAsia"/>
          <w:color w:val="auto"/>
          <w:szCs w:val="21"/>
          <w:highlight w:val="none"/>
        </w:rPr>
      </w:pPr>
    </w:p>
    <w:p w14:paraId="57D428D3">
      <w:pPr>
        <w:spacing w:line="440" w:lineRule="exact"/>
        <w:ind w:firstLine="420" w:firstLineChars="200"/>
        <w:rPr>
          <w:rFonts w:hint="eastAsia"/>
          <w:color w:val="auto"/>
          <w:szCs w:val="21"/>
          <w:highlight w:val="none"/>
        </w:rPr>
      </w:pPr>
    </w:p>
    <w:p w14:paraId="0624BF94">
      <w:pPr>
        <w:spacing w:line="440" w:lineRule="exact"/>
        <w:ind w:firstLine="420" w:firstLineChars="200"/>
        <w:rPr>
          <w:rFonts w:hint="eastAsia"/>
          <w:color w:val="auto"/>
          <w:szCs w:val="21"/>
          <w:highlight w:val="none"/>
        </w:rPr>
      </w:pPr>
    </w:p>
    <w:p w14:paraId="283561AB">
      <w:pPr>
        <w:spacing w:line="440" w:lineRule="exact"/>
        <w:ind w:firstLine="420" w:firstLineChars="200"/>
        <w:rPr>
          <w:rFonts w:hint="eastAsia"/>
          <w:color w:val="auto"/>
          <w:szCs w:val="21"/>
          <w:highlight w:val="none"/>
        </w:rPr>
      </w:pPr>
    </w:p>
    <w:p w14:paraId="53112BF0">
      <w:pPr>
        <w:pStyle w:val="5"/>
        <w:spacing w:before="159"/>
        <w:jc w:val="center"/>
        <w:rPr>
          <w:rFonts w:hint="eastAsia"/>
          <w:color w:val="auto"/>
          <w:highlight w:val="none"/>
        </w:rPr>
      </w:pPr>
      <w:bookmarkStart w:id="3555" w:name="_Toc20503"/>
      <w:bookmarkStart w:id="3556" w:name="_Toc20366"/>
      <w:bookmarkStart w:id="3557" w:name="_Toc519085639"/>
      <w:bookmarkStart w:id="3558" w:name="_Toc5589_WPSOffice_Level2"/>
      <w:bookmarkStart w:id="3559" w:name="_Toc18569"/>
      <w:r>
        <w:rPr>
          <w:rFonts w:hint="eastAsia"/>
          <w:color w:val="auto"/>
          <w:highlight w:val="none"/>
        </w:rPr>
        <w:t>（二）价格清单</w:t>
      </w:r>
      <w:bookmarkEnd w:id="3555"/>
      <w:bookmarkEnd w:id="3556"/>
      <w:bookmarkEnd w:id="3557"/>
      <w:bookmarkEnd w:id="3558"/>
      <w:bookmarkEnd w:id="3559"/>
    </w:p>
    <w:p w14:paraId="3207F7CE">
      <w:pPr>
        <w:pStyle w:val="6"/>
        <w:spacing w:before="159"/>
        <w:rPr>
          <w:color w:val="auto"/>
          <w:highlight w:val="none"/>
        </w:rPr>
      </w:pPr>
      <w:bookmarkStart w:id="3560" w:name="_Toc31180"/>
      <w:bookmarkStart w:id="3561" w:name="_Toc519085640"/>
      <w:bookmarkStart w:id="3562" w:name="_Toc1348"/>
      <w:r>
        <w:rPr>
          <w:rFonts w:hint="eastAsia"/>
          <w:color w:val="auto"/>
          <w:highlight w:val="none"/>
        </w:rPr>
        <w:t>2.1 勘察设计费清单</w:t>
      </w:r>
      <w:bookmarkEnd w:id="3560"/>
      <w:bookmarkEnd w:id="3561"/>
      <w:bookmarkEnd w:id="3562"/>
    </w:p>
    <w:p w14:paraId="1F5FBD1D">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6"/>
        <w:gridCol w:w="2430"/>
        <w:gridCol w:w="1140"/>
        <w:gridCol w:w="2132"/>
        <w:gridCol w:w="1904"/>
      </w:tblGrid>
      <w:tr w14:paraId="7E63ADB8">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0325CD6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4732FE6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6C4C423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2132" w:type="dxa"/>
            <w:tcBorders>
              <w:top w:val="single" w:color="auto" w:sz="4" w:space="0"/>
              <w:left w:val="nil"/>
              <w:bottom w:val="single" w:color="auto" w:sz="4" w:space="0"/>
              <w:right w:val="single" w:color="auto" w:sz="4" w:space="0"/>
            </w:tcBorders>
            <w:noWrap w:val="0"/>
            <w:vAlign w:val="center"/>
          </w:tcPr>
          <w:p w14:paraId="2183C20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额（元）</w:t>
            </w:r>
          </w:p>
        </w:tc>
        <w:tc>
          <w:tcPr>
            <w:tcW w:w="1904" w:type="dxa"/>
            <w:tcBorders>
              <w:top w:val="single" w:color="auto" w:sz="4" w:space="0"/>
              <w:left w:val="nil"/>
              <w:bottom w:val="single" w:color="auto" w:sz="4" w:space="0"/>
              <w:right w:val="single" w:color="auto" w:sz="4" w:space="0"/>
            </w:tcBorders>
            <w:noWrap w:val="0"/>
            <w:vAlign w:val="center"/>
          </w:tcPr>
          <w:p w14:paraId="13D2364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2341B6E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690C1A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A9E299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2C855E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7FFE58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36371D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A8EE99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FA6E8E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12A6AE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01F129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59D321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6A7DB0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2A9E56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9670F3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11DA93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BC00A3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C12A72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B3E34A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937ED6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5577F7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2F79C3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63AB00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FD8BD6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007D8A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730C0D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A85BB4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2601BD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F453F7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5362E0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9EA894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6F4717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D20C58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0AD67E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362075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7DA7D3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FC8B62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030CB0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D74B8A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FFF454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1609CDD">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804D82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655BDC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2B307E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BA3AD2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B77155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4DD381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A0D37E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9C0827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2A1FCF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C65D12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9DFF22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01D88F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05C5FF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265078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2A6C2D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1116D4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710B0E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D3F628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A6ABE3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F9DE41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ABE2A9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F2AF7C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43A589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BAEAA6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4FC910E">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B6ABFD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2AF268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D0331B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0CED25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2F9FD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7A7D86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AD663A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2EAB53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FDF4D2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D1ABC3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1F5665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0E7D041">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A738B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24CD4E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2DE65E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686142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A68B8E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2FAA68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3897F6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A66CF1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C0A6DC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014AD7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A9E9A7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2CA21A7">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51F97CB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722A592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4E0D3AE6">
      <w:pPr>
        <w:rPr>
          <w:rFonts w:hint="eastAsia"/>
          <w:color w:val="auto"/>
          <w:highlight w:val="none"/>
        </w:rPr>
      </w:pPr>
    </w:p>
    <w:p w14:paraId="50888102">
      <w:pPr>
        <w:pStyle w:val="6"/>
        <w:spacing w:before="159"/>
        <w:rPr>
          <w:rFonts w:hint="eastAsia"/>
          <w:color w:val="auto"/>
          <w:highlight w:val="none"/>
        </w:rPr>
      </w:pPr>
      <w:bookmarkStart w:id="3563" w:name="_Toc519085641"/>
      <w:bookmarkStart w:id="3564" w:name="_Toc4892"/>
      <w:bookmarkStart w:id="3565" w:name="_Toc5192"/>
      <w:r>
        <w:rPr>
          <w:rFonts w:hint="eastAsia"/>
          <w:color w:val="auto"/>
          <w:highlight w:val="none"/>
        </w:rPr>
        <w:t xml:space="preserve">2.2 </w:t>
      </w:r>
      <w:r>
        <w:rPr>
          <w:color w:val="auto"/>
          <w:highlight w:val="none"/>
        </w:rPr>
        <w:t>工程设备</w:t>
      </w:r>
      <w:r>
        <w:rPr>
          <w:rFonts w:hint="eastAsia"/>
          <w:color w:val="auto"/>
          <w:highlight w:val="none"/>
        </w:rPr>
        <w:t>费清单</w:t>
      </w:r>
      <w:bookmarkEnd w:id="3563"/>
      <w:bookmarkEnd w:id="3564"/>
      <w:bookmarkEnd w:id="3565"/>
    </w:p>
    <w:p w14:paraId="58E1EC1E">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5"/>
        <w:gridCol w:w="2250"/>
        <w:gridCol w:w="1444"/>
        <w:gridCol w:w="1081"/>
        <w:gridCol w:w="1440"/>
        <w:gridCol w:w="1392"/>
      </w:tblGrid>
      <w:tr w14:paraId="44F7DA5E">
        <w:tblPrEx>
          <w:tblCellMar>
            <w:top w:w="0" w:type="dxa"/>
            <w:left w:w="108" w:type="dxa"/>
            <w:bottom w:w="0" w:type="dxa"/>
            <w:right w:w="108" w:type="dxa"/>
          </w:tblCellMar>
        </w:tblPrEx>
        <w:trPr>
          <w:trHeight w:val="702"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74F5D37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250" w:type="dxa"/>
            <w:tcBorders>
              <w:top w:val="single" w:color="auto" w:sz="4" w:space="0"/>
              <w:left w:val="nil"/>
              <w:bottom w:val="single" w:color="auto" w:sz="4" w:space="0"/>
              <w:right w:val="single" w:color="auto" w:sz="4" w:space="0"/>
            </w:tcBorders>
            <w:noWrap w:val="0"/>
            <w:vAlign w:val="center"/>
          </w:tcPr>
          <w:p w14:paraId="0E8AB89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设备名称</w:t>
            </w:r>
          </w:p>
        </w:tc>
        <w:tc>
          <w:tcPr>
            <w:tcW w:w="1444" w:type="dxa"/>
            <w:tcBorders>
              <w:top w:val="single" w:color="auto" w:sz="4" w:space="0"/>
              <w:left w:val="nil"/>
              <w:bottom w:val="single" w:color="auto" w:sz="4" w:space="0"/>
              <w:right w:val="single" w:color="auto" w:sz="4" w:space="0"/>
            </w:tcBorders>
            <w:noWrap w:val="0"/>
            <w:vAlign w:val="center"/>
          </w:tcPr>
          <w:p w14:paraId="4072C3F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规格型号</w:t>
            </w:r>
          </w:p>
        </w:tc>
        <w:tc>
          <w:tcPr>
            <w:tcW w:w="1081" w:type="dxa"/>
            <w:tcBorders>
              <w:top w:val="single" w:color="auto" w:sz="4" w:space="0"/>
              <w:left w:val="nil"/>
              <w:bottom w:val="single" w:color="auto" w:sz="4" w:space="0"/>
              <w:right w:val="single" w:color="auto" w:sz="4" w:space="0"/>
            </w:tcBorders>
            <w:noWrap w:val="0"/>
            <w:vAlign w:val="center"/>
          </w:tcPr>
          <w:p w14:paraId="6F4C87F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440" w:type="dxa"/>
            <w:tcBorders>
              <w:top w:val="single" w:color="auto" w:sz="4" w:space="0"/>
              <w:left w:val="nil"/>
              <w:bottom w:val="single" w:color="auto" w:sz="4" w:space="0"/>
              <w:right w:val="single" w:color="auto" w:sz="4" w:space="0"/>
            </w:tcBorders>
            <w:noWrap w:val="0"/>
            <w:vAlign w:val="center"/>
          </w:tcPr>
          <w:p w14:paraId="10FCA9D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392" w:type="dxa"/>
            <w:tcBorders>
              <w:top w:val="single" w:color="auto" w:sz="4" w:space="0"/>
              <w:left w:val="nil"/>
              <w:bottom w:val="single" w:color="auto" w:sz="4" w:space="0"/>
              <w:right w:val="single" w:color="auto" w:sz="4" w:space="0"/>
            </w:tcBorders>
            <w:noWrap w:val="0"/>
            <w:vAlign w:val="center"/>
          </w:tcPr>
          <w:p w14:paraId="65C4A60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625D341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4977DD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1400C3A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5FD706A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37FA94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108939D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2A0D288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F6E85C7">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D0E8A2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6812701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2B04B5A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71CD778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36BAE0E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1B0888A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048E461">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2BEB73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A5C037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9394E2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37FAE6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1258B5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3DE37C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A022B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2140CC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C5D69C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CEEEAF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412CCF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7F40F25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0ABA3C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924C95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06F0428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E905A6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7DA3FE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0AACF3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8C3528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F8B624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7528125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C28D65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04257A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C4ABB05">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7B8495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0E50E99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8608FD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251370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57278E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76D34F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1C21234">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62551E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D25FB4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34C099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4E80A0B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268278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77978F4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5DB716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C333F2B">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F7AA21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901052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7B1E0E6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411F44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0BA99F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59A618E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1EA9DA2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9436A82">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47B12B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846014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0DFDF64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71DC239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298B489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59CEEC5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4A9027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F8DA76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FD043D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12002D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28D113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200B2D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140B609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67EE80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3E1E9E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6987FA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13249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3ABBDE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F88648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BD2814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2614835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8FB8045">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D77687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63CEC19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316A374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156087D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1187E8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0C4C7C1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16D2A6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B6D7C6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0261E5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6DC573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0164656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5F585B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2767197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813CC0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5B71F8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D003AC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5C1C1D8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290EB5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6DBF18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2DFC171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52EDF1A">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5A2093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7E8A992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787E10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2C051A6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4492CBC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A56E6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8A04C3D">
        <w:tblPrEx>
          <w:tblCellMar>
            <w:top w:w="0" w:type="dxa"/>
            <w:left w:w="108" w:type="dxa"/>
            <w:bottom w:w="0" w:type="dxa"/>
            <w:right w:w="108" w:type="dxa"/>
          </w:tblCellMar>
        </w:tblPrEx>
        <w:trPr>
          <w:trHeight w:val="702" w:hRule="atLeast"/>
          <w:jc w:val="center"/>
        </w:trPr>
        <w:tc>
          <w:tcPr>
            <w:tcW w:w="4609" w:type="dxa"/>
            <w:gridSpan w:val="3"/>
            <w:tcBorders>
              <w:top w:val="nil"/>
              <w:left w:val="single" w:color="auto" w:sz="4" w:space="0"/>
              <w:bottom w:val="single" w:color="auto" w:sz="4" w:space="0"/>
              <w:right w:val="single" w:color="auto" w:sz="4" w:space="0"/>
            </w:tcBorders>
            <w:noWrap w:val="0"/>
            <w:vAlign w:val="center"/>
          </w:tcPr>
          <w:p w14:paraId="0514CFA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3913" w:type="dxa"/>
            <w:gridSpan w:val="3"/>
            <w:tcBorders>
              <w:top w:val="single" w:color="auto" w:sz="4" w:space="0"/>
              <w:left w:val="nil"/>
              <w:bottom w:val="single" w:color="auto" w:sz="4" w:space="0"/>
              <w:right w:val="single" w:color="auto" w:sz="4" w:space="0"/>
            </w:tcBorders>
            <w:noWrap w:val="0"/>
            <w:vAlign w:val="center"/>
          </w:tcPr>
          <w:p w14:paraId="54DF9D4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00B38493">
      <w:pPr>
        <w:pStyle w:val="6"/>
        <w:spacing w:before="159"/>
        <w:rPr>
          <w:rFonts w:hint="eastAsia"/>
          <w:color w:val="auto"/>
          <w:highlight w:val="none"/>
        </w:rPr>
      </w:pPr>
      <w:bookmarkStart w:id="3566" w:name="_Toc5094"/>
      <w:bookmarkStart w:id="3567" w:name="_Toc519085642"/>
      <w:r>
        <w:rPr>
          <w:rFonts w:hint="eastAsia"/>
          <w:color w:val="auto"/>
          <w:highlight w:val="none"/>
        </w:rPr>
        <w:t>2.3 必备的备品备件费清单</w:t>
      </w:r>
      <w:bookmarkEnd w:id="3566"/>
      <w:bookmarkEnd w:id="3567"/>
    </w:p>
    <w:p w14:paraId="01BD7D7B">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5"/>
        <w:gridCol w:w="1890"/>
        <w:gridCol w:w="1263"/>
        <w:gridCol w:w="1260"/>
        <w:gridCol w:w="1619"/>
        <w:gridCol w:w="1575"/>
      </w:tblGrid>
      <w:tr w14:paraId="2268F74C">
        <w:tblPrEx>
          <w:tblCellMar>
            <w:top w:w="0" w:type="dxa"/>
            <w:left w:w="108" w:type="dxa"/>
            <w:bottom w:w="0" w:type="dxa"/>
            <w:right w:w="108" w:type="dxa"/>
          </w:tblCellMar>
        </w:tblPrEx>
        <w:trPr>
          <w:trHeight w:val="702"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750E4E7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1890" w:type="dxa"/>
            <w:tcBorders>
              <w:top w:val="single" w:color="auto" w:sz="4" w:space="0"/>
              <w:left w:val="nil"/>
              <w:bottom w:val="single" w:color="auto" w:sz="4" w:space="0"/>
              <w:right w:val="single" w:color="auto" w:sz="4" w:space="0"/>
            </w:tcBorders>
            <w:noWrap w:val="0"/>
            <w:vAlign w:val="center"/>
          </w:tcPr>
          <w:p w14:paraId="7F9FA6E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备品备件名称</w:t>
            </w:r>
          </w:p>
        </w:tc>
        <w:tc>
          <w:tcPr>
            <w:tcW w:w="1263" w:type="dxa"/>
            <w:tcBorders>
              <w:top w:val="single" w:color="auto" w:sz="4" w:space="0"/>
              <w:left w:val="nil"/>
              <w:bottom w:val="single" w:color="auto" w:sz="4" w:space="0"/>
              <w:right w:val="single" w:color="auto" w:sz="4" w:space="0"/>
            </w:tcBorders>
            <w:noWrap w:val="0"/>
            <w:vAlign w:val="center"/>
          </w:tcPr>
          <w:p w14:paraId="0660C80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规格型号</w:t>
            </w:r>
          </w:p>
        </w:tc>
        <w:tc>
          <w:tcPr>
            <w:tcW w:w="1260" w:type="dxa"/>
            <w:tcBorders>
              <w:top w:val="single" w:color="auto" w:sz="4" w:space="0"/>
              <w:left w:val="nil"/>
              <w:bottom w:val="single" w:color="auto" w:sz="4" w:space="0"/>
              <w:right w:val="single" w:color="auto" w:sz="4" w:space="0"/>
            </w:tcBorders>
            <w:noWrap w:val="0"/>
            <w:vAlign w:val="center"/>
          </w:tcPr>
          <w:p w14:paraId="24BAA89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619" w:type="dxa"/>
            <w:tcBorders>
              <w:top w:val="single" w:color="auto" w:sz="4" w:space="0"/>
              <w:left w:val="nil"/>
              <w:bottom w:val="single" w:color="auto" w:sz="4" w:space="0"/>
              <w:right w:val="single" w:color="auto" w:sz="4" w:space="0"/>
            </w:tcBorders>
            <w:noWrap w:val="0"/>
            <w:vAlign w:val="center"/>
          </w:tcPr>
          <w:p w14:paraId="79EFC15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575" w:type="dxa"/>
            <w:tcBorders>
              <w:top w:val="single" w:color="auto" w:sz="4" w:space="0"/>
              <w:left w:val="nil"/>
              <w:bottom w:val="single" w:color="auto" w:sz="4" w:space="0"/>
              <w:right w:val="single" w:color="auto" w:sz="4" w:space="0"/>
            </w:tcBorders>
            <w:noWrap w:val="0"/>
            <w:vAlign w:val="center"/>
          </w:tcPr>
          <w:p w14:paraId="0131BF4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1CBA1BA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6652D5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189B1E7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3D5D512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4538B9F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363BA87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257E0DD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A6E0E57">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D566FB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7FADDA2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F890F3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4652278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741D38A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5C090BB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EFEF6D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311F0C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20E90D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01253B1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237BE18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0038FA3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033A81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7EF51E9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4A0C31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C7E286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21D19A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69B77D6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79C734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03B7C4E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CAFA2D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4E65109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54F467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2A7F2E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FB8C11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7BFE48D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184FC9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286403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20C8065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274CE82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2E3198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11DD0E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07900A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BE72B5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105609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559A8BB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08ADE6B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17075F5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88FC5B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8297B0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1BDAC09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63CC19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4251320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387F19C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15C3B93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35DFD1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A33E20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CBCB10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3D6AA8E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445620E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11B6442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21CDB00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1DA704B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769CE79">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D2B6F3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42D62F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4F55E04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52474F6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2B5B938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F4257C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768F63A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EBC755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B21F80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071031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3AA3D23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86BD8B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7D2F588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3BCE539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1A29623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04BD43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DD2867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C1B837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1C0E363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0FFB9D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2FB9692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4B26C05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8CD742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2E4C9C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4F74C93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25EDAC1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148DC8E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5B7AD28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0198857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F68B15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C4D276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2850236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3FE5304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FA53C0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7893EE8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2D1C6CF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4C8D87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B41B94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3BF0AEB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2311D68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562B1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6325B5C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7AEE9FF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7DC3E09">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2F687C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2B6942A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E59D2C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4139DC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6D46D89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4ADDB1B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7A22702">
        <w:tblPrEx>
          <w:tblCellMar>
            <w:top w:w="0" w:type="dxa"/>
            <w:left w:w="108" w:type="dxa"/>
            <w:bottom w:w="0" w:type="dxa"/>
            <w:right w:w="108" w:type="dxa"/>
          </w:tblCellMar>
        </w:tblPrEx>
        <w:trPr>
          <w:trHeight w:val="702" w:hRule="atLeast"/>
          <w:jc w:val="center"/>
        </w:trPr>
        <w:tc>
          <w:tcPr>
            <w:tcW w:w="4068" w:type="dxa"/>
            <w:gridSpan w:val="3"/>
            <w:tcBorders>
              <w:top w:val="nil"/>
              <w:left w:val="single" w:color="auto" w:sz="4" w:space="0"/>
              <w:bottom w:val="single" w:color="auto" w:sz="4" w:space="0"/>
              <w:right w:val="single" w:color="auto" w:sz="4" w:space="0"/>
            </w:tcBorders>
            <w:noWrap w:val="0"/>
            <w:vAlign w:val="center"/>
          </w:tcPr>
          <w:p w14:paraId="625DF69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4454" w:type="dxa"/>
            <w:gridSpan w:val="3"/>
            <w:tcBorders>
              <w:top w:val="single" w:color="auto" w:sz="4" w:space="0"/>
              <w:left w:val="nil"/>
              <w:bottom w:val="single" w:color="auto" w:sz="4" w:space="0"/>
              <w:right w:val="single" w:color="auto" w:sz="4" w:space="0"/>
            </w:tcBorders>
            <w:noWrap w:val="0"/>
            <w:vAlign w:val="center"/>
          </w:tcPr>
          <w:p w14:paraId="746E30F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7DCA6F65">
      <w:pPr>
        <w:pStyle w:val="6"/>
        <w:spacing w:before="159"/>
        <w:rPr>
          <w:rFonts w:hint="eastAsia"/>
          <w:color w:val="auto"/>
          <w:szCs w:val="21"/>
          <w:highlight w:val="none"/>
        </w:rPr>
      </w:pPr>
      <w:r>
        <w:rPr>
          <w:color w:val="auto"/>
          <w:szCs w:val="21"/>
          <w:highlight w:val="none"/>
        </w:rPr>
        <w:br w:type="page"/>
      </w:r>
      <w:r>
        <w:rPr>
          <w:rFonts w:hint="eastAsia"/>
          <w:color w:val="auto"/>
          <w:highlight w:val="none"/>
        </w:rPr>
        <w:t>2.4 建筑</w:t>
      </w:r>
      <w:r>
        <w:rPr>
          <w:color w:val="auto"/>
          <w:highlight w:val="none"/>
        </w:rPr>
        <w:t>安装工程费</w:t>
      </w:r>
      <w:r>
        <w:rPr>
          <w:rFonts w:hint="eastAsia"/>
          <w:color w:val="auto"/>
          <w:highlight w:val="none"/>
        </w:rPr>
        <w:t>清单</w:t>
      </w:r>
    </w:p>
    <w:p w14:paraId="33BF4886">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3"/>
        <w:gridCol w:w="1711"/>
        <w:gridCol w:w="1858"/>
        <w:gridCol w:w="1023"/>
        <w:gridCol w:w="900"/>
        <w:gridCol w:w="1081"/>
        <w:gridCol w:w="1036"/>
      </w:tblGrid>
      <w:tr w14:paraId="6891EBDD">
        <w:tblPrEx>
          <w:tblCellMar>
            <w:top w:w="0" w:type="dxa"/>
            <w:left w:w="108" w:type="dxa"/>
            <w:bottom w:w="0" w:type="dxa"/>
            <w:right w:w="108" w:type="dxa"/>
          </w:tblCellMar>
        </w:tblPrEx>
        <w:trPr>
          <w:trHeight w:val="702" w:hRule="atLeast"/>
          <w:jc w:val="center"/>
        </w:trPr>
        <w:tc>
          <w:tcPr>
            <w:tcW w:w="913" w:type="dxa"/>
            <w:tcBorders>
              <w:top w:val="single" w:color="auto" w:sz="4" w:space="0"/>
              <w:left w:val="single" w:color="auto" w:sz="4" w:space="0"/>
              <w:bottom w:val="single" w:color="auto" w:sz="4" w:space="0"/>
              <w:right w:val="single" w:color="auto" w:sz="4" w:space="0"/>
            </w:tcBorders>
            <w:noWrap w:val="0"/>
            <w:vAlign w:val="center"/>
          </w:tcPr>
          <w:p w14:paraId="454D67B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1711" w:type="dxa"/>
            <w:tcBorders>
              <w:top w:val="single" w:color="auto" w:sz="4" w:space="0"/>
              <w:left w:val="nil"/>
              <w:bottom w:val="single" w:color="auto" w:sz="4" w:space="0"/>
              <w:right w:val="single" w:color="auto" w:sz="4" w:space="0"/>
            </w:tcBorders>
            <w:noWrap w:val="0"/>
            <w:vAlign w:val="center"/>
          </w:tcPr>
          <w:p w14:paraId="7F7AE8E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858" w:type="dxa"/>
            <w:tcBorders>
              <w:top w:val="single" w:color="auto" w:sz="4" w:space="0"/>
              <w:left w:val="nil"/>
              <w:bottom w:val="single" w:color="auto" w:sz="4" w:space="0"/>
              <w:right w:val="single" w:color="auto" w:sz="4" w:space="0"/>
            </w:tcBorders>
            <w:noWrap w:val="0"/>
            <w:vAlign w:val="center"/>
          </w:tcPr>
          <w:p w14:paraId="0B37DF1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1023" w:type="dxa"/>
            <w:tcBorders>
              <w:top w:val="single" w:color="auto" w:sz="4" w:space="0"/>
              <w:left w:val="nil"/>
              <w:bottom w:val="single" w:color="auto" w:sz="4" w:space="0"/>
              <w:right w:val="single" w:color="auto" w:sz="4" w:space="0"/>
            </w:tcBorders>
            <w:noWrap w:val="0"/>
            <w:vAlign w:val="center"/>
          </w:tcPr>
          <w:p w14:paraId="0826586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单位</w:t>
            </w:r>
          </w:p>
        </w:tc>
        <w:tc>
          <w:tcPr>
            <w:tcW w:w="900" w:type="dxa"/>
            <w:tcBorders>
              <w:top w:val="single" w:color="auto" w:sz="4" w:space="0"/>
              <w:left w:val="nil"/>
              <w:bottom w:val="single" w:color="auto" w:sz="4" w:space="0"/>
              <w:right w:val="single" w:color="auto" w:sz="4" w:space="0"/>
            </w:tcBorders>
            <w:noWrap w:val="0"/>
            <w:vAlign w:val="center"/>
          </w:tcPr>
          <w:p w14:paraId="0370FCF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081" w:type="dxa"/>
            <w:tcBorders>
              <w:top w:val="single" w:color="auto" w:sz="4" w:space="0"/>
              <w:left w:val="nil"/>
              <w:bottom w:val="single" w:color="auto" w:sz="4" w:space="0"/>
              <w:right w:val="single" w:color="auto" w:sz="4" w:space="0"/>
            </w:tcBorders>
            <w:noWrap w:val="0"/>
            <w:vAlign w:val="center"/>
          </w:tcPr>
          <w:p w14:paraId="596C46E8">
            <w:pPr>
              <w:keepNext w:val="0"/>
              <w:keepLines w:val="0"/>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036" w:type="dxa"/>
            <w:tcBorders>
              <w:top w:val="single" w:color="auto" w:sz="4" w:space="0"/>
              <w:left w:val="nil"/>
              <w:bottom w:val="single" w:color="auto" w:sz="4" w:space="0"/>
              <w:right w:val="single" w:color="auto" w:sz="4" w:space="0"/>
            </w:tcBorders>
            <w:noWrap w:val="0"/>
            <w:vAlign w:val="center"/>
          </w:tcPr>
          <w:p w14:paraId="26C6CEC0">
            <w:pPr>
              <w:keepNext w:val="0"/>
              <w:keepLines w:val="0"/>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61E13946">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D0CDEE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10B49A1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0C99685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4D2A44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0C7AB1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010DA44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3EC9BD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A3AC354">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EC43F0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5E38DF1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3AB15B4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C51672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361CA8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722E29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1C37C5B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8FA8476">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CE9FDB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78DFD7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01D5D73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44CCDF6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3141FEA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5E1B323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45043E3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7C3FC75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CEFAC14">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9D320B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2B8283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7EE636C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1E2DFC3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0052EFB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CDCC9B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451FD46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0CDCCBB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2FCC332">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34A962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CD9870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534E865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216B5D5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31BEEF4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A0C845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0D83713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1BA67B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1AF1FA1">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D5C895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E0AAAB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40C9FE0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72B2D80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FC60AA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C4E958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68879BC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F9C3EE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C1A311A">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095A2E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2A77936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13C6547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43A911A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8E88D5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0CDB54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A3FD21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BE0D643">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1035EAF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ED6C4A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7D455B7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004F8DE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CFE4A9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743D7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0FAA5C9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7E9517C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DBCBD28">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1D42E25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9611D1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31EC221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01B752D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516F1E5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1735F0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4FCC808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8C72FC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7ABEDD0">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1EE3241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AE02F1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3100436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67C99A3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00897B1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C6A4F6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56DF05A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316D6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C030B82">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C42BF0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2B84DBD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4A985D2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3CC1979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2DCD89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62117AA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270B5CD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E442A5E">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696F12A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B9E612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2187F8F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73707CC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49D1E5E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F3DB8C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045D3DD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C5EAC9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83449AF">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0502C00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78A38D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7042CED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6D68EF9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35CC26F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F30D40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3B5D34C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1E8E4B9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6E3FBDE">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693A12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BD7083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115FBD2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53DF027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467E52F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7A8B9F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03A2D26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0AFFBB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37C25CE">
        <w:tblPrEx>
          <w:tblCellMar>
            <w:top w:w="0" w:type="dxa"/>
            <w:left w:w="108" w:type="dxa"/>
            <w:bottom w:w="0" w:type="dxa"/>
            <w:right w:w="108" w:type="dxa"/>
          </w:tblCellMar>
        </w:tblPrEx>
        <w:trPr>
          <w:trHeight w:val="702" w:hRule="atLeast"/>
          <w:jc w:val="center"/>
        </w:trPr>
        <w:tc>
          <w:tcPr>
            <w:tcW w:w="2624" w:type="dxa"/>
            <w:gridSpan w:val="2"/>
            <w:tcBorders>
              <w:top w:val="nil"/>
              <w:left w:val="single" w:color="auto" w:sz="4" w:space="0"/>
              <w:bottom w:val="single" w:color="auto" w:sz="4" w:space="0"/>
              <w:right w:val="single" w:color="auto" w:sz="4" w:space="0"/>
            </w:tcBorders>
            <w:noWrap w:val="0"/>
            <w:vAlign w:val="center"/>
          </w:tcPr>
          <w:p w14:paraId="30F7619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898" w:type="dxa"/>
            <w:gridSpan w:val="5"/>
            <w:tcBorders>
              <w:top w:val="single" w:color="auto" w:sz="4" w:space="0"/>
              <w:left w:val="nil"/>
              <w:bottom w:val="single" w:color="auto" w:sz="4" w:space="0"/>
              <w:right w:val="single" w:color="auto" w:sz="4" w:space="0"/>
            </w:tcBorders>
            <w:noWrap w:val="0"/>
            <w:vAlign w:val="center"/>
          </w:tcPr>
          <w:p w14:paraId="42B2D7B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0D2962AC">
      <w:pPr>
        <w:pStyle w:val="6"/>
        <w:spacing w:before="159"/>
        <w:rPr>
          <w:rFonts w:hint="eastAsia"/>
          <w:color w:val="auto"/>
          <w:highlight w:val="none"/>
        </w:rPr>
      </w:pPr>
      <w:bookmarkStart w:id="3568" w:name="_Toc16767"/>
      <w:bookmarkStart w:id="3569" w:name="_Toc519085643"/>
      <w:r>
        <w:rPr>
          <w:rFonts w:hint="eastAsia"/>
          <w:color w:val="auto"/>
          <w:highlight w:val="none"/>
        </w:rPr>
        <w:t>2.5 技术服务</w:t>
      </w:r>
      <w:r>
        <w:rPr>
          <w:color w:val="auto"/>
          <w:highlight w:val="none"/>
        </w:rPr>
        <w:t>费</w:t>
      </w:r>
      <w:r>
        <w:rPr>
          <w:rFonts w:hint="eastAsia"/>
          <w:color w:val="auto"/>
          <w:highlight w:val="none"/>
        </w:rPr>
        <w:t>清单</w:t>
      </w:r>
      <w:bookmarkEnd w:id="3568"/>
      <w:bookmarkEnd w:id="3569"/>
    </w:p>
    <w:p w14:paraId="003F4CD6">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6"/>
        <w:gridCol w:w="2430"/>
        <w:gridCol w:w="1140"/>
        <w:gridCol w:w="2132"/>
        <w:gridCol w:w="1904"/>
      </w:tblGrid>
      <w:tr w14:paraId="344F0F20">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5FCBF21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1A55AD3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207D163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2132" w:type="dxa"/>
            <w:tcBorders>
              <w:top w:val="single" w:color="auto" w:sz="4" w:space="0"/>
              <w:left w:val="nil"/>
              <w:bottom w:val="single" w:color="auto" w:sz="4" w:space="0"/>
              <w:right w:val="single" w:color="auto" w:sz="4" w:space="0"/>
            </w:tcBorders>
            <w:noWrap w:val="0"/>
            <w:vAlign w:val="center"/>
          </w:tcPr>
          <w:p w14:paraId="1851442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w:t>
            </w:r>
          </w:p>
        </w:tc>
        <w:tc>
          <w:tcPr>
            <w:tcW w:w="1904" w:type="dxa"/>
            <w:tcBorders>
              <w:top w:val="single" w:color="auto" w:sz="4" w:space="0"/>
              <w:left w:val="nil"/>
              <w:bottom w:val="single" w:color="auto" w:sz="4" w:space="0"/>
              <w:right w:val="single" w:color="auto" w:sz="4" w:space="0"/>
            </w:tcBorders>
            <w:noWrap w:val="0"/>
            <w:vAlign w:val="center"/>
          </w:tcPr>
          <w:p w14:paraId="777CDB7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10AD9F29">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FABBFC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EAB141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ED26D1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314403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BAF2A4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441B5D5">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E75E6C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413736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53E65C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21DBF6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0CA2E2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B17AA9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8FC1E3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B4513A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48E1F4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FC4FD9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546612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0F3499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FFD9C2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4255C7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CF99D1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7CD03C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11A050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701E40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F24302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6FC0F6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7ECFA2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915978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7DCF1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F1B802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F4C9BE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2E45BF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ED10F9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7287C9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792CBD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EB6D92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9CE691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4FA426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DF64E1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B519787">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5F965A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DA2F61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E8DF0A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139425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4C5D84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0077E15">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9B32C8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077039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BB31F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1E1ED3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80A72E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1B9783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D067A83">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D1C517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B2AEC7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00CAC8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935781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7B5D97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072E4E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2C9B6D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EF348B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9EB0B7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51444B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F8CEB1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1E68F2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2738E3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6797EE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87DDD2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750980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0B0459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175A10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8F44945">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DC42B3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ED2054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1644BF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A95227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523896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52473FD">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34B0F5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18BE2D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CEFD02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4057B0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B9C875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C32CB2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E903BDC">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C764CF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E15447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64DDD9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7E3161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73D367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755276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3973B7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B831D3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12E6E2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28CF4E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454B9F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5D5CE45">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6F5B7DF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7C1C6C5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2AFB9482">
      <w:pPr>
        <w:pStyle w:val="6"/>
        <w:spacing w:before="159"/>
        <w:rPr>
          <w:color w:val="auto"/>
          <w:highlight w:val="none"/>
        </w:rPr>
      </w:pPr>
      <w:bookmarkStart w:id="3570" w:name="_Toc23564"/>
      <w:bookmarkStart w:id="3571" w:name="_Toc31572"/>
      <w:bookmarkStart w:id="3572" w:name="_Toc519085644"/>
      <w:r>
        <w:rPr>
          <w:rFonts w:hint="eastAsia"/>
          <w:color w:val="auto"/>
          <w:highlight w:val="none"/>
        </w:rPr>
        <w:t>2.6 暂估价清单</w:t>
      </w:r>
      <w:bookmarkEnd w:id="3570"/>
      <w:bookmarkEnd w:id="3571"/>
      <w:bookmarkEnd w:id="3572"/>
    </w:p>
    <w:p w14:paraId="3A770509">
      <w:pPr>
        <w:rPr>
          <w:rFonts w:hint="eastAsia"/>
          <w:color w:val="auto"/>
          <w:highlight w:val="none"/>
        </w:rPr>
      </w:pPr>
      <w:bookmarkStart w:id="3573" w:name="_Toc13283"/>
      <w:bookmarkStart w:id="3574" w:name="_Toc26698"/>
      <w:bookmarkStart w:id="3575" w:name="_Toc519085645"/>
      <w:bookmarkStart w:id="3576" w:name="_Toc3980772"/>
      <w:bookmarkStart w:id="3577" w:name="_Toc3981220"/>
      <w:bookmarkStart w:id="3578" w:name="_Toc15064"/>
      <w:r>
        <w:rPr>
          <w:rFonts w:hint="eastAsia"/>
          <w:color w:val="auto"/>
          <w:highlight w:val="none"/>
        </w:rPr>
        <w:t>2.6.1  材料暂估价表</w:t>
      </w:r>
      <w:bookmarkEnd w:id="3573"/>
      <w:bookmarkEnd w:id="3574"/>
      <w:bookmarkEnd w:id="3575"/>
      <w:bookmarkEnd w:id="3576"/>
      <w:bookmarkEnd w:id="3577"/>
      <w:bookmarkEnd w:id="3578"/>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37EF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3FC7010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261" w:type="dxa"/>
            <w:noWrap w:val="0"/>
            <w:vAlign w:val="center"/>
          </w:tcPr>
          <w:p w14:paraId="2C4A3EE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名称</w:t>
            </w:r>
          </w:p>
        </w:tc>
        <w:tc>
          <w:tcPr>
            <w:tcW w:w="1260" w:type="dxa"/>
            <w:noWrap w:val="0"/>
            <w:vAlign w:val="center"/>
          </w:tcPr>
          <w:p w14:paraId="0BD2E6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单位</w:t>
            </w:r>
          </w:p>
        </w:tc>
        <w:tc>
          <w:tcPr>
            <w:tcW w:w="1260" w:type="dxa"/>
            <w:noWrap w:val="0"/>
            <w:vAlign w:val="center"/>
          </w:tcPr>
          <w:p w14:paraId="5048096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1260" w:type="dxa"/>
            <w:noWrap w:val="0"/>
            <w:vAlign w:val="center"/>
          </w:tcPr>
          <w:p w14:paraId="4AE86EB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ascii="Calibri" w:hAnsi="Calibri" w:eastAsia="宋体" w:cs="Times New Roman"/>
                <w:color w:val="auto"/>
                <w:szCs w:val="21"/>
                <w:highlight w:val="none"/>
              </w:rPr>
              <w:t>单价</w:t>
            </w:r>
          </w:p>
        </w:tc>
        <w:tc>
          <w:tcPr>
            <w:tcW w:w="1265" w:type="dxa"/>
            <w:noWrap w:val="0"/>
            <w:vAlign w:val="center"/>
          </w:tcPr>
          <w:p w14:paraId="5715EBC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hint="eastAsia" w:ascii="Calibri" w:hAnsi="Calibri" w:eastAsia="宋体" w:cs="Times New Roman"/>
                <w:color w:val="auto"/>
                <w:szCs w:val="21"/>
                <w:highlight w:val="none"/>
              </w:rPr>
              <w:t>合价</w:t>
            </w:r>
            <w:r>
              <w:rPr>
                <w:rFonts w:ascii="Calibri" w:hAnsi="Calibri" w:eastAsia="宋体" w:cs="Times New Roman"/>
                <w:color w:val="auto"/>
                <w:szCs w:val="21"/>
                <w:highlight w:val="none"/>
              </w:rPr>
              <w:t xml:space="preserve"> </w:t>
            </w:r>
          </w:p>
        </w:tc>
        <w:tc>
          <w:tcPr>
            <w:tcW w:w="1210" w:type="dxa"/>
            <w:noWrap w:val="0"/>
            <w:vAlign w:val="center"/>
          </w:tcPr>
          <w:p w14:paraId="6D03735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67B0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3EAEBD8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6A623D9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A59B8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86F170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93491E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3CC3E8B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502F09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7262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D26DC8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3BF213E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E7E16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EADD8D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BF948E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0C0305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218886F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4DD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C44843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6A17889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CE36F5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F31BE5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D49CFC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7933304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63C41D6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CA4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31701A1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07AE1B9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88C785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8307F3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7D6499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479BE8D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776ACD8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0C7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27EAFCA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06BB850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B0CE34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954F3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96935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2E09F6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230C38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0424DDC5">
      <w:pPr>
        <w:spacing w:line="400" w:lineRule="exact"/>
        <w:rPr>
          <w:color w:val="auto"/>
          <w:highlight w:val="none"/>
        </w:rPr>
      </w:pPr>
    </w:p>
    <w:p w14:paraId="70495B29">
      <w:pPr>
        <w:rPr>
          <w:rFonts w:hint="eastAsia"/>
          <w:color w:val="auto"/>
          <w:highlight w:val="none"/>
        </w:rPr>
      </w:pPr>
      <w:bookmarkStart w:id="3579" w:name="_Toc16197"/>
      <w:bookmarkStart w:id="3580" w:name="_Toc19835"/>
      <w:bookmarkStart w:id="3581" w:name="_Toc3981221"/>
      <w:bookmarkStart w:id="3582" w:name="_Toc519085646"/>
      <w:bookmarkStart w:id="3583" w:name="_Toc3980773"/>
      <w:bookmarkStart w:id="3584" w:name="_Toc7695"/>
      <w:r>
        <w:rPr>
          <w:rFonts w:hint="eastAsia"/>
          <w:color w:val="auto"/>
          <w:highlight w:val="none"/>
        </w:rPr>
        <w:t>2.6.2 工程设备暂估价表</w:t>
      </w:r>
      <w:bookmarkEnd w:id="3579"/>
      <w:bookmarkEnd w:id="3580"/>
      <w:bookmarkEnd w:id="3581"/>
      <w:bookmarkEnd w:id="3582"/>
      <w:bookmarkEnd w:id="3583"/>
      <w:bookmarkEnd w:id="3584"/>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54D3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66DEB45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261" w:type="dxa"/>
            <w:noWrap w:val="0"/>
            <w:vAlign w:val="center"/>
          </w:tcPr>
          <w:p w14:paraId="61CF95F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名称</w:t>
            </w:r>
          </w:p>
        </w:tc>
        <w:tc>
          <w:tcPr>
            <w:tcW w:w="1260" w:type="dxa"/>
            <w:noWrap w:val="0"/>
            <w:vAlign w:val="center"/>
          </w:tcPr>
          <w:p w14:paraId="27573A5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单位</w:t>
            </w:r>
          </w:p>
        </w:tc>
        <w:tc>
          <w:tcPr>
            <w:tcW w:w="1260" w:type="dxa"/>
            <w:noWrap w:val="0"/>
            <w:vAlign w:val="center"/>
          </w:tcPr>
          <w:p w14:paraId="7BE8A50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1260" w:type="dxa"/>
            <w:noWrap w:val="0"/>
            <w:vAlign w:val="center"/>
          </w:tcPr>
          <w:p w14:paraId="47246AF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ascii="Calibri" w:hAnsi="Calibri" w:eastAsia="宋体" w:cs="Times New Roman"/>
                <w:color w:val="auto"/>
                <w:szCs w:val="21"/>
                <w:highlight w:val="none"/>
              </w:rPr>
              <w:t>单价</w:t>
            </w:r>
          </w:p>
        </w:tc>
        <w:tc>
          <w:tcPr>
            <w:tcW w:w="1265" w:type="dxa"/>
            <w:noWrap w:val="0"/>
            <w:vAlign w:val="center"/>
          </w:tcPr>
          <w:p w14:paraId="1D5D58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hint="eastAsia" w:ascii="Calibri" w:hAnsi="Calibri" w:eastAsia="宋体" w:cs="Times New Roman"/>
                <w:color w:val="auto"/>
                <w:szCs w:val="21"/>
                <w:highlight w:val="none"/>
              </w:rPr>
              <w:t>合价</w:t>
            </w:r>
            <w:r>
              <w:rPr>
                <w:rFonts w:ascii="Calibri" w:hAnsi="Calibri" w:eastAsia="宋体" w:cs="Times New Roman"/>
                <w:color w:val="auto"/>
                <w:szCs w:val="21"/>
                <w:highlight w:val="none"/>
              </w:rPr>
              <w:t xml:space="preserve"> </w:t>
            </w:r>
          </w:p>
        </w:tc>
        <w:tc>
          <w:tcPr>
            <w:tcW w:w="1210" w:type="dxa"/>
            <w:noWrap w:val="0"/>
            <w:vAlign w:val="center"/>
          </w:tcPr>
          <w:p w14:paraId="78277F7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3064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2BCF41C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38C2B6D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37D5A2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7A2D23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2B4F9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0477C41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26A4496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26FC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3ECA8E0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075367A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9E6880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FF69EA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A5B68B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3F2992D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755C160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228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5CEE3A1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34D6351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541DB1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857C5D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1B2375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2708320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48C7861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DA8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2F9968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67DB91D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626DBC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66EBF8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9E0B84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158F070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2A17B56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DE0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5A31E28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01528C9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8877B1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6D04F4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2BDAF0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20EEEEB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3EBEC41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857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405D2A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38BF178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EE2A63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AD1FA4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56122A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73A71A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048BC41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6D56B812">
      <w:pPr>
        <w:spacing w:line="400" w:lineRule="exact"/>
        <w:rPr>
          <w:color w:val="auto"/>
          <w:highlight w:val="none"/>
        </w:rPr>
      </w:pPr>
    </w:p>
    <w:p w14:paraId="6F0B8A34">
      <w:pPr>
        <w:rPr>
          <w:rFonts w:hint="eastAsia"/>
          <w:color w:val="auto"/>
          <w:highlight w:val="none"/>
        </w:rPr>
      </w:pPr>
      <w:bookmarkStart w:id="3585" w:name="_Toc12821"/>
      <w:bookmarkStart w:id="3586" w:name="_Toc3981222"/>
      <w:bookmarkStart w:id="3587" w:name="_Toc11398"/>
      <w:bookmarkStart w:id="3588" w:name="_Toc3980774"/>
      <w:bookmarkStart w:id="3589" w:name="_Toc25269"/>
      <w:bookmarkStart w:id="3590" w:name="_Toc519085647"/>
      <w:r>
        <w:rPr>
          <w:rFonts w:hint="eastAsia"/>
          <w:color w:val="auto"/>
          <w:highlight w:val="none"/>
        </w:rPr>
        <w:t>2.6.3 专业工程暂估价表</w:t>
      </w:r>
      <w:bookmarkEnd w:id="3585"/>
      <w:bookmarkEnd w:id="3586"/>
      <w:bookmarkEnd w:id="3587"/>
      <w:bookmarkEnd w:id="3588"/>
      <w:bookmarkEnd w:id="3589"/>
      <w:bookmarkEnd w:id="3590"/>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5580"/>
        <w:gridCol w:w="1147"/>
      </w:tblGrid>
      <w:tr w14:paraId="399C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42413A2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专业工程名称</w:t>
            </w:r>
          </w:p>
        </w:tc>
        <w:tc>
          <w:tcPr>
            <w:tcW w:w="5580" w:type="dxa"/>
            <w:noWrap w:val="0"/>
            <w:vAlign w:val="center"/>
          </w:tcPr>
          <w:p w14:paraId="335251F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工程内容</w:t>
            </w:r>
          </w:p>
        </w:tc>
        <w:tc>
          <w:tcPr>
            <w:tcW w:w="1147" w:type="dxa"/>
            <w:noWrap w:val="0"/>
            <w:vAlign w:val="center"/>
          </w:tcPr>
          <w:p w14:paraId="23D08FF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金额</w:t>
            </w:r>
          </w:p>
        </w:tc>
      </w:tr>
      <w:tr w14:paraId="2BF7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39A9FEA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20B8F3F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0B117E1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AB5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52ACC7D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572B888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0006A90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533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0A219B1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3E8E6D3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79A25A3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365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2EE8EDD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6BEBAA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616AD04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5CA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2A1396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17E4ED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2F3E47E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7EFC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091251F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2B99B0E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62B3EE3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65E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620E324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3369FB1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5ECD99A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50755C3E">
      <w:pPr>
        <w:rPr>
          <w:rFonts w:hint="eastAsia"/>
          <w:color w:val="auto"/>
          <w:highlight w:val="none"/>
        </w:rPr>
      </w:pPr>
      <w:bookmarkStart w:id="3591" w:name="_Toc17046"/>
      <w:bookmarkStart w:id="3592" w:name="_Toc519085648"/>
    </w:p>
    <w:p w14:paraId="38322576">
      <w:pPr>
        <w:rPr>
          <w:rFonts w:hint="eastAsia"/>
          <w:color w:val="auto"/>
          <w:highlight w:val="none"/>
        </w:rPr>
      </w:pPr>
    </w:p>
    <w:p w14:paraId="43D24E73">
      <w:pPr>
        <w:pStyle w:val="6"/>
        <w:spacing w:before="159"/>
        <w:rPr>
          <w:rFonts w:hint="eastAsia"/>
          <w:color w:val="auto"/>
          <w:highlight w:val="none"/>
        </w:rPr>
      </w:pPr>
      <w:r>
        <w:rPr>
          <w:color w:val="auto"/>
          <w:highlight w:val="none"/>
        </w:rPr>
        <w:br w:type="page"/>
      </w:r>
      <w:r>
        <w:rPr>
          <w:rFonts w:hint="eastAsia"/>
          <w:color w:val="auto"/>
          <w:highlight w:val="none"/>
        </w:rPr>
        <w:t xml:space="preserve">2.7 </w:t>
      </w:r>
      <w:r>
        <w:rPr>
          <w:color w:val="auto"/>
          <w:highlight w:val="none"/>
        </w:rPr>
        <w:t>其它费用</w:t>
      </w:r>
      <w:r>
        <w:rPr>
          <w:rFonts w:hint="eastAsia"/>
          <w:color w:val="auto"/>
          <w:highlight w:val="none"/>
        </w:rPr>
        <w:t>清单</w:t>
      </w:r>
      <w:bookmarkEnd w:id="3591"/>
      <w:bookmarkEnd w:id="3592"/>
    </w:p>
    <w:p w14:paraId="053C3EB8">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6"/>
        <w:gridCol w:w="2430"/>
        <w:gridCol w:w="1140"/>
        <w:gridCol w:w="2132"/>
        <w:gridCol w:w="1904"/>
      </w:tblGrid>
      <w:tr w14:paraId="5BA08C0F">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7043C51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1BEBA21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6825621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内容</w:t>
            </w:r>
          </w:p>
        </w:tc>
        <w:tc>
          <w:tcPr>
            <w:tcW w:w="2132" w:type="dxa"/>
            <w:tcBorders>
              <w:top w:val="single" w:color="auto" w:sz="4" w:space="0"/>
              <w:left w:val="nil"/>
              <w:bottom w:val="single" w:color="auto" w:sz="4" w:space="0"/>
              <w:right w:val="single" w:color="auto" w:sz="4" w:space="0"/>
            </w:tcBorders>
            <w:noWrap w:val="0"/>
            <w:vAlign w:val="center"/>
          </w:tcPr>
          <w:p w14:paraId="2C1F26E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w:t>
            </w:r>
          </w:p>
        </w:tc>
        <w:tc>
          <w:tcPr>
            <w:tcW w:w="1904" w:type="dxa"/>
            <w:tcBorders>
              <w:top w:val="single" w:color="auto" w:sz="4" w:space="0"/>
              <w:left w:val="nil"/>
              <w:bottom w:val="single" w:color="auto" w:sz="4" w:space="0"/>
              <w:right w:val="single" w:color="auto" w:sz="4" w:space="0"/>
            </w:tcBorders>
            <w:noWrap w:val="0"/>
            <w:vAlign w:val="center"/>
          </w:tcPr>
          <w:p w14:paraId="1F0D873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50993CF1">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494AD4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614166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232270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5D70BC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6937B9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6D48CC3">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2F26AE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3264EC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7CEC9C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A287A1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C5DB72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6E36CCC">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EB5A4E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E7AB53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05D05D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EEB4D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9DDAFC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D99242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473ECE9">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3EC5CE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14EA18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D01445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47C7A5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3FBA2C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104DB5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753E92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EEC484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0B4521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FE550D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9B103F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ACC3CE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895462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9F4FC6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BEFFB9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810EE3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A9EB36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B042D7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D1061D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2F9662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C0EA5C5">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8159DA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FE0957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40F12F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EE5127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79B9AA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DCC3AD3">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4B7CE7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EDB94B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B8EE5C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0F74D4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21751D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2178E9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E15BD9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F830D6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4682C6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0B6050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0AB7B2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BF79EF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C9EFD6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96342AD">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C87C2D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EA4088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EF323B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7B6BCE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FEE418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1A7686D">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363998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D09511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182420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B60405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5BA2AC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10D850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B9DBB4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C64D19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DB1261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7CA5AA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321367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30FDB53">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CA0425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4DF041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063CD1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E3B17A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3271E7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F2DB4B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121FF7A">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40DB56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E7CB9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444C94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4EE172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584082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3D73CFB">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793ADDC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1341BFC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63D00439">
      <w:pPr>
        <w:rPr>
          <w:rFonts w:hint="eastAsia"/>
          <w:color w:val="auto"/>
          <w:highlight w:val="none"/>
        </w:rPr>
      </w:pPr>
      <w:bookmarkStart w:id="3593" w:name="_Toc14951"/>
      <w:bookmarkStart w:id="3594" w:name="_Toc519085649"/>
    </w:p>
    <w:p w14:paraId="5D835445">
      <w:pPr>
        <w:pStyle w:val="6"/>
        <w:spacing w:before="159"/>
        <w:rPr>
          <w:rFonts w:hint="eastAsia"/>
          <w:color w:val="auto"/>
          <w:highlight w:val="none"/>
        </w:rPr>
      </w:pPr>
      <w:r>
        <w:rPr>
          <w:rFonts w:hint="eastAsia"/>
          <w:color w:val="auto"/>
          <w:highlight w:val="none"/>
        </w:rPr>
        <w:t>2.8 投标报价汇总表</w:t>
      </w:r>
      <w:bookmarkEnd w:id="3593"/>
      <w:bookmarkEnd w:id="3594"/>
    </w:p>
    <w:p w14:paraId="12B47F18">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5"/>
        <w:gridCol w:w="2773"/>
        <w:gridCol w:w="2272"/>
        <w:gridCol w:w="2562"/>
      </w:tblGrid>
      <w:tr w14:paraId="5F77C7DE">
        <w:tblPrEx>
          <w:tblCellMar>
            <w:top w:w="0" w:type="dxa"/>
            <w:left w:w="108" w:type="dxa"/>
            <w:bottom w:w="0" w:type="dxa"/>
            <w:right w:w="108" w:type="dxa"/>
          </w:tblCellMar>
        </w:tblPrEx>
        <w:trPr>
          <w:trHeight w:val="567"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4EE8104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773" w:type="dxa"/>
            <w:tcBorders>
              <w:top w:val="single" w:color="auto" w:sz="4" w:space="0"/>
              <w:left w:val="nil"/>
              <w:bottom w:val="single" w:color="auto" w:sz="4" w:space="0"/>
              <w:right w:val="single" w:color="auto" w:sz="4" w:space="0"/>
            </w:tcBorders>
            <w:noWrap w:val="0"/>
            <w:vAlign w:val="center"/>
          </w:tcPr>
          <w:p w14:paraId="5AD6182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2272" w:type="dxa"/>
            <w:tcBorders>
              <w:top w:val="single" w:color="auto" w:sz="4" w:space="0"/>
              <w:left w:val="nil"/>
              <w:bottom w:val="single" w:color="auto" w:sz="4" w:space="0"/>
              <w:right w:val="single" w:color="auto" w:sz="4" w:space="0"/>
            </w:tcBorders>
            <w:noWrap w:val="0"/>
            <w:vAlign w:val="center"/>
          </w:tcPr>
          <w:p w14:paraId="3D86602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金额（</w:t>
            </w:r>
            <w:r>
              <w:rPr>
                <w:rFonts w:hint="eastAsia" w:ascii="Calibri" w:hAnsi="Calibri" w:eastAsia="宋体" w:cs="Times New Roman"/>
                <w:color w:val="auto"/>
                <w:kern w:val="0"/>
                <w:szCs w:val="21"/>
                <w:highlight w:val="none"/>
              </w:rPr>
              <w:t>人民币</w:t>
            </w:r>
            <w:r>
              <w:rPr>
                <w:rFonts w:ascii="Calibri" w:hAnsi="Calibri" w:eastAsia="宋体" w:cs="Times New Roman"/>
                <w:color w:val="auto"/>
                <w:kern w:val="0"/>
                <w:szCs w:val="21"/>
                <w:highlight w:val="none"/>
              </w:rPr>
              <w:t>元）</w:t>
            </w:r>
          </w:p>
        </w:tc>
        <w:tc>
          <w:tcPr>
            <w:tcW w:w="2562" w:type="dxa"/>
            <w:tcBorders>
              <w:top w:val="single" w:color="auto" w:sz="4" w:space="0"/>
              <w:left w:val="nil"/>
              <w:bottom w:val="single" w:color="auto" w:sz="4" w:space="0"/>
              <w:right w:val="single" w:color="auto" w:sz="4" w:space="0"/>
            </w:tcBorders>
            <w:noWrap w:val="0"/>
            <w:vAlign w:val="center"/>
          </w:tcPr>
          <w:p w14:paraId="1CF2760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备注</w:t>
            </w:r>
          </w:p>
        </w:tc>
      </w:tr>
      <w:tr w14:paraId="74B4923B">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7F87E29B">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p w14:paraId="6D579517">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2C12CEF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5AE83C3C">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5CE818EA">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74DEFF54">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5F737BC0">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3F6E949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18D3794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7D20F80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3FDA97BA">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1EBD33DD">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06163B9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33E81CC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6EA18B0A">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25A90499">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71CF440E">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211300D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4D15F6F6">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3C7EC756">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057DFE04">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34AFB209">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p w14:paraId="693CDB29">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6FF398AE">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00658EA6">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62C66ED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0094947A">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272993B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502F9BB3">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5F8731BB">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18370130">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59171571">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58FEB8F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116E2BC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04F446A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6CAD46CA">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3170F09D">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4D179E5E">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5EF017B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5141121C">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4B3916E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2221F432">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1986384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1599AE58">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3DDBC0C4">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075557ED">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r>
      <w:tr w14:paraId="7837FFCD">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341594F6">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361450FC">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0425F0F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1776126F">
            <w:pPr>
              <w:pStyle w:val="99"/>
              <w:keepNext w:val="0"/>
              <w:keepLines w:val="0"/>
              <w:suppressLineNumbers w:val="0"/>
              <w:spacing w:before="0" w:beforeAutospacing="0" w:after="0" w:afterAutospacing="0"/>
              <w:ind w:left="0" w:right="0"/>
              <w:rPr>
                <w:rFonts w:eastAsia="黑体" w:cs="Times New Roman"/>
                <w:color w:val="auto"/>
                <w:highlight w:val="none"/>
              </w:rPr>
            </w:pPr>
          </w:p>
        </w:tc>
      </w:tr>
      <w:tr w14:paraId="1252CAE8">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7452395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7633296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038B0583">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6549CAC1">
            <w:pPr>
              <w:pStyle w:val="99"/>
              <w:keepNext w:val="0"/>
              <w:keepLines w:val="0"/>
              <w:suppressLineNumbers w:val="0"/>
              <w:spacing w:before="0" w:beforeAutospacing="0" w:after="0" w:afterAutospacing="0"/>
              <w:ind w:left="0" w:right="0"/>
              <w:rPr>
                <w:rFonts w:eastAsia="黑体" w:cs="Times New Roman"/>
                <w:color w:val="auto"/>
                <w:highlight w:val="none"/>
              </w:rPr>
            </w:pPr>
          </w:p>
        </w:tc>
      </w:tr>
      <w:tr w14:paraId="74376A15">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1B33AE28">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43C6B5F8">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00D94A2E">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244C6F7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2E3DD45B">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54608A67">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53D2744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1CA6DF34">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05F211C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45A9E763">
        <w:trPr>
          <w:trHeight w:val="780" w:hRule="atLeast"/>
          <w:jc w:val="center"/>
        </w:trPr>
        <w:tc>
          <w:tcPr>
            <w:tcW w:w="3688" w:type="dxa"/>
            <w:gridSpan w:val="2"/>
            <w:tcBorders>
              <w:top w:val="nil"/>
              <w:left w:val="single" w:color="auto" w:sz="4" w:space="0"/>
              <w:bottom w:val="single" w:color="auto" w:sz="4" w:space="0"/>
              <w:right w:val="single" w:color="auto" w:sz="4" w:space="0"/>
            </w:tcBorders>
            <w:noWrap w:val="0"/>
            <w:vAlign w:val="center"/>
          </w:tcPr>
          <w:p w14:paraId="19B4C17C">
            <w:pPr>
              <w:pStyle w:val="99"/>
              <w:keepNext w:val="0"/>
              <w:keepLines w:val="0"/>
              <w:suppressLineNumbers w:val="0"/>
              <w:spacing w:before="0" w:beforeAutospacing="0" w:after="0" w:afterAutospacing="0"/>
              <w:ind w:left="0" w:right="0"/>
              <w:rPr>
                <w:rFonts w:eastAsia="宋体" w:cs="Times New Roman"/>
                <w:color w:val="auto"/>
                <w:kern w:val="0"/>
                <w:highlight w:val="none"/>
              </w:rPr>
            </w:pPr>
            <w:r>
              <w:rPr>
                <w:rFonts w:hint="eastAsia" w:eastAsia="宋体" w:cs="Times New Roman"/>
                <w:color w:val="auto"/>
                <w:kern w:val="0"/>
                <w:highlight w:val="none"/>
              </w:rPr>
              <w:t>投标报价</w:t>
            </w:r>
          </w:p>
        </w:tc>
        <w:tc>
          <w:tcPr>
            <w:tcW w:w="4834" w:type="dxa"/>
            <w:gridSpan w:val="2"/>
            <w:tcBorders>
              <w:top w:val="nil"/>
              <w:left w:val="nil"/>
              <w:bottom w:val="single" w:color="auto" w:sz="4" w:space="0"/>
              <w:right w:val="single" w:color="auto" w:sz="4" w:space="0"/>
            </w:tcBorders>
            <w:noWrap w:val="0"/>
            <w:vAlign w:val="center"/>
          </w:tcPr>
          <w:p w14:paraId="13822E1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bl>
    <w:p w14:paraId="615E145B">
      <w:pPr>
        <w:rPr>
          <w:rFonts w:hint="eastAsia"/>
          <w:color w:val="auto"/>
          <w:highlight w:val="none"/>
        </w:rPr>
      </w:pPr>
      <w:bookmarkStart w:id="3595" w:name="_Toc144974864"/>
      <w:bookmarkStart w:id="3596" w:name="_Toc247514288"/>
      <w:bookmarkStart w:id="3597" w:name="_Toc152042585"/>
      <w:bookmarkStart w:id="3598" w:name="_Toc247527836"/>
      <w:bookmarkStart w:id="3599" w:name="_Toc519085650"/>
      <w:bookmarkStart w:id="3600" w:name="_Toc152045796"/>
    </w:p>
    <w:p w14:paraId="70C6BBCB">
      <w:pPr>
        <w:rPr>
          <w:rFonts w:hint="eastAsia"/>
          <w:color w:val="auto"/>
          <w:highlight w:val="none"/>
        </w:rPr>
      </w:pPr>
    </w:p>
    <w:p w14:paraId="0D0591AA">
      <w:pPr>
        <w:rPr>
          <w:rFonts w:hint="eastAsia"/>
          <w:color w:val="auto"/>
          <w:highlight w:val="none"/>
        </w:rPr>
      </w:pPr>
    </w:p>
    <w:p w14:paraId="7321975B">
      <w:pPr>
        <w:rPr>
          <w:rFonts w:hint="eastAsia"/>
          <w:color w:val="auto"/>
          <w:highlight w:val="none"/>
        </w:rPr>
      </w:pPr>
    </w:p>
    <w:p w14:paraId="241BD47E">
      <w:pPr>
        <w:rPr>
          <w:color w:val="auto"/>
          <w:highlight w:val="none"/>
        </w:rPr>
      </w:pPr>
    </w:p>
    <w:p w14:paraId="1884BFDA">
      <w:pPr>
        <w:pStyle w:val="4"/>
        <w:spacing w:before="63"/>
        <w:jc w:val="center"/>
        <w:rPr>
          <w:color w:val="auto"/>
          <w:sz w:val="28"/>
          <w:szCs w:val="28"/>
          <w:highlight w:val="none"/>
        </w:rPr>
      </w:pPr>
      <w:bookmarkStart w:id="3601" w:name="_Toc23783"/>
      <w:bookmarkStart w:id="3602" w:name="_Toc23448"/>
      <w:bookmarkStart w:id="3603" w:name="_Toc8179_WPSOffice_Level1"/>
      <w:bookmarkStart w:id="3604" w:name="_Toc16022"/>
      <w:bookmarkStart w:id="3605" w:name="_Toc14223"/>
      <w:bookmarkStart w:id="3606" w:name="_Toc30939"/>
      <w:bookmarkStart w:id="3607" w:name="_Toc27086"/>
      <w:r>
        <w:rPr>
          <w:rFonts w:hint="eastAsia"/>
          <w:color w:val="auto"/>
          <w:sz w:val="28"/>
          <w:szCs w:val="28"/>
          <w:highlight w:val="none"/>
        </w:rPr>
        <w:t>七</w:t>
      </w:r>
      <w:r>
        <w:rPr>
          <w:color w:val="auto"/>
          <w:sz w:val="28"/>
          <w:szCs w:val="28"/>
          <w:highlight w:val="none"/>
        </w:rPr>
        <w:t>、</w:t>
      </w:r>
      <w:r>
        <w:rPr>
          <w:rFonts w:hint="eastAsia"/>
          <w:color w:val="auto"/>
          <w:sz w:val="28"/>
          <w:szCs w:val="28"/>
          <w:highlight w:val="none"/>
        </w:rPr>
        <w:t>承包人建议书</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14:paraId="5EA2131D">
      <w:pPr>
        <w:spacing w:line="440" w:lineRule="exact"/>
        <w:rPr>
          <w:rFonts w:hint="eastAsia" w:ascii="宋体" w:hAnsi="宋体"/>
          <w:color w:val="auto"/>
          <w:szCs w:val="21"/>
          <w:highlight w:val="none"/>
        </w:rPr>
      </w:pPr>
    </w:p>
    <w:p w14:paraId="42C9E543">
      <w:pPr>
        <w:spacing w:line="440" w:lineRule="exact"/>
        <w:outlineLvl w:val="2"/>
        <w:rPr>
          <w:rFonts w:hint="eastAsia" w:ascii="宋体" w:hAnsi="宋体"/>
          <w:color w:val="auto"/>
          <w:szCs w:val="21"/>
          <w:highlight w:val="none"/>
        </w:rPr>
      </w:pPr>
      <w:bookmarkStart w:id="3608" w:name="_Toc9913"/>
      <w:bookmarkStart w:id="3609" w:name="_Toc3980778"/>
      <w:bookmarkStart w:id="3610" w:name="_Toc29880_WPSOffice_Level2"/>
      <w:bookmarkStart w:id="3611" w:name="_Toc3981226"/>
      <w:bookmarkStart w:id="3612" w:name="_Toc17609"/>
      <w:r>
        <w:rPr>
          <w:rFonts w:hint="eastAsia" w:ascii="宋体" w:hAnsi="宋体"/>
          <w:color w:val="auto"/>
          <w:szCs w:val="21"/>
          <w:highlight w:val="none"/>
        </w:rPr>
        <w:t>（一）图纸</w:t>
      </w:r>
      <w:bookmarkEnd w:id="3608"/>
      <w:bookmarkEnd w:id="3609"/>
      <w:bookmarkEnd w:id="3610"/>
      <w:bookmarkEnd w:id="3611"/>
      <w:bookmarkEnd w:id="3612"/>
    </w:p>
    <w:p w14:paraId="6621DBC5">
      <w:pPr>
        <w:spacing w:line="440" w:lineRule="exact"/>
        <w:outlineLvl w:val="2"/>
        <w:rPr>
          <w:rFonts w:hint="eastAsia" w:ascii="宋体" w:hAnsi="宋体"/>
          <w:color w:val="auto"/>
          <w:szCs w:val="21"/>
          <w:highlight w:val="none"/>
        </w:rPr>
      </w:pPr>
      <w:bookmarkStart w:id="3613" w:name="_Toc2798"/>
      <w:bookmarkStart w:id="3614" w:name="_Toc3981227"/>
      <w:bookmarkStart w:id="3615" w:name="_Toc8118_WPSOffice_Level2"/>
      <w:bookmarkStart w:id="3616" w:name="_Toc18590"/>
      <w:bookmarkStart w:id="3617" w:name="_Toc3980779"/>
      <w:r>
        <w:rPr>
          <w:rFonts w:hint="eastAsia" w:ascii="宋体" w:hAnsi="宋体"/>
          <w:color w:val="auto"/>
          <w:szCs w:val="21"/>
          <w:highlight w:val="none"/>
        </w:rPr>
        <w:t>（二）工程详细说明</w:t>
      </w:r>
      <w:bookmarkEnd w:id="3613"/>
      <w:bookmarkEnd w:id="3614"/>
      <w:bookmarkEnd w:id="3615"/>
      <w:bookmarkEnd w:id="3616"/>
      <w:bookmarkEnd w:id="3617"/>
    </w:p>
    <w:p w14:paraId="302F4A75">
      <w:pPr>
        <w:spacing w:line="440" w:lineRule="exact"/>
        <w:outlineLvl w:val="2"/>
        <w:rPr>
          <w:rFonts w:hint="eastAsia" w:ascii="宋体" w:hAnsi="宋体"/>
          <w:color w:val="auto"/>
          <w:szCs w:val="21"/>
          <w:highlight w:val="none"/>
        </w:rPr>
      </w:pPr>
      <w:bookmarkStart w:id="3618" w:name="_Toc3980780"/>
      <w:bookmarkStart w:id="3619" w:name="_Toc23237_WPSOffice_Level2"/>
      <w:bookmarkStart w:id="3620" w:name="_Toc3981228"/>
      <w:bookmarkStart w:id="3621" w:name="_Toc8703"/>
      <w:bookmarkStart w:id="3622" w:name="_Toc17276"/>
      <w:r>
        <w:rPr>
          <w:rFonts w:hint="eastAsia" w:ascii="宋体" w:hAnsi="宋体"/>
          <w:color w:val="auto"/>
          <w:szCs w:val="21"/>
          <w:highlight w:val="none"/>
        </w:rPr>
        <w:t>（三）设备方案</w:t>
      </w:r>
      <w:bookmarkEnd w:id="3618"/>
      <w:bookmarkEnd w:id="3619"/>
      <w:bookmarkEnd w:id="3620"/>
      <w:bookmarkEnd w:id="3621"/>
      <w:bookmarkEnd w:id="3622"/>
    </w:p>
    <w:p w14:paraId="2CF37403">
      <w:pPr>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．生产设备。</w:t>
      </w:r>
    </w:p>
    <w:p w14:paraId="0035F25C">
      <w:pPr>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．必备的备品备件。</w:t>
      </w:r>
    </w:p>
    <w:p w14:paraId="50F429A4">
      <w:pPr>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备选的备品备件。</w:t>
      </w:r>
    </w:p>
    <w:p w14:paraId="0E0FA5D5">
      <w:pPr>
        <w:spacing w:line="440" w:lineRule="exact"/>
        <w:outlineLvl w:val="2"/>
        <w:rPr>
          <w:rFonts w:hint="eastAsia" w:ascii="宋体" w:hAnsi="宋体"/>
          <w:color w:val="auto"/>
          <w:szCs w:val="21"/>
          <w:highlight w:val="none"/>
        </w:rPr>
      </w:pPr>
      <w:bookmarkStart w:id="3623" w:name="_Toc3504_WPSOffice_Level2"/>
      <w:bookmarkStart w:id="3624" w:name="_Toc14251"/>
      <w:bookmarkStart w:id="3625" w:name="_Toc26897"/>
      <w:bookmarkStart w:id="3626" w:name="_Toc3981229"/>
      <w:bookmarkStart w:id="3627" w:name="_Toc3980781"/>
      <w:r>
        <w:rPr>
          <w:rFonts w:hint="eastAsia" w:ascii="宋体" w:hAnsi="宋体"/>
          <w:color w:val="auto"/>
          <w:szCs w:val="21"/>
          <w:highlight w:val="none"/>
        </w:rPr>
        <w:t>（四）分包方案</w:t>
      </w:r>
      <w:bookmarkEnd w:id="3623"/>
      <w:bookmarkEnd w:id="3624"/>
      <w:bookmarkEnd w:id="3625"/>
      <w:bookmarkEnd w:id="3626"/>
      <w:bookmarkEnd w:id="3627"/>
    </w:p>
    <w:p w14:paraId="189F50F9">
      <w:pPr>
        <w:spacing w:line="440" w:lineRule="exact"/>
        <w:outlineLvl w:val="2"/>
        <w:rPr>
          <w:rFonts w:hint="eastAsia" w:ascii="宋体" w:hAnsi="宋体"/>
          <w:color w:val="auto"/>
          <w:szCs w:val="21"/>
          <w:highlight w:val="none"/>
        </w:rPr>
      </w:pPr>
      <w:bookmarkStart w:id="3628" w:name="_Toc13374"/>
      <w:bookmarkStart w:id="3629" w:name="_Toc3981230"/>
      <w:bookmarkStart w:id="3630" w:name="_Toc3980782"/>
      <w:bookmarkStart w:id="3631" w:name="_Toc28145"/>
      <w:bookmarkStart w:id="3632" w:name="_Toc16408_WPSOffice_Level2"/>
      <w:r>
        <w:rPr>
          <w:rFonts w:hint="eastAsia" w:ascii="宋体" w:hAnsi="宋体"/>
          <w:color w:val="auto"/>
          <w:szCs w:val="21"/>
          <w:highlight w:val="none"/>
        </w:rPr>
        <w:t>（五）对发包人要求错误的说明</w:t>
      </w:r>
      <w:bookmarkEnd w:id="3628"/>
      <w:bookmarkEnd w:id="3629"/>
      <w:bookmarkEnd w:id="3630"/>
      <w:bookmarkEnd w:id="3631"/>
      <w:bookmarkEnd w:id="3632"/>
    </w:p>
    <w:p w14:paraId="459390AC">
      <w:pPr>
        <w:spacing w:line="440" w:lineRule="exact"/>
        <w:outlineLvl w:val="2"/>
        <w:rPr>
          <w:rFonts w:hint="eastAsia" w:ascii="宋体" w:hAnsi="宋体"/>
          <w:color w:val="auto"/>
          <w:szCs w:val="21"/>
          <w:highlight w:val="none"/>
        </w:rPr>
      </w:pPr>
      <w:bookmarkStart w:id="3633" w:name="_Toc5606"/>
      <w:bookmarkStart w:id="3634" w:name="_Toc3981231"/>
      <w:bookmarkStart w:id="3635" w:name="_Toc3980783"/>
      <w:bookmarkStart w:id="3636" w:name="_Toc8465_WPSOffice_Level2"/>
      <w:bookmarkStart w:id="3637" w:name="_Toc23345"/>
      <w:r>
        <w:rPr>
          <w:rFonts w:hint="eastAsia" w:ascii="宋体" w:hAnsi="宋体"/>
          <w:color w:val="auto"/>
          <w:szCs w:val="21"/>
          <w:highlight w:val="none"/>
        </w:rPr>
        <w:t>（六）其他</w:t>
      </w:r>
      <w:bookmarkEnd w:id="3633"/>
      <w:bookmarkEnd w:id="3634"/>
      <w:bookmarkEnd w:id="3635"/>
      <w:bookmarkEnd w:id="3636"/>
      <w:bookmarkEnd w:id="3637"/>
    </w:p>
    <w:p w14:paraId="5412BA9E">
      <w:pPr>
        <w:rPr>
          <w:rFonts w:hint="eastAsia" w:ascii="宋体" w:hAnsi="宋体"/>
          <w:color w:val="auto"/>
          <w:szCs w:val="21"/>
          <w:highlight w:val="none"/>
        </w:rPr>
      </w:pPr>
    </w:p>
    <w:p w14:paraId="1C3242C9">
      <w:pPr>
        <w:rPr>
          <w:rFonts w:ascii="宋体" w:hAnsi="宋体"/>
          <w:color w:val="auto"/>
          <w:szCs w:val="21"/>
          <w:highlight w:val="none"/>
        </w:rPr>
      </w:pPr>
      <w:r>
        <w:rPr>
          <w:rFonts w:hint="eastAsia" w:ascii="宋体" w:hAnsi="宋体"/>
          <w:color w:val="auto"/>
          <w:szCs w:val="21"/>
          <w:highlight w:val="none"/>
        </w:rPr>
        <w:t>说明：发包人认为承包人实施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中的有关内容应列入承包人建议书的，应在本页载明。</w:t>
      </w:r>
    </w:p>
    <w:p w14:paraId="6C359336">
      <w:pPr>
        <w:rPr>
          <w:rFonts w:hint="eastAsia" w:ascii="宋体" w:hAnsi="宋体"/>
          <w:color w:val="auto"/>
          <w:szCs w:val="21"/>
          <w:highlight w:val="none"/>
        </w:rPr>
      </w:pPr>
      <w:r>
        <w:rPr>
          <w:rFonts w:ascii="宋体" w:hAnsi="宋体"/>
          <w:color w:val="auto"/>
          <w:szCs w:val="21"/>
          <w:highlight w:val="none"/>
        </w:rPr>
        <w:br w:type="page"/>
      </w:r>
    </w:p>
    <w:p w14:paraId="027925D4">
      <w:pPr>
        <w:pStyle w:val="4"/>
        <w:spacing w:before="63"/>
        <w:jc w:val="center"/>
        <w:rPr>
          <w:rFonts w:hint="eastAsia" w:eastAsia="黑体"/>
          <w:color w:val="auto"/>
          <w:sz w:val="28"/>
          <w:szCs w:val="28"/>
          <w:highlight w:val="none"/>
          <w:lang w:val="en-US" w:eastAsia="zh-CN"/>
        </w:rPr>
      </w:pPr>
      <w:bookmarkStart w:id="3638" w:name="_Toc20496"/>
      <w:bookmarkStart w:id="3639" w:name="_Toc18568_WPSOffice_Level1"/>
      <w:bookmarkStart w:id="3640" w:name="_Toc519085651"/>
      <w:bookmarkStart w:id="3641" w:name="_Toc18607"/>
      <w:bookmarkStart w:id="3642" w:name="_Toc1227"/>
      <w:bookmarkStart w:id="3643" w:name="_Toc16091"/>
      <w:bookmarkStart w:id="3644" w:name="_Toc20483"/>
      <w:bookmarkStart w:id="3645" w:name="_Toc29695"/>
      <w:r>
        <w:rPr>
          <w:rFonts w:hint="eastAsia"/>
          <w:color w:val="auto"/>
          <w:sz w:val="28"/>
          <w:szCs w:val="28"/>
          <w:highlight w:val="none"/>
        </w:rPr>
        <w:t>八</w:t>
      </w:r>
      <w:r>
        <w:rPr>
          <w:color w:val="auto"/>
          <w:sz w:val="28"/>
          <w:szCs w:val="28"/>
          <w:highlight w:val="none"/>
        </w:rPr>
        <w:t>、</w:t>
      </w:r>
      <w:r>
        <w:rPr>
          <w:rFonts w:hint="eastAsia"/>
          <w:color w:val="auto"/>
          <w:sz w:val="28"/>
          <w:szCs w:val="28"/>
          <w:highlight w:val="none"/>
        </w:rPr>
        <w:t>承包人实施</w:t>
      </w:r>
      <w:bookmarkEnd w:id="3638"/>
      <w:bookmarkEnd w:id="3639"/>
      <w:bookmarkEnd w:id="3640"/>
      <w:bookmarkEnd w:id="3641"/>
      <w:bookmarkEnd w:id="3642"/>
      <w:bookmarkEnd w:id="3643"/>
      <w:bookmarkEnd w:id="3644"/>
      <w:r>
        <w:rPr>
          <w:rFonts w:hint="eastAsia"/>
          <w:color w:val="auto"/>
          <w:sz w:val="28"/>
          <w:szCs w:val="28"/>
          <w:highlight w:val="none"/>
          <w:lang w:val="en-US" w:eastAsia="zh-CN"/>
        </w:rPr>
        <w:t>方案</w:t>
      </w:r>
      <w:bookmarkEnd w:id="3645"/>
    </w:p>
    <w:p w14:paraId="0A591A02">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w:t>
      </w:r>
    </w:p>
    <w:p w14:paraId="6B005ED7">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一、 投标人应根据招标文件和对现场的勘察情况，采用文字并结合图表形式，参照中华人民共和国国家标准要求编制本工程的施工实施，其要点如下：</w:t>
      </w:r>
    </w:p>
    <w:p w14:paraId="0E0E7A22">
      <w:pPr>
        <w:outlineLvl w:val="2"/>
        <w:rPr>
          <w:rFonts w:hint="eastAsia"/>
          <w:color w:val="auto"/>
          <w:highlight w:val="none"/>
        </w:rPr>
      </w:pPr>
      <w:bookmarkStart w:id="3646" w:name="_Toc3980785"/>
      <w:bookmarkStart w:id="3647" w:name="_Toc13690"/>
      <w:bookmarkStart w:id="3648" w:name="_Toc10938"/>
      <w:bookmarkStart w:id="3649" w:name="_Toc3981233"/>
      <w:bookmarkStart w:id="3650" w:name="_Toc3749"/>
      <w:bookmarkStart w:id="3651" w:name="_Toc519085652"/>
      <w:bookmarkStart w:id="3652" w:name="_Toc22669"/>
      <w:bookmarkStart w:id="3653" w:name="_Toc6705_WPSOffice_Level2"/>
      <w:r>
        <w:rPr>
          <w:rFonts w:hint="eastAsia"/>
          <w:color w:val="auto"/>
          <w:highlight w:val="none"/>
        </w:rPr>
        <w:t>（一）概述</w:t>
      </w:r>
      <w:bookmarkEnd w:id="3646"/>
      <w:bookmarkEnd w:id="3647"/>
      <w:bookmarkEnd w:id="3648"/>
      <w:bookmarkEnd w:id="3649"/>
      <w:bookmarkEnd w:id="3650"/>
      <w:bookmarkEnd w:id="3651"/>
      <w:bookmarkEnd w:id="3652"/>
      <w:bookmarkEnd w:id="3653"/>
    </w:p>
    <w:p w14:paraId="2091F1EE">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项目简要介绍。</w:t>
      </w:r>
    </w:p>
    <w:p w14:paraId="07A82867">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项目范围。</w:t>
      </w:r>
    </w:p>
    <w:p w14:paraId="13DA8C1D">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项目特点。</w:t>
      </w:r>
    </w:p>
    <w:p w14:paraId="0BAECAC3">
      <w:pPr>
        <w:outlineLvl w:val="2"/>
        <w:rPr>
          <w:rFonts w:hint="eastAsia"/>
          <w:color w:val="auto"/>
          <w:highlight w:val="none"/>
        </w:rPr>
      </w:pPr>
      <w:bookmarkStart w:id="3654" w:name="_Toc3981234"/>
      <w:bookmarkStart w:id="3655" w:name="_Toc6007_WPSOffice_Level2"/>
      <w:bookmarkStart w:id="3656" w:name="_Toc30332"/>
      <w:bookmarkStart w:id="3657" w:name="_Toc519085653"/>
      <w:bookmarkStart w:id="3658" w:name="_Toc10734"/>
      <w:bookmarkStart w:id="3659" w:name="_Toc23201"/>
      <w:bookmarkStart w:id="3660" w:name="_Toc3980786"/>
      <w:bookmarkStart w:id="3661" w:name="_Toc10156"/>
      <w:r>
        <w:rPr>
          <w:rFonts w:hint="eastAsia"/>
          <w:color w:val="auto"/>
          <w:highlight w:val="none"/>
        </w:rPr>
        <w:t>（二）总体实施方案</w:t>
      </w:r>
      <w:bookmarkEnd w:id="3654"/>
      <w:bookmarkEnd w:id="3655"/>
      <w:bookmarkEnd w:id="3656"/>
      <w:bookmarkEnd w:id="3657"/>
      <w:bookmarkEnd w:id="3658"/>
      <w:bookmarkEnd w:id="3659"/>
      <w:bookmarkEnd w:id="3660"/>
      <w:bookmarkEnd w:id="3661"/>
    </w:p>
    <w:p w14:paraId="29BABD33">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项目目标（质量、工期、造价）。</w:t>
      </w:r>
    </w:p>
    <w:p w14:paraId="18BD8B06">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项目实施组织形式。</w:t>
      </w:r>
    </w:p>
    <w:p w14:paraId="6FC7D260">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项目阶段划分。</w:t>
      </w:r>
    </w:p>
    <w:p w14:paraId="5E249126">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项目工作分解结构。</w:t>
      </w:r>
    </w:p>
    <w:p w14:paraId="4334C04C">
      <w:pPr>
        <w:ind w:firstLine="420" w:firstLineChars="200"/>
        <w:rPr>
          <w:rFonts w:hint="eastAsia" w:ascii="宋体" w:hAnsi="宋体"/>
          <w:color w:val="auto"/>
          <w:highlight w:val="none"/>
        </w:rPr>
      </w:pPr>
      <w:r>
        <w:rPr>
          <w:rFonts w:hint="eastAsia"/>
          <w:color w:val="auto"/>
          <w:highlight w:val="none"/>
        </w:rPr>
        <w:t>5</w:t>
      </w:r>
      <w:r>
        <w:rPr>
          <w:rFonts w:hint="eastAsia" w:ascii="宋体" w:hAnsi="宋体"/>
          <w:color w:val="auto"/>
          <w:highlight w:val="none"/>
        </w:rPr>
        <w:t>. 对项目各阶段工作及文件的要求。</w:t>
      </w:r>
    </w:p>
    <w:p w14:paraId="2ADF468B">
      <w:pPr>
        <w:ind w:firstLine="420" w:firstLineChars="200"/>
        <w:rPr>
          <w:rFonts w:hint="eastAsia" w:ascii="宋体" w:hAnsi="宋体"/>
          <w:color w:val="auto"/>
          <w:highlight w:val="none"/>
        </w:rPr>
      </w:pPr>
      <w:r>
        <w:rPr>
          <w:rFonts w:hint="eastAsia"/>
          <w:color w:val="auto"/>
          <w:highlight w:val="none"/>
        </w:rPr>
        <w:t>6</w:t>
      </w:r>
      <w:r>
        <w:rPr>
          <w:rFonts w:hint="eastAsia" w:ascii="宋体" w:hAnsi="宋体"/>
          <w:color w:val="auto"/>
          <w:highlight w:val="none"/>
        </w:rPr>
        <w:t>. 项目分包和采购计划。</w:t>
      </w:r>
    </w:p>
    <w:p w14:paraId="74682B96">
      <w:pPr>
        <w:ind w:firstLine="420" w:firstLineChars="200"/>
        <w:rPr>
          <w:rFonts w:hint="eastAsia" w:ascii="宋体" w:hAnsi="宋体"/>
          <w:color w:val="auto"/>
          <w:highlight w:val="none"/>
        </w:rPr>
      </w:pPr>
      <w:r>
        <w:rPr>
          <w:rFonts w:hint="eastAsia"/>
          <w:color w:val="auto"/>
          <w:highlight w:val="none"/>
        </w:rPr>
        <w:t>7</w:t>
      </w:r>
      <w:r>
        <w:rPr>
          <w:rFonts w:hint="eastAsia" w:ascii="宋体" w:hAnsi="宋体"/>
          <w:color w:val="auto"/>
          <w:highlight w:val="none"/>
        </w:rPr>
        <w:t>. 项目沟通与协调程序。</w:t>
      </w:r>
    </w:p>
    <w:p w14:paraId="78CE816E">
      <w:pPr>
        <w:outlineLvl w:val="2"/>
        <w:rPr>
          <w:rFonts w:hint="eastAsia"/>
          <w:color w:val="auto"/>
          <w:highlight w:val="none"/>
        </w:rPr>
      </w:pPr>
      <w:bookmarkStart w:id="3662" w:name="_Toc519085654"/>
      <w:bookmarkStart w:id="3663" w:name="_Toc3981235"/>
      <w:bookmarkStart w:id="3664" w:name="_Toc26544"/>
      <w:bookmarkStart w:id="3665" w:name="_Toc3980787"/>
      <w:bookmarkStart w:id="3666" w:name="_Toc5334"/>
      <w:bookmarkStart w:id="3667" w:name="_Toc14613"/>
      <w:bookmarkStart w:id="3668" w:name="_Toc24104"/>
      <w:bookmarkStart w:id="3669" w:name="_Toc10644_WPSOffice_Level2"/>
      <w:r>
        <w:rPr>
          <w:rFonts w:hint="eastAsia"/>
          <w:color w:val="auto"/>
          <w:highlight w:val="none"/>
        </w:rPr>
        <w:t>（三）项目实施要点</w:t>
      </w:r>
      <w:bookmarkEnd w:id="3662"/>
      <w:bookmarkEnd w:id="3663"/>
      <w:bookmarkEnd w:id="3664"/>
      <w:bookmarkEnd w:id="3665"/>
      <w:bookmarkEnd w:id="3666"/>
      <w:bookmarkEnd w:id="3667"/>
      <w:bookmarkEnd w:id="3668"/>
      <w:bookmarkEnd w:id="3669"/>
    </w:p>
    <w:p w14:paraId="086A7AB1">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勘察设计实施要点。</w:t>
      </w:r>
    </w:p>
    <w:p w14:paraId="149D09A5">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采购实施要点。</w:t>
      </w:r>
    </w:p>
    <w:p w14:paraId="473A682A">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施工实施要点。</w:t>
      </w:r>
    </w:p>
    <w:p w14:paraId="386E646C">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试运行实施要点。</w:t>
      </w:r>
    </w:p>
    <w:p w14:paraId="0070A16C">
      <w:pPr>
        <w:outlineLvl w:val="2"/>
        <w:rPr>
          <w:rFonts w:hint="eastAsia"/>
          <w:color w:val="auto"/>
          <w:highlight w:val="none"/>
        </w:rPr>
      </w:pPr>
      <w:bookmarkStart w:id="3670" w:name="_Toc5079"/>
      <w:bookmarkStart w:id="3671" w:name="_Toc3981236"/>
      <w:bookmarkStart w:id="3672" w:name="_Toc519085655"/>
      <w:bookmarkStart w:id="3673" w:name="_Toc3980788"/>
      <w:bookmarkStart w:id="3674" w:name="_Toc21487"/>
      <w:bookmarkStart w:id="3675" w:name="_Toc29536_WPSOffice_Level2"/>
      <w:bookmarkStart w:id="3676" w:name="_Toc28745"/>
      <w:bookmarkStart w:id="3677" w:name="_Toc10444"/>
      <w:r>
        <w:rPr>
          <w:rFonts w:hint="eastAsia"/>
          <w:color w:val="auto"/>
          <w:highlight w:val="none"/>
        </w:rPr>
        <w:t>（四）项目管理要点</w:t>
      </w:r>
      <w:bookmarkEnd w:id="3670"/>
      <w:bookmarkEnd w:id="3671"/>
      <w:bookmarkEnd w:id="3672"/>
      <w:bookmarkEnd w:id="3673"/>
      <w:bookmarkEnd w:id="3674"/>
      <w:bookmarkEnd w:id="3675"/>
      <w:bookmarkEnd w:id="3676"/>
      <w:bookmarkEnd w:id="3677"/>
    </w:p>
    <w:p w14:paraId="640A6357">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合同管理要点。</w:t>
      </w:r>
    </w:p>
    <w:p w14:paraId="57A0F3BB">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资源管理要点。</w:t>
      </w:r>
    </w:p>
    <w:p w14:paraId="277DAE66">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质量控制要点。</w:t>
      </w:r>
    </w:p>
    <w:p w14:paraId="04FD0E07">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进度控制要点。</w:t>
      </w:r>
    </w:p>
    <w:p w14:paraId="45071452">
      <w:pPr>
        <w:ind w:firstLine="420" w:firstLineChars="200"/>
        <w:rPr>
          <w:rFonts w:hint="eastAsia" w:ascii="宋体" w:hAnsi="宋体"/>
          <w:color w:val="auto"/>
          <w:highlight w:val="none"/>
        </w:rPr>
      </w:pPr>
      <w:r>
        <w:rPr>
          <w:rFonts w:hint="eastAsia"/>
          <w:color w:val="auto"/>
          <w:highlight w:val="none"/>
        </w:rPr>
        <w:t>5</w:t>
      </w:r>
      <w:r>
        <w:rPr>
          <w:rFonts w:hint="eastAsia" w:ascii="宋体" w:hAnsi="宋体"/>
          <w:color w:val="auto"/>
          <w:highlight w:val="none"/>
        </w:rPr>
        <w:t>. 费用估算及控制要点。</w:t>
      </w:r>
    </w:p>
    <w:p w14:paraId="69DD6561">
      <w:pPr>
        <w:ind w:firstLine="420" w:firstLineChars="200"/>
        <w:rPr>
          <w:rFonts w:hint="eastAsia" w:ascii="宋体" w:hAnsi="宋体"/>
          <w:color w:val="auto"/>
          <w:highlight w:val="none"/>
        </w:rPr>
      </w:pPr>
      <w:r>
        <w:rPr>
          <w:rFonts w:hint="eastAsia"/>
          <w:color w:val="auto"/>
          <w:highlight w:val="none"/>
        </w:rPr>
        <w:t>6</w:t>
      </w:r>
      <w:r>
        <w:rPr>
          <w:rFonts w:hint="eastAsia" w:ascii="宋体" w:hAnsi="宋体"/>
          <w:color w:val="auto"/>
          <w:highlight w:val="none"/>
        </w:rPr>
        <w:t>. 安全管理要点。</w:t>
      </w:r>
    </w:p>
    <w:p w14:paraId="370F8F13">
      <w:pPr>
        <w:ind w:firstLine="420" w:firstLineChars="200"/>
        <w:rPr>
          <w:rFonts w:hint="eastAsia" w:ascii="宋体" w:hAnsi="宋体"/>
          <w:color w:val="auto"/>
          <w:highlight w:val="none"/>
        </w:rPr>
      </w:pPr>
      <w:r>
        <w:rPr>
          <w:rFonts w:hint="eastAsia"/>
          <w:color w:val="auto"/>
          <w:highlight w:val="none"/>
        </w:rPr>
        <w:t>7</w:t>
      </w:r>
      <w:r>
        <w:rPr>
          <w:rFonts w:hint="eastAsia" w:ascii="宋体" w:hAnsi="宋体"/>
          <w:color w:val="auto"/>
          <w:highlight w:val="none"/>
        </w:rPr>
        <w:t>. 职业健康管理要点。</w:t>
      </w:r>
    </w:p>
    <w:p w14:paraId="2A6CE9FF">
      <w:pPr>
        <w:ind w:firstLine="420" w:firstLineChars="200"/>
        <w:rPr>
          <w:rFonts w:hint="eastAsia" w:ascii="宋体" w:hAnsi="宋体"/>
          <w:color w:val="auto"/>
          <w:highlight w:val="none"/>
        </w:rPr>
      </w:pPr>
      <w:r>
        <w:rPr>
          <w:rFonts w:hint="eastAsia"/>
          <w:color w:val="auto"/>
          <w:highlight w:val="none"/>
        </w:rPr>
        <w:t>8</w:t>
      </w:r>
      <w:r>
        <w:rPr>
          <w:rFonts w:hint="eastAsia" w:ascii="宋体" w:hAnsi="宋体"/>
          <w:color w:val="auto"/>
          <w:highlight w:val="none"/>
        </w:rPr>
        <w:t>．环境管理要点。</w:t>
      </w:r>
    </w:p>
    <w:p w14:paraId="60EBA727">
      <w:pPr>
        <w:ind w:firstLine="420" w:firstLineChars="200"/>
        <w:rPr>
          <w:rFonts w:hint="eastAsia" w:ascii="宋体" w:hAnsi="宋体"/>
          <w:color w:val="auto"/>
          <w:highlight w:val="none"/>
        </w:rPr>
      </w:pPr>
      <w:r>
        <w:rPr>
          <w:rFonts w:hint="eastAsia"/>
          <w:color w:val="auto"/>
          <w:highlight w:val="none"/>
        </w:rPr>
        <w:t>9</w:t>
      </w:r>
      <w:r>
        <w:rPr>
          <w:rFonts w:hint="eastAsia" w:ascii="宋体" w:hAnsi="宋体"/>
          <w:color w:val="auto"/>
          <w:highlight w:val="none"/>
        </w:rPr>
        <w:t>. 沟通和协调管理要点。</w:t>
      </w:r>
    </w:p>
    <w:p w14:paraId="734BE50F">
      <w:pPr>
        <w:ind w:firstLine="420" w:firstLineChars="200"/>
        <w:rPr>
          <w:rFonts w:hint="eastAsia" w:ascii="宋体" w:hAnsi="宋体"/>
          <w:color w:val="auto"/>
          <w:highlight w:val="none"/>
        </w:rPr>
      </w:pPr>
      <w:r>
        <w:rPr>
          <w:rFonts w:hint="eastAsia"/>
          <w:color w:val="auto"/>
          <w:highlight w:val="none"/>
        </w:rPr>
        <w:t>10</w:t>
      </w:r>
      <w:r>
        <w:rPr>
          <w:rFonts w:hint="eastAsia" w:ascii="宋体" w:hAnsi="宋体"/>
          <w:color w:val="auto"/>
          <w:highlight w:val="none"/>
        </w:rPr>
        <w:t>. 财务管理要点。</w:t>
      </w:r>
    </w:p>
    <w:p w14:paraId="33F49C80">
      <w:pPr>
        <w:ind w:firstLine="420" w:firstLineChars="200"/>
        <w:rPr>
          <w:rFonts w:hint="eastAsia" w:ascii="宋体" w:hAnsi="宋体"/>
          <w:color w:val="auto"/>
          <w:highlight w:val="none"/>
        </w:rPr>
      </w:pPr>
      <w:r>
        <w:rPr>
          <w:rFonts w:hint="eastAsia"/>
          <w:color w:val="auto"/>
          <w:highlight w:val="none"/>
        </w:rPr>
        <w:t>11</w:t>
      </w:r>
      <w:r>
        <w:rPr>
          <w:rFonts w:hint="eastAsia" w:ascii="宋体" w:hAnsi="宋体"/>
          <w:color w:val="auto"/>
          <w:highlight w:val="none"/>
        </w:rPr>
        <w:t>. 风险管理要点。</w:t>
      </w:r>
    </w:p>
    <w:p w14:paraId="15C7C29E">
      <w:pPr>
        <w:ind w:firstLine="420" w:firstLineChars="200"/>
        <w:rPr>
          <w:rFonts w:hint="eastAsia" w:ascii="宋体" w:hAnsi="宋体"/>
          <w:color w:val="auto"/>
          <w:highlight w:val="none"/>
        </w:rPr>
      </w:pPr>
      <w:r>
        <w:rPr>
          <w:rFonts w:hint="eastAsia"/>
          <w:color w:val="auto"/>
          <w:highlight w:val="none"/>
        </w:rPr>
        <w:t>12</w:t>
      </w:r>
      <w:r>
        <w:rPr>
          <w:rFonts w:hint="eastAsia" w:ascii="宋体" w:hAnsi="宋体"/>
          <w:color w:val="auto"/>
          <w:highlight w:val="none"/>
        </w:rPr>
        <w:t>. 文件及信息管理要点。</w:t>
      </w:r>
    </w:p>
    <w:p w14:paraId="201C648F">
      <w:pPr>
        <w:ind w:firstLine="420" w:firstLineChars="200"/>
        <w:rPr>
          <w:rFonts w:hint="eastAsia" w:ascii="宋体" w:hAnsi="宋体"/>
          <w:color w:val="auto"/>
          <w:highlight w:val="none"/>
        </w:rPr>
      </w:pPr>
      <w:r>
        <w:rPr>
          <w:rFonts w:hint="eastAsia"/>
          <w:color w:val="auto"/>
          <w:highlight w:val="none"/>
        </w:rPr>
        <w:t>13</w:t>
      </w:r>
      <w:r>
        <w:rPr>
          <w:rFonts w:hint="eastAsia" w:ascii="宋体" w:hAnsi="宋体"/>
          <w:color w:val="auto"/>
          <w:highlight w:val="none"/>
        </w:rPr>
        <w:t>. 报告制度。</w:t>
      </w:r>
    </w:p>
    <w:p w14:paraId="7A99DE67">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二．实施计划除采用文字表述外可附下列图表，图表及格式要求附后。下述表格应按照章节内容，严格按给定的格式附在相应的章节中。</w:t>
      </w:r>
    </w:p>
    <w:p w14:paraId="0156D014">
      <w:pPr>
        <w:spacing w:line="420" w:lineRule="exact"/>
        <w:ind w:firstLine="630" w:firstLineChars="300"/>
        <w:rPr>
          <w:rFonts w:hint="eastAsia" w:ascii="宋体" w:hAnsi="宋体"/>
          <w:color w:val="auto"/>
          <w:szCs w:val="21"/>
          <w:highlight w:val="none"/>
        </w:rPr>
      </w:pPr>
      <w:bookmarkStart w:id="3678" w:name="_Toc18765_WPSOffice_Level2"/>
      <w:bookmarkStart w:id="3679" w:name="_Toc30984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一</w:t>
      </w:r>
      <w:r>
        <w:rPr>
          <w:rFonts w:hint="eastAsia" w:ascii="宋体" w:hAnsi="宋体"/>
          <w:color w:val="auto"/>
          <w:szCs w:val="21"/>
          <w:highlight w:val="none"/>
        </w:rPr>
        <w:t xml:space="preserve">  劳动力计划表</w:t>
      </w:r>
      <w:bookmarkEnd w:id="3678"/>
      <w:bookmarkEnd w:id="3679"/>
    </w:p>
    <w:p w14:paraId="4AEB95A5">
      <w:pPr>
        <w:spacing w:line="420" w:lineRule="exact"/>
        <w:ind w:firstLine="630" w:firstLineChars="300"/>
        <w:rPr>
          <w:rFonts w:hint="eastAsia" w:ascii="宋体" w:hAnsi="宋体"/>
          <w:color w:val="auto"/>
          <w:szCs w:val="21"/>
          <w:highlight w:val="none"/>
        </w:rPr>
      </w:pPr>
      <w:bookmarkStart w:id="3680" w:name="_Toc23924_WPSOffice_Level2"/>
      <w:bookmarkStart w:id="3681" w:name="_Toc14664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二</w:t>
      </w:r>
      <w:r>
        <w:rPr>
          <w:rFonts w:hint="eastAsia" w:ascii="宋体" w:hAnsi="宋体"/>
          <w:color w:val="auto"/>
          <w:szCs w:val="21"/>
          <w:highlight w:val="none"/>
        </w:rPr>
        <w:t xml:space="preserve">  计划开、竣工日期和施工进度网络图</w:t>
      </w:r>
      <w:bookmarkEnd w:id="3680"/>
      <w:bookmarkEnd w:id="3681"/>
    </w:p>
    <w:p w14:paraId="3304BFE7">
      <w:pPr>
        <w:spacing w:line="420" w:lineRule="exact"/>
        <w:ind w:firstLine="630" w:firstLineChars="300"/>
        <w:rPr>
          <w:rFonts w:hint="eastAsia" w:ascii="宋体" w:hAnsi="宋体"/>
          <w:color w:val="auto"/>
          <w:szCs w:val="21"/>
          <w:highlight w:val="none"/>
        </w:rPr>
      </w:pPr>
      <w:bookmarkStart w:id="3682" w:name="_Toc20330_WPSOffice_Level2"/>
      <w:bookmarkStart w:id="3683" w:name="_Toc127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三</w:t>
      </w:r>
      <w:r>
        <w:rPr>
          <w:rFonts w:hint="eastAsia" w:ascii="宋体" w:hAnsi="宋体"/>
          <w:color w:val="auto"/>
          <w:szCs w:val="21"/>
          <w:highlight w:val="none"/>
        </w:rPr>
        <w:t xml:space="preserve">  施工总平面图</w:t>
      </w:r>
      <w:bookmarkEnd w:id="3682"/>
      <w:bookmarkEnd w:id="3683"/>
    </w:p>
    <w:p w14:paraId="406FCC2B">
      <w:pPr>
        <w:spacing w:line="420" w:lineRule="exact"/>
        <w:ind w:firstLine="630" w:firstLineChars="300"/>
        <w:rPr>
          <w:rFonts w:hint="eastAsia" w:ascii="宋体" w:hAnsi="宋体"/>
          <w:color w:val="auto"/>
          <w:szCs w:val="21"/>
          <w:highlight w:val="none"/>
        </w:rPr>
      </w:pPr>
      <w:bookmarkStart w:id="3684" w:name="_Toc21353_WPSOffice_Level2"/>
      <w:bookmarkStart w:id="3685" w:name="_Toc17724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四</w:t>
      </w:r>
      <w:r>
        <w:rPr>
          <w:rFonts w:hint="eastAsia" w:ascii="宋体" w:hAnsi="宋体"/>
          <w:color w:val="auto"/>
          <w:szCs w:val="21"/>
          <w:highlight w:val="none"/>
        </w:rPr>
        <w:t xml:space="preserve">  临时用地表</w:t>
      </w:r>
      <w:bookmarkEnd w:id="3684"/>
      <w:bookmarkEnd w:id="3685"/>
    </w:p>
    <w:p w14:paraId="10EDCA04">
      <w:pPr>
        <w:ind w:firstLine="420" w:firstLineChars="200"/>
        <w:rPr>
          <w:rFonts w:hint="eastAsia" w:ascii="宋体" w:hAnsi="宋体"/>
          <w:color w:val="auto"/>
          <w:highlight w:val="none"/>
        </w:rPr>
      </w:pPr>
    </w:p>
    <w:p w14:paraId="0021B5DE">
      <w:pPr>
        <w:rPr>
          <w:rFonts w:hint="eastAsia" w:ascii="宋体" w:hAnsi="宋体"/>
          <w:color w:val="auto"/>
          <w:highlight w:val="none"/>
        </w:rPr>
      </w:pPr>
    </w:p>
    <w:p w14:paraId="7843C4F0">
      <w:pPr>
        <w:rPr>
          <w:rFonts w:hint="eastAsia" w:ascii="宋体" w:hAnsi="宋体"/>
          <w:color w:val="auto"/>
          <w:highlight w:val="none"/>
        </w:rPr>
      </w:pPr>
      <w:r>
        <w:rPr>
          <w:rFonts w:hint="eastAsia" w:ascii="宋体" w:hAnsi="宋体"/>
          <w:color w:val="auto"/>
          <w:highlight w:val="none"/>
        </w:rPr>
        <w:t>说明：发包人认为上述内容应列入承包人建议书的，应在“投标文件格式”中“承包人建议书”中载明。</w:t>
      </w:r>
    </w:p>
    <w:p w14:paraId="1AE147BC">
      <w:pPr>
        <w:rPr>
          <w:rFonts w:hint="eastAsia" w:ascii="宋体" w:hAnsi="宋体"/>
          <w:color w:val="auto"/>
          <w:highlight w:val="none"/>
        </w:rPr>
      </w:pPr>
      <w:r>
        <w:rPr>
          <w:rFonts w:hint="eastAsia" w:ascii="宋体" w:hAnsi="宋体"/>
          <w:color w:val="auto"/>
          <w:highlight w:val="none"/>
        </w:rPr>
        <w:br w:type="page"/>
      </w:r>
    </w:p>
    <w:p w14:paraId="4B15FBE2">
      <w:pPr>
        <w:outlineLvl w:val="2"/>
        <w:rPr>
          <w:rFonts w:hint="eastAsia"/>
          <w:color w:val="auto"/>
          <w:highlight w:val="none"/>
        </w:rPr>
      </w:pPr>
      <w:bookmarkStart w:id="3686" w:name="_Toc519085658"/>
      <w:bookmarkStart w:id="3687" w:name="_Toc7853"/>
      <w:bookmarkStart w:id="3688" w:name="_Toc456173553"/>
      <w:bookmarkStart w:id="3689" w:name="_Toc1590"/>
      <w:bookmarkStart w:id="3690" w:name="_Toc5300_WPSOffice_Level2"/>
      <w:bookmarkStart w:id="3691" w:name="_Toc144974867"/>
      <w:bookmarkStart w:id="3692" w:name="_Toc221952101"/>
      <w:bookmarkStart w:id="3693" w:name="_Toc168476329"/>
      <w:bookmarkStart w:id="3694" w:name="_Toc168475926"/>
      <w:r>
        <w:rPr>
          <w:color w:val="auto"/>
          <w:highlight w:val="none"/>
        </w:rPr>
        <w:t>附表</w:t>
      </w:r>
      <w:r>
        <w:rPr>
          <w:rFonts w:hint="eastAsia"/>
          <w:color w:val="auto"/>
          <w:highlight w:val="none"/>
          <w:lang w:val="en-US" w:eastAsia="zh-CN"/>
        </w:rPr>
        <w:t>一</w:t>
      </w:r>
      <w:r>
        <w:rPr>
          <w:color w:val="auto"/>
          <w:highlight w:val="none"/>
        </w:rPr>
        <w:t>：</w:t>
      </w:r>
      <w:r>
        <w:rPr>
          <w:rFonts w:hint="eastAsia"/>
          <w:color w:val="auto"/>
          <w:highlight w:val="none"/>
        </w:rPr>
        <w:t>拟投入本项目的劳动力计划表</w:t>
      </w:r>
      <w:bookmarkEnd w:id="3686"/>
      <w:bookmarkEnd w:id="3687"/>
      <w:bookmarkEnd w:id="3688"/>
      <w:bookmarkEnd w:id="3689"/>
      <w:bookmarkEnd w:id="3690"/>
    </w:p>
    <w:bookmarkEnd w:id="3691"/>
    <w:bookmarkEnd w:id="3692"/>
    <w:bookmarkEnd w:id="3693"/>
    <w:bookmarkEnd w:id="3694"/>
    <w:p w14:paraId="0C6766EA">
      <w:pPr>
        <w:spacing w:line="440" w:lineRule="exact"/>
        <w:ind w:right="200"/>
        <w:jc w:val="right"/>
        <w:rPr>
          <w:rFonts w:eastAsia="黑体"/>
          <w:color w:val="auto"/>
          <w:szCs w:val="21"/>
          <w:highlight w:val="none"/>
        </w:rPr>
      </w:pPr>
      <w:bookmarkStart w:id="3695" w:name="_Toc221952102"/>
      <w:r>
        <w:rPr>
          <w:rFonts w:eastAsia="黑体"/>
          <w:color w:val="auto"/>
          <w:szCs w:val="21"/>
          <w:highlight w:val="none"/>
        </w:rPr>
        <w:t>单位：人</w:t>
      </w:r>
      <w:bookmarkEnd w:id="3695"/>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420"/>
        <w:gridCol w:w="1161"/>
        <w:gridCol w:w="1161"/>
        <w:gridCol w:w="1161"/>
        <w:gridCol w:w="1161"/>
        <w:gridCol w:w="1161"/>
        <w:gridCol w:w="1159"/>
      </w:tblGrid>
      <w:tr w14:paraId="0536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28B60D2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696" w:name="_Toc221952103"/>
            <w:r>
              <w:rPr>
                <w:rFonts w:ascii="Calibri" w:hAnsi="Calibri" w:eastAsia="宋体" w:cs="Times New Roman"/>
                <w:color w:val="auto"/>
                <w:highlight w:val="none"/>
              </w:rPr>
              <w:t>工种</w:t>
            </w:r>
            <w:bookmarkEnd w:id="3696"/>
          </w:p>
        </w:tc>
        <w:tc>
          <w:tcPr>
            <w:tcW w:w="8384" w:type="dxa"/>
            <w:gridSpan w:val="7"/>
            <w:noWrap w:val="0"/>
            <w:vAlign w:val="center"/>
          </w:tcPr>
          <w:p w14:paraId="01F9D4D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697" w:name="_Toc221952104"/>
            <w:r>
              <w:rPr>
                <w:rFonts w:ascii="Calibri" w:hAnsi="Calibri" w:eastAsia="宋体" w:cs="Times New Roman"/>
                <w:color w:val="auto"/>
                <w:highlight w:val="none"/>
              </w:rPr>
              <w:t>按工程阶段投入劳动力情况</w:t>
            </w:r>
            <w:bookmarkEnd w:id="3697"/>
          </w:p>
        </w:tc>
      </w:tr>
      <w:tr w14:paraId="79BE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14FB98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center"/>
          </w:tcPr>
          <w:p w14:paraId="35C628A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46B2403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EB5313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741546E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CC1DAF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63B69E6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center"/>
          </w:tcPr>
          <w:p w14:paraId="343A040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71F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727E713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center"/>
          </w:tcPr>
          <w:p w14:paraId="2F203A2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C69B00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B83260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72458E9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2CE4D0A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86343F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center"/>
          </w:tcPr>
          <w:p w14:paraId="5DE3EA6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7F1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8039CB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7B836F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C209FA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560CC6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3BFAA6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8008C1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1BF015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ACCA80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210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28C4C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0D3F70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8364F5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D0C3DD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05E88C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A72795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EA0127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697DED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824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C1CBED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70255EE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B0D73F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3F96BE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8DD0D4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0F3B3B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77C22A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4377A38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EF1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712A12E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7F1486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F3DB8E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FD020B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A1F6BA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1E2E47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EE910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39F2E64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A68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538AB3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2831012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7A200C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D435B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DE1F65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CF956C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EAB987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0B001F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C30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3AA802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AE302F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88E85C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BDD362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6D574F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51343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0146C6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8E1DBE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099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51C6D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B49029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CD09E9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B45B0C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7CAEFA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EDD30C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07036E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0E81F82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9E0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3E1F51E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727454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EEE756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8BD75C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925740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C412E2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383CC5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5BBD654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6BA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11BE70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DB8CF0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928015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776D86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7CB910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24EB03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AF98BB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01C4C21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BBC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524466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7AA4D6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8C1919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466B6F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069F84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534AC4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F6A4B5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3B9300B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751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3A7159C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20E8B6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0C9B74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ABC799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711512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272CA5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4DE34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34435F3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8D1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02F24B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7A67E2F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9D5A0C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8FF8F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612290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0C5979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03C7FB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12A723A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66D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98836E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0038704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1325BF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FCE81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01F44C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7F0FA3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C0B02E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5CE864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6F0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510744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1F86A2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5AD36F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423E1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CA6565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C0C08B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4808DC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5C9CF25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6BE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2031C1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7C1A28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081A60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248433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4510DD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E79235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CAE752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CA3464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AEC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D9CD39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036FB0F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FA8430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E9F0D0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D886D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A45174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BD08A4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DE6969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586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7FE8BF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442A3AB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364A87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B6A85D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C324E3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3F8EFC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8710F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0076A16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388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0268AFA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2082E57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C91E21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9E91D8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DA1B59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2C8D98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B5F493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DD516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546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DA4DAE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B18ABA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F6A929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EA3F89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147DED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C0CF43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D007F5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5A6AD8C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862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7D06333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4EDEC7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A0DD78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5017AF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CF9C08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235856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CB53A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32092D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216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02C0267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2AD0FD2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437A8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5E1F4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CF7E0C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7B54C4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5BA065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0888BDD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BA1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188C4B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018505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37565F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5FD650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8322CE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4914B2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7A397F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48A9683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A71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26DAA5C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F08F48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F558F0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AE4EF3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B926D6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27D9C2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AD1E57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C18047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bl>
    <w:p w14:paraId="7C020E03">
      <w:pPr>
        <w:spacing w:line="380" w:lineRule="atLeast"/>
        <w:jc w:val="center"/>
        <w:rPr>
          <w:rFonts w:hint="eastAsia"/>
          <w:color w:val="auto"/>
          <w:highlight w:val="none"/>
        </w:rPr>
      </w:pPr>
    </w:p>
    <w:p w14:paraId="7360E9BA">
      <w:pPr>
        <w:spacing w:line="380" w:lineRule="atLeast"/>
        <w:jc w:val="center"/>
        <w:rPr>
          <w:rFonts w:hint="eastAsia"/>
          <w:color w:val="auto"/>
          <w:highlight w:val="none"/>
        </w:rPr>
      </w:pPr>
      <w:r>
        <w:rPr>
          <w:color w:val="auto"/>
          <w:highlight w:val="none"/>
        </w:rPr>
        <w:br w:type="page"/>
      </w:r>
    </w:p>
    <w:p w14:paraId="0C4C520C">
      <w:pPr>
        <w:outlineLvl w:val="2"/>
        <w:rPr>
          <w:color w:val="auto"/>
          <w:highlight w:val="none"/>
        </w:rPr>
      </w:pPr>
      <w:bookmarkStart w:id="3698" w:name="_Toc32378"/>
      <w:bookmarkStart w:id="3699" w:name="_Toc168476330"/>
      <w:bookmarkStart w:id="3700" w:name="_Toc519085659"/>
      <w:bookmarkStart w:id="3701" w:name="_Toc144974868"/>
      <w:bookmarkStart w:id="3702" w:name="_Toc168475927"/>
      <w:bookmarkStart w:id="3703" w:name="_Toc2406_WPSOffice_Level2"/>
      <w:bookmarkStart w:id="3704" w:name="_Toc221952105"/>
      <w:bookmarkStart w:id="3705" w:name="_Toc456173554"/>
      <w:bookmarkStart w:id="3706" w:name="_Toc29376"/>
      <w:r>
        <w:rPr>
          <w:color w:val="auto"/>
          <w:highlight w:val="none"/>
        </w:rPr>
        <w:t>附表</w:t>
      </w:r>
      <w:r>
        <w:rPr>
          <w:rFonts w:hint="eastAsia"/>
          <w:color w:val="auto"/>
          <w:highlight w:val="none"/>
          <w:lang w:val="en-US" w:eastAsia="zh-CN"/>
        </w:rPr>
        <w:t>二</w:t>
      </w:r>
      <w:r>
        <w:rPr>
          <w:color w:val="auto"/>
          <w:highlight w:val="none"/>
        </w:rPr>
        <w:t>：计划开</w:t>
      </w:r>
      <w:r>
        <w:rPr>
          <w:rFonts w:hint="eastAsia"/>
          <w:color w:val="auto"/>
          <w:highlight w:val="none"/>
        </w:rPr>
        <w:t>工日期</w:t>
      </w:r>
      <w:r>
        <w:rPr>
          <w:color w:val="auto"/>
          <w:highlight w:val="none"/>
        </w:rPr>
        <w:t>、</w:t>
      </w:r>
      <w:r>
        <w:rPr>
          <w:rFonts w:hint="eastAsia"/>
          <w:color w:val="auto"/>
          <w:highlight w:val="none"/>
        </w:rPr>
        <w:t>完工</w:t>
      </w:r>
      <w:r>
        <w:rPr>
          <w:color w:val="auto"/>
          <w:highlight w:val="none"/>
        </w:rPr>
        <w:t>日期和施工进度网络图</w:t>
      </w:r>
      <w:bookmarkEnd w:id="3698"/>
      <w:bookmarkEnd w:id="3699"/>
      <w:bookmarkEnd w:id="3700"/>
      <w:bookmarkEnd w:id="3701"/>
      <w:bookmarkEnd w:id="3702"/>
      <w:bookmarkEnd w:id="3703"/>
      <w:bookmarkEnd w:id="3704"/>
      <w:bookmarkEnd w:id="3705"/>
      <w:bookmarkEnd w:id="3706"/>
      <w:bookmarkStart w:id="3707" w:name="_Toc3980789"/>
      <w:bookmarkStart w:id="3708" w:name="_Toc3981237"/>
      <w:bookmarkStart w:id="3709" w:name="_Toc221952106"/>
      <w:bookmarkStart w:id="3710" w:name="_Toc21003"/>
    </w:p>
    <w:p w14:paraId="56E420B3">
      <w:pPr>
        <w:rPr>
          <w:color w:val="auto"/>
          <w:highlight w:val="none"/>
        </w:rPr>
      </w:pPr>
      <w:r>
        <w:rPr>
          <w:color w:val="auto"/>
          <w:highlight w:val="none"/>
        </w:rPr>
        <w:t>1. 投标人应递交</w:t>
      </w:r>
      <w:r>
        <w:rPr>
          <w:rFonts w:hint="eastAsia"/>
          <w:color w:val="auto"/>
          <w:highlight w:val="none"/>
        </w:rPr>
        <w:t>设计、</w:t>
      </w:r>
      <w:r>
        <w:rPr>
          <w:color w:val="auto"/>
          <w:highlight w:val="none"/>
        </w:rPr>
        <w:t>施工进度网络图或施工进度表，说明按招标文件要求的计划工期进行施工的各个关键日期。</w:t>
      </w:r>
      <w:bookmarkEnd w:id="3707"/>
      <w:bookmarkEnd w:id="3708"/>
      <w:bookmarkEnd w:id="3709"/>
      <w:bookmarkEnd w:id="3710"/>
    </w:p>
    <w:p w14:paraId="44951262">
      <w:pPr>
        <w:rPr>
          <w:color w:val="auto"/>
          <w:highlight w:val="none"/>
        </w:rPr>
      </w:pPr>
      <w:bookmarkStart w:id="3711" w:name="_Toc221952107"/>
      <w:r>
        <w:rPr>
          <w:color w:val="auto"/>
          <w:highlight w:val="none"/>
        </w:rPr>
        <w:t>2. 施工进度表可采用</w:t>
      </w:r>
      <w:r>
        <w:rPr>
          <w:rFonts w:hint="eastAsia"/>
          <w:color w:val="auto"/>
          <w:highlight w:val="none"/>
        </w:rPr>
        <w:t xml:space="preserve"> </w:t>
      </w:r>
      <w:r>
        <w:rPr>
          <w:rFonts w:hint="eastAsia"/>
          <w:color w:val="auto"/>
          <w:highlight w:val="none"/>
          <w:u w:val="single"/>
        </w:rPr>
        <w:t xml:space="preserve">                              </w:t>
      </w:r>
      <w:r>
        <w:rPr>
          <w:color w:val="auto"/>
          <w:highlight w:val="none"/>
        </w:rPr>
        <w:t>网络图（或横道图）表示。</w:t>
      </w:r>
      <w:bookmarkEnd w:id="3711"/>
    </w:p>
    <w:p w14:paraId="4F222F2A">
      <w:pPr>
        <w:spacing w:line="440" w:lineRule="exact"/>
        <w:rPr>
          <w:color w:val="auto"/>
          <w:sz w:val="20"/>
          <w:szCs w:val="20"/>
          <w:highlight w:val="none"/>
        </w:rPr>
      </w:pPr>
    </w:p>
    <w:p w14:paraId="36CB4AEA">
      <w:pPr>
        <w:spacing w:line="440" w:lineRule="exact"/>
        <w:rPr>
          <w:rFonts w:eastAsia="黑体"/>
          <w:color w:val="auto"/>
          <w:sz w:val="20"/>
          <w:szCs w:val="20"/>
          <w:highlight w:val="none"/>
        </w:rPr>
      </w:pPr>
    </w:p>
    <w:p w14:paraId="0ADC6F7D">
      <w:pPr>
        <w:spacing w:line="440" w:lineRule="exact"/>
        <w:rPr>
          <w:rFonts w:hint="eastAsia" w:eastAsia="黑体"/>
          <w:color w:val="auto"/>
          <w:sz w:val="20"/>
          <w:szCs w:val="20"/>
          <w:highlight w:val="none"/>
        </w:rPr>
      </w:pPr>
    </w:p>
    <w:p w14:paraId="41AF39A5">
      <w:pPr>
        <w:spacing w:line="440" w:lineRule="exact"/>
        <w:rPr>
          <w:rFonts w:hint="eastAsia" w:eastAsia="黑体"/>
          <w:color w:val="auto"/>
          <w:sz w:val="20"/>
          <w:szCs w:val="20"/>
          <w:highlight w:val="none"/>
        </w:rPr>
      </w:pPr>
    </w:p>
    <w:p w14:paraId="323751F8">
      <w:pPr>
        <w:spacing w:line="440" w:lineRule="exact"/>
        <w:rPr>
          <w:rFonts w:hint="eastAsia" w:eastAsia="黑体"/>
          <w:color w:val="auto"/>
          <w:sz w:val="20"/>
          <w:szCs w:val="20"/>
          <w:highlight w:val="none"/>
        </w:rPr>
      </w:pPr>
    </w:p>
    <w:p w14:paraId="0D09D2EE">
      <w:pPr>
        <w:spacing w:line="440" w:lineRule="exact"/>
        <w:rPr>
          <w:rFonts w:hint="eastAsia" w:eastAsia="黑体"/>
          <w:color w:val="auto"/>
          <w:sz w:val="20"/>
          <w:szCs w:val="20"/>
          <w:highlight w:val="none"/>
        </w:rPr>
      </w:pPr>
    </w:p>
    <w:p w14:paraId="1133AF63">
      <w:pPr>
        <w:spacing w:line="440" w:lineRule="exact"/>
        <w:rPr>
          <w:rFonts w:hint="eastAsia" w:eastAsia="黑体"/>
          <w:color w:val="auto"/>
          <w:sz w:val="20"/>
          <w:szCs w:val="20"/>
          <w:highlight w:val="none"/>
        </w:rPr>
      </w:pPr>
    </w:p>
    <w:p w14:paraId="51485DEC">
      <w:pPr>
        <w:spacing w:line="440" w:lineRule="exact"/>
        <w:rPr>
          <w:rFonts w:hint="eastAsia" w:eastAsia="黑体"/>
          <w:color w:val="auto"/>
          <w:sz w:val="20"/>
          <w:szCs w:val="20"/>
          <w:highlight w:val="none"/>
        </w:rPr>
      </w:pPr>
    </w:p>
    <w:p w14:paraId="51790477">
      <w:pPr>
        <w:spacing w:line="440" w:lineRule="exact"/>
        <w:rPr>
          <w:rFonts w:hint="eastAsia" w:eastAsia="黑体"/>
          <w:color w:val="auto"/>
          <w:sz w:val="20"/>
          <w:szCs w:val="20"/>
          <w:highlight w:val="none"/>
        </w:rPr>
      </w:pPr>
    </w:p>
    <w:p w14:paraId="483ACF9A">
      <w:pPr>
        <w:spacing w:line="440" w:lineRule="exact"/>
        <w:rPr>
          <w:rFonts w:hint="eastAsia" w:eastAsia="黑体"/>
          <w:color w:val="auto"/>
          <w:sz w:val="20"/>
          <w:szCs w:val="20"/>
          <w:highlight w:val="none"/>
        </w:rPr>
      </w:pPr>
    </w:p>
    <w:p w14:paraId="5AF3C795">
      <w:pPr>
        <w:spacing w:line="440" w:lineRule="exact"/>
        <w:rPr>
          <w:rFonts w:hint="eastAsia" w:eastAsia="黑体"/>
          <w:color w:val="auto"/>
          <w:sz w:val="20"/>
          <w:szCs w:val="20"/>
          <w:highlight w:val="none"/>
        </w:rPr>
      </w:pPr>
    </w:p>
    <w:p w14:paraId="5B440D1E">
      <w:pPr>
        <w:spacing w:line="440" w:lineRule="exact"/>
        <w:rPr>
          <w:rFonts w:hint="eastAsia" w:eastAsia="黑体"/>
          <w:color w:val="auto"/>
          <w:sz w:val="20"/>
          <w:szCs w:val="20"/>
          <w:highlight w:val="none"/>
        </w:rPr>
      </w:pPr>
    </w:p>
    <w:p w14:paraId="7F5544AA">
      <w:pPr>
        <w:spacing w:line="440" w:lineRule="exact"/>
        <w:rPr>
          <w:rFonts w:hint="eastAsia" w:eastAsia="黑体"/>
          <w:color w:val="auto"/>
          <w:sz w:val="20"/>
          <w:szCs w:val="20"/>
          <w:highlight w:val="none"/>
        </w:rPr>
      </w:pPr>
    </w:p>
    <w:p w14:paraId="0BDFAEBB">
      <w:pPr>
        <w:spacing w:line="440" w:lineRule="exact"/>
        <w:rPr>
          <w:rFonts w:hint="eastAsia" w:eastAsia="黑体"/>
          <w:color w:val="auto"/>
          <w:sz w:val="20"/>
          <w:szCs w:val="20"/>
          <w:highlight w:val="none"/>
        </w:rPr>
      </w:pPr>
    </w:p>
    <w:p w14:paraId="2A25B62F">
      <w:pPr>
        <w:spacing w:line="440" w:lineRule="exact"/>
        <w:rPr>
          <w:rFonts w:hint="eastAsia" w:eastAsia="黑体"/>
          <w:color w:val="auto"/>
          <w:sz w:val="20"/>
          <w:szCs w:val="20"/>
          <w:highlight w:val="none"/>
        </w:rPr>
      </w:pPr>
    </w:p>
    <w:p w14:paraId="504148F7">
      <w:pPr>
        <w:spacing w:line="440" w:lineRule="exact"/>
        <w:rPr>
          <w:rFonts w:hint="eastAsia" w:eastAsia="黑体"/>
          <w:color w:val="auto"/>
          <w:sz w:val="20"/>
          <w:szCs w:val="20"/>
          <w:highlight w:val="none"/>
        </w:rPr>
      </w:pPr>
    </w:p>
    <w:p w14:paraId="5D273778">
      <w:pPr>
        <w:spacing w:line="440" w:lineRule="exact"/>
        <w:rPr>
          <w:rFonts w:hint="eastAsia" w:eastAsia="黑体"/>
          <w:color w:val="auto"/>
          <w:sz w:val="20"/>
          <w:szCs w:val="20"/>
          <w:highlight w:val="none"/>
        </w:rPr>
      </w:pPr>
    </w:p>
    <w:p w14:paraId="6B9105DE">
      <w:pPr>
        <w:spacing w:line="440" w:lineRule="exact"/>
        <w:rPr>
          <w:rFonts w:hint="eastAsia" w:eastAsia="黑体"/>
          <w:color w:val="auto"/>
          <w:sz w:val="20"/>
          <w:szCs w:val="20"/>
          <w:highlight w:val="none"/>
        </w:rPr>
      </w:pPr>
    </w:p>
    <w:p w14:paraId="0E402954">
      <w:pPr>
        <w:spacing w:line="440" w:lineRule="exact"/>
        <w:rPr>
          <w:rFonts w:hint="eastAsia" w:eastAsia="黑体"/>
          <w:color w:val="auto"/>
          <w:sz w:val="20"/>
          <w:szCs w:val="20"/>
          <w:highlight w:val="none"/>
        </w:rPr>
      </w:pPr>
    </w:p>
    <w:p w14:paraId="248ABAC4">
      <w:pPr>
        <w:spacing w:line="440" w:lineRule="exact"/>
        <w:rPr>
          <w:rFonts w:hint="eastAsia" w:eastAsia="黑体"/>
          <w:color w:val="auto"/>
          <w:sz w:val="20"/>
          <w:szCs w:val="20"/>
          <w:highlight w:val="none"/>
        </w:rPr>
      </w:pPr>
    </w:p>
    <w:p w14:paraId="67A63B59">
      <w:pPr>
        <w:spacing w:line="440" w:lineRule="exact"/>
        <w:rPr>
          <w:rFonts w:hint="eastAsia" w:eastAsia="黑体"/>
          <w:color w:val="auto"/>
          <w:sz w:val="20"/>
          <w:szCs w:val="20"/>
          <w:highlight w:val="none"/>
        </w:rPr>
      </w:pPr>
    </w:p>
    <w:p w14:paraId="36E38303">
      <w:pPr>
        <w:spacing w:line="440" w:lineRule="exact"/>
        <w:rPr>
          <w:rFonts w:hint="eastAsia" w:eastAsia="黑体"/>
          <w:color w:val="auto"/>
          <w:sz w:val="20"/>
          <w:szCs w:val="20"/>
          <w:highlight w:val="none"/>
        </w:rPr>
      </w:pPr>
    </w:p>
    <w:p w14:paraId="70DB67F8">
      <w:pPr>
        <w:spacing w:line="440" w:lineRule="exact"/>
        <w:rPr>
          <w:rFonts w:hint="eastAsia" w:eastAsia="黑体"/>
          <w:color w:val="auto"/>
          <w:sz w:val="20"/>
          <w:szCs w:val="20"/>
          <w:highlight w:val="none"/>
        </w:rPr>
      </w:pPr>
    </w:p>
    <w:p w14:paraId="78E0AD8E">
      <w:pPr>
        <w:spacing w:line="440" w:lineRule="exact"/>
        <w:rPr>
          <w:rFonts w:hint="eastAsia" w:eastAsia="黑体"/>
          <w:color w:val="auto"/>
          <w:sz w:val="20"/>
          <w:szCs w:val="20"/>
          <w:highlight w:val="none"/>
        </w:rPr>
      </w:pPr>
    </w:p>
    <w:p w14:paraId="75CE11F5">
      <w:pPr>
        <w:spacing w:line="440" w:lineRule="exact"/>
        <w:rPr>
          <w:rFonts w:hint="eastAsia" w:eastAsia="黑体"/>
          <w:color w:val="auto"/>
          <w:sz w:val="20"/>
          <w:szCs w:val="20"/>
          <w:highlight w:val="none"/>
        </w:rPr>
      </w:pPr>
    </w:p>
    <w:p w14:paraId="37FC465D">
      <w:pPr>
        <w:spacing w:line="440" w:lineRule="exact"/>
        <w:rPr>
          <w:rFonts w:hint="eastAsia" w:eastAsia="黑体"/>
          <w:color w:val="auto"/>
          <w:sz w:val="20"/>
          <w:szCs w:val="20"/>
          <w:highlight w:val="none"/>
        </w:rPr>
      </w:pPr>
    </w:p>
    <w:p w14:paraId="46ABAA2F">
      <w:pPr>
        <w:spacing w:line="440" w:lineRule="exact"/>
        <w:rPr>
          <w:rFonts w:hint="eastAsia" w:eastAsia="黑体"/>
          <w:color w:val="auto"/>
          <w:sz w:val="20"/>
          <w:szCs w:val="20"/>
          <w:highlight w:val="none"/>
        </w:rPr>
      </w:pPr>
    </w:p>
    <w:p w14:paraId="6DB7ED87">
      <w:pPr>
        <w:rPr>
          <w:rFonts w:hint="eastAsia"/>
          <w:color w:val="auto"/>
          <w:highlight w:val="none"/>
        </w:rPr>
      </w:pPr>
      <w:bookmarkStart w:id="3712" w:name="_Toc221952108"/>
      <w:bookmarkStart w:id="3713" w:name="_Toc168476331"/>
      <w:bookmarkStart w:id="3714" w:name="_Toc519085660"/>
      <w:bookmarkStart w:id="3715" w:name="_Toc144974869"/>
      <w:bookmarkStart w:id="3716" w:name="_Toc168475928"/>
      <w:bookmarkStart w:id="3717" w:name="_Toc456173555"/>
    </w:p>
    <w:p w14:paraId="75DBEDD9">
      <w:pPr>
        <w:outlineLvl w:val="2"/>
        <w:rPr>
          <w:rFonts w:hint="eastAsia"/>
          <w:color w:val="auto"/>
          <w:highlight w:val="none"/>
        </w:rPr>
      </w:pPr>
      <w:bookmarkStart w:id="3718" w:name="_Toc4323"/>
      <w:bookmarkStart w:id="3719" w:name="_Toc1811"/>
      <w:bookmarkStart w:id="3720" w:name="_Toc10598_WPSOffice_Level2"/>
      <w:r>
        <w:rPr>
          <w:color w:val="auto"/>
          <w:highlight w:val="none"/>
        </w:rPr>
        <w:t>附表</w:t>
      </w:r>
      <w:r>
        <w:rPr>
          <w:rFonts w:hint="eastAsia"/>
          <w:color w:val="auto"/>
          <w:highlight w:val="none"/>
          <w:lang w:val="en-US" w:eastAsia="zh-CN"/>
        </w:rPr>
        <w:t>三</w:t>
      </w:r>
      <w:r>
        <w:rPr>
          <w:color w:val="auto"/>
          <w:highlight w:val="none"/>
        </w:rPr>
        <w:t>：施工总平面图</w:t>
      </w:r>
      <w:bookmarkEnd w:id="3712"/>
      <w:bookmarkEnd w:id="3713"/>
      <w:bookmarkEnd w:id="3714"/>
      <w:bookmarkEnd w:id="3715"/>
      <w:bookmarkEnd w:id="3716"/>
      <w:bookmarkEnd w:id="3717"/>
      <w:bookmarkEnd w:id="3718"/>
      <w:bookmarkEnd w:id="3719"/>
      <w:bookmarkEnd w:id="3720"/>
    </w:p>
    <w:p w14:paraId="3091A494">
      <w:pPr>
        <w:spacing w:line="440" w:lineRule="exact"/>
        <w:ind w:firstLine="420" w:firstLineChars="200"/>
        <w:rPr>
          <w:color w:val="auto"/>
          <w:szCs w:val="21"/>
          <w:highlight w:val="none"/>
        </w:rPr>
      </w:pPr>
      <w:bookmarkStart w:id="3721" w:name="_Toc221952109"/>
      <w:r>
        <w:rPr>
          <w:color w:val="auto"/>
          <w:szCs w:val="21"/>
          <w:highlight w:val="none"/>
        </w:rPr>
        <w:t>投标人应递交一份施工总平面图，绘出现场临时设施布置图</w:t>
      </w:r>
      <w:r>
        <w:rPr>
          <w:rFonts w:hint="eastAsia"/>
          <w:color w:val="auto"/>
          <w:szCs w:val="21"/>
          <w:highlight w:val="none"/>
        </w:rPr>
        <w:t>及</w:t>
      </w:r>
      <w:r>
        <w:rPr>
          <w:color w:val="auto"/>
          <w:szCs w:val="21"/>
          <w:highlight w:val="none"/>
        </w:rPr>
        <w:t>表并附文字说明，说明临时设施、加工车间、现场办公、设备及仓储、供电、供水、卫生、生活、道路、消防等设施的情况和布置。</w:t>
      </w:r>
      <w:bookmarkEnd w:id="3721"/>
    </w:p>
    <w:p w14:paraId="6EFB6BEA">
      <w:pPr>
        <w:spacing w:line="440" w:lineRule="exact"/>
        <w:rPr>
          <w:rFonts w:eastAsia="黑体"/>
          <w:color w:val="auto"/>
          <w:sz w:val="20"/>
          <w:szCs w:val="20"/>
          <w:highlight w:val="none"/>
        </w:rPr>
      </w:pPr>
    </w:p>
    <w:p w14:paraId="637A8C3C">
      <w:pPr>
        <w:spacing w:line="440" w:lineRule="exact"/>
        <w:rPr>
          <w:rFonts w:hint="eastAsia" w:eastAsia="黑体"/>
          <w:color w:val="auto"/>
          <w:sz w:val="20"/>
          <w:szCs w:val="20"/>
          <w:highlight w:val="none"/>
        </w:rPr>
      </w:pPr>
    </w:p>
    <w:p w14:paraId="0A55AC8B">
      <w:pPr>
        <w:spacing w:line="440" w:lineRule="exact"/>
        <w:rPr>
          <w:rFonts w:hint="eastAsia" w:eastAsia="黑体"/>
          <w:color w:val="auto"/>
          <w:sz w:val="20"/>
          <w:szCs w:val="20"/>
          <w:highlight w:val="none"/>
        </w:rPr>
      </w:pPr>
    </w:p>
    <w:p w14:paraId="42834C71">
      <w:pPr>
        <w:spacing w:line="440" w:lineRule="exact"/>
        <w:rPr>
          <w:rFonts w:hint="eastAsia" w:eastAsia="黑体"/>
          <w:color w:val="auto"/>
          <w:sz w:val="20"/>
          <w:szCs w:val="20"/>
          <w:highlight w:val="none"/>
        </w:rPr>
      </w:pPr>
    </w:p>
    <w:p w14:paraId="481DEA45">
      <w:pPr>
        <w:spacing w:line="440" w:lineRule="exact"/>
        <w:rPr>
          <w:rFonts w:hint="eastAsia" w:eastAsia="黑体"/>
          <w:color w:val="auto"/>
          <w:sz w:val="20"/>
          <w:szCs w:val="20"/>
          <w:highlight w:val="none"/>
        </w:rPr>
      </w:pPr>
    </w:p>
    <w:p w14:paraId="78029AFC">
      <w:pPr>
        <w:spacing w:line="440" w:lineRule="exact"/>
        <w:rPr>
          <w:rFonts w:hint="eastAsia" w:eastAsia="黑体"/>
          <w:color w:val="auto"/>
          <w:sz w:val="20"/>
          <w:szCs w:val="20"/>
          <w:highlight w:val="none"/>
        </w:rPr>
      </w:pPr>
    </w:p>
    <w:p w14:paraId="725530D0">
      <w:pPr>
        <w:spacing w:line="440" w:lineRule="exact"/>
        <w:rPr>
          <w:rFonts w:hint="eastAsia" w:eastAsia="黑体"/>
          <w:color w:val="auto"/>
          <w:sz w:val="20"/>
          <w:szCs w:val="20"/>
          <w:highlight w:val="none"/>
        </w:rPr>
      </w:pPr>
    </w:p>
    <w:p w14:paraId="2EAEACCA">
      <w:pPr>
        <w:spacing w:line="440" w:lineRule="exact"/>
        <w:rPr>
          <w:rFonts w:hint="eastAsia" w:eastAsia="黑体"/>
          <w:color w:val="auto"/>
          <w:sz w:val="20"/>
          <w:szCs w:val="20"/>
          <w:highlight w:val="none"/>
        </w:rPr>
      </w:pPr>
    </w:p>
    <w:p w14:paraId="6D75EA43">
      <w:pPr>
        <w:spacing w:line="440" w:lineRule="exact"/>
        <w:rPr>
          <w:rFonts w:hint="eastAsia" w:eastAsia="黑体"/>
          <w:color w:val="auto"/>
          <w:sz w:val="20"/>
          <w:szCs w:val="20"/>
          <w:highlight w:val="none"/>
        </w:rPr>
      </w:pPr>
    </w:p>
    <w:p w14:paraId="30F4CDD6">
      <w:pPr>
        <w:spacing w:line="440" w:lineRule="exact"/>
        <w:rPr>
          <w:rFonts w:hint="eastAsia" w:eastAsia="黑体"/>
          <w:color w:val="auto"/>
          <w:sz w:val="20"/>
          <w:szCs w:val="20"/>
          <w:highlight w:val="none"/>
        </w:rPr>
      </w:pPr>
    </w:p>
    <w:p w14:paraId="2C0658A7">
      <w:pPr>
        <w:spacing w:line="440" w:lineRule="exact"/>
        <w:rPr>
          <w:rFonts w:hint="eastAsia" w:eastAsia="黑体"/>
          <w:color w:val="auto"/>
          <w:sz w:val="20"/>
          <w:szCs w:val="20"/>
          <w:highlight w:val="none"/>
        </w:rPr>
      </w:pPr>
    </w:p>
    <w:p w14:paraId="56785AE8">
      <w:pPr>
        <w:spacing w:line="440" w:lineRule="exact"/>
        <w:rPr>
          <w:rFonts w:hint="eastAsia" w:eastAsia="黑体"/>
          <w:color w:val="auto"/>
          <w:sz w:val="20"/>
          <w:szCs w:val="20"/>
          <w:highlight w:val="none"/>
        </w:rPr>
      </w:pPr>
    </w:p>
    <w:p w14:paraId="19C3A64D">
      <w:pPr>
        <w:spacing w:line="440" w:lineRule="exact"/>
        <w:rPr>
          <w:rFonts w:hint="eastAsia" w:eastAsia="黑体"/>
          <w:color w:val="auto"/>
          <w:sz w:val="20"/>
          <w:szCs w:val="20"/>
          <w:highlight w:val="none"/>
        </w:rPr>
      </w:pPr>
    </w:p>
    <w:p w14:paraId="651B726E">
      <w:pPr>
        <w:spacing w:line="440" w:lineRule="exact"/>
        <w:rPr>
          <w:rFonts w:hint="eastAsia" w:eastAsia="黑体"/>
          <w:color w:val="auto"/>
          <w:sz w:val="20"/>
          <w:szCs w:val="20"/>
          <w:highlight w:val="none"/>
        </w:rPr>
      </w:pPr>
    </w:p>
    <w:p w14:paraId="3B308893">
      <w:pPr>
        <w:spacing w:line="440" w:lineRule="exact"/>
        <w:rPr>
          <w:rFonts w:hint="eastAsia" w:eastAsia="黑体"/>
          <w:color w:val="auto"/>
          <w:sz w:val="20"/>
          <w:szCs w:val="20"/>
          <w:highlight w:val="none"/>
        </w:rPr>
      </w:pPr>
    </w:p>
    <w:p w14:paraId="239EF1C2">
      <w:pPr>
        <w:spacing w:line="440" w:lineRule="exact"/>
        <w:rPr>
          <w:rFonts w:hint="eastAsia" w:eastAsia="黑体"/>
          <w:color w:val="auto"/>
          <w:sz w:val="20"/>
          <w:szCs w:val="20"/>
          <w:highlight w:val="none"/>
        </w:rPr>
      </w:pPr>
    </w:p>
    <w:p w14:paraId="70064FB4">
      <w:pPr>
        <w:spacing w:line="440" w:lineRule="exact"/>
        <w:rPr>
          <w:rFonts w:hint="eastAsia" w:eastAsia="黑体"/>
          <w:color w:val="auto"/>
          <w:sz w:val="20"/>
          <w:szCs w:val="20"/>
          <w:highlight w:val="none"/>
        </w:rPr>
      </w:pPr>
    </w:p>
    <w:p w14:paraId="583F5A32">
      <w:pPr>
        <w:spacing w:line="440" w:lineRule="exact"/>
        <w:rPr>
          <w:rFonts w:hint="eastAsia" w:eastAsia="黑体"/>
          <w:color w:val="auto"/>
          <w:sz w:val="20"/>
          <w:szCs w:val="20"/>
          <w:highlight w:val="none"/>
        </w:rPr>
      </w:pPr>
    </w:p>
    <w:p w14:paraId="094DCF6D">
      <w:pPr>
        <w:spacing w:line="440" w:lineRule="exact"/>
        <w:rPr>
          <w:rFonts w:hint="eastAsia" w:eastAsia="黑体"/>
          <w:color w:val="auto"/>
          <w:sz w:val="20"/>
          <w:szCs w:val="20"/>
          <w:highlight w:val="none"/>
        </w:rPr>
      </w:pPr>
    </w:p>
    <w:p w14:paraId="57B45A3D">
      <w:pPr>
        <w:spacing w:line="440" w:lineRule="exact"/>
        <w:rPr>
          <w:rFonts w:hint="eastAsia" w:eastAsia="黑体"/>
          <w:color w:val="auto"/>
          <w:sz w:val="20"/>
          <w:szCs w:val="20"/>
          <w:highlight w:val="none"/>
        </w:rPr>
      </w:pPr>
    </w:p>
    <w:p w14:paraId="0E97ED57">
      <w:pPr>
        <w:spacing w:line="440" w:lineRule="exact"/>
        <w:rPr>
          <w:rFonts w:hint="eastAsia" w:eastAsia="黑体"/>
          <w:color w:val="auto"/>
          <w:sz w:val="20"/>
          <w:szCs w:val="20"/>
          <w:highlight w:val="none"/>
        </w:rPr>
      </w:pPr>
    </w:p>
    <w:p w14:paraId="1E920DBA">
      <w:pPr>
        <w:spacing w:line="440" w:lineRule="exact"/>
        <w:rPr>
          <w:rFonts w:hint="eastAsia" w:eastAsia="黑体"/>
          <w:color w:val="auto"/>
          <w:sz w:val="20"/>
          <w:szCs w:val="20"/>
          <w:highlight w:val="none"/>
        </w:rPr>
      </w:pPr>
    </w:p>
    <w:p w14:paraId="4B9CDA78">
      <w:pPr>
        <w:spacing w:line="440" w:lineRule="exact"/>
        <w:rPr>
          <w:rFonts w:hint="eastAsia" w:eastAsia="黑体"/>
          <w:color w:val="auto"/>
          <w:sz w:val="20"/>
          <w:szCs w:val="20"/>
          <w:highlight w:val="none"/>
        </w:rPr>
      </w:pPr>
    </w:p>
    <w:p w14:paraId="42E3821C">
      <w:pPr>
        <w:spacing w:line="440" w:lineRule="exact"/>
        <w:rPr>
          <w:rFonts w:hint="eastAsia" w:eastAsia="黑体"/>
          <w:color w:val="auto"/>
          <w:sz w:val="20"/>
          <w:szCs w:val="20"/>
          <w:highlight w:val="none"/>
        </w:rPr>
      </w:pPr>
    </w:p>
    <w:p w14:paraId="60822CC8">
      <w:pPr>
        <w:pStyle w:val="2"/>
        <w:rPr>
          <w:rFonts w:hint="eastAsia"/>
          <w:highlight w:val="none"/>
        </w:rPr>
      </w:pPr>
    </w:p>
    <w:p w14:paraId="1A300E9A">
      <w:pPr>
        <w:spacing w:line="440" w:lineRule="exact"/>
        <w:rPr>
          <w:rFonts w:hint="eastAsia" w:eastAsia="黑体"/>
          <w:color w:val="auto"/>
          <w:sz w:val="20"/>
          <w:szCs w:val="20"/>
          <w:highlight w:val="none"/>
        </w:rPr>
      </w:pPr>
    </w:p>
    <w:p w14:paraId="36EE5041">
      <w:pPr>
        <w:rPr>
          <w:rFonts w:hint="eastAsia"/>
          <w:color w:val="auto"/>
          <w:highlight w:val="none"/>
        </w:rPr>
      </w:pPr>
      <w:bookmarkStart w:id="3722" w:name="_Toc168475929"/>
      <w:bookmarkStart w:id="3723" w:name="_Toc456173556"/>
      <w:bookmarkStart w:id="3724" w:name="_Toc519085661"/>
      <w:bookmarkStart w:id="3725" w:name="_Toc144974870"/>
      <w:bookmarkStart w:id="3726" w:name="_Toc168476332"/>
      <w:bookmarkStart w:id="3727" w:name="_Toc221952110"/>
    </w:p>
    <w:p w14:paraId="6632D172">
      <w:pPr>
        <w:outlineLvl w:val="2"/>
        <w:rPr>
          <w:rFonts w:hint="eastAsia"/>
          <w:color w:val="auto"/>
          <w:highlight w:val="none"/>
        </w:rPr>
      </w:pPr>
      <w:bookmarkStart w:id="3728" w:name="_Toc13014"/>
      <w:bookmarkStart w:id="3729" w:name="_Toc20523"/>
      <w:bookmarkStart w:id="3730" w:name="_Toc867_WPSOffice_Level2"/>
      <w:r>
        <w:rPr>
          <w:color w:val="auto"/>
          <w:highlight w:val="none"/>
        </w:rPr>
        <w:t>附表</w:t>
      </w:r>
      <w:r>
        <w:rPr>
          <w:rFonts w:hint="eastAsia"/>
          <w:color w:val="auto"/>
          <w:highlight w:val="none"/>
          <w:lang w:val="en-US" w:eastAsia="zh-CN"/>
        </w:rPr>
        <w:t>四</w:t>
      </w:r>
      <w:r>
        <w:rPr>
          <w:rFonts w:hint="eastAsia"/>
          <w:color w:val="auto"/>
          <w:highlight w:val="none"/>
        </w:rPr>
        <w:t>：</w:t>
      </w:r>
      <w:r>
        <w:rPr>
          <w:color w:val="auto"/>
          <w:highlight w:val="none"/>
        </w:rPr>
        <w:t>临时用地表</w:t>
      </w:r>
      <w:bookmarkEnd w:id="3722"/>
      <w:bookmarkEnd w:id="3723"/>
      <w:bookmarkEnd w:id="3724"/>
      <w:bookmarkEnd w:id="3725"/>
      <w:bookmarkEnd w:id="3726"/>
      <w:bookmarkEnd w:id="3727"/>
      <w:bookmarkEnd w:id="3728"/>
      <w:bookmarkEnd w:id="3729"/>
      <w:bookmarkEnd w:id="3730"/>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1"/>
        <w:gridCol w:w="2322"/>
        <w:gridCol w:w="2322"/>
      </w:tblGrid>
      <w:tr w14:paraId="15D9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899CD8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1" w:name="_Toc221952111"/>
            <w:r>
              <w:rPr>
                <w:rFonts w:ascii="Calibri" w:hAnsi="Calibri" w:eastAsia="宋体" w:cs="Times New Roman"/>
                <w:color w:val="auto"/>
                <w:highlight w:val="none"/>
              </w:rPr>
              <w:t>用 途</w:t>
            </w:r>
            <w:bookmarkEnd w:id="3731"/>
            <w:r>
              <w:rPr>
                <w:rFonts w:ascii="Calibri" w:hAnsi="Calibri" w:eastAsia="宋体" w:cs="Times New Roman"/>
                <w:color w:val="auto"/>
                <w:highlight w:val="none"/>
              </w:rPr>
              <w:cr/>
            </w:r>
          </w:p>
        </w:tc>
        <w:tc>
          <w:tcPr>
            <w:tcW w:w="2321" w:type="dxa"/>
            <w:noWrap w:val="0"/>
            <w:vAlign w:val="top"/>
          </w:tcPr>
          <w:p w14:paraId="5D1971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2" w:name="_Toc221952112"/>
            <w:r>
              <w:rPr>
                <w:rFonts w:ascii="Calibri" w:hAnsi="Calibri" w:eastAsia="宋体" w:cs="Times New Roman"/>
                <w:color w:val="auto"/>
                <w:highlight w:val="none"/>
              </w:rPr>
              <w:t>面 积（</w:t>
            </w:r>
            <w:r>
              <w:rPr>
                <w:rFonts w:hint="eastAsia" w:ascii="Calibri" w:hAnsi="Calibri" w:eastAsia="宋体" w:cs="Times New Roman"/>
                <w:color w:val="auto"/>
                <w:highlight w:val="none"/>
              </w:rPr>
              <w:t>m</w:t>
            </w:r>
            <w:r>
              <w:rPr>
                <w:rFonts w:hint="eastAsia" w:ascii="Calibri" w:hAnsi="Calibri" w:eastAsia="宋体" w:cs="Times New Roman"/>
                <w:color w:val="auto"/>
                <w:highlight w:val="none"/>
                <w:vertAlign w:val="superscript"/>
              </w:rPr>
              <w:t>2</w:t>
            </w:r>
            <w:r>
              <w:rPr>
                <w:rFonts w:ascii="Calibri" w:hAnsi="Calibri" w:eastAsia="宋体" w:cs="Times New Roman"/>
                <w:color w:val="auto"/>
                <w:highlight w:val="none"/>
              </w:rPr>
              <w:t>）</w:t>
            </w:r>
            <w:bookmarkEnd w:id="3732"/>
          </w:p>
        </w:tc>
        <w:tc>
          <w:tcPr>
            <w:tcW w:w="2322" w:type="dxa"/>
            <w:noWrap w:val="0"/>
            <w:vAlign w:val="top"/>
          </w:tcPr>
          <w:p w14:paraId="37C8A55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3" w:name="_Toc221952113"/>
            <w:r>
              <w:rPr>
                <w:rFonts w:ascii="Calibri" w:hAnsi="Calibri" w:eastAsia="宋体" w:cs="Times New Roman"/>
                <w:color w:val="auto"/>
                <w:highlight w:val="none"/>
              </w:rPr>
              <w:t>位 置</w:t>
            </w:r>
            <w:bookmarkEnd w:id="3733"/>
          </w:p>
        </w:tc>
        <w:tc>
          <w:tcPr>
            <w:tcW w:w="2322" w:type="dxa"/>
            <w:noWrap w:val="0"/>
            <w:vAlign w:val="top"/>
          </w:tcPr>
          <w:p w14:paraId="2D11BEC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4" w:name="_Toc221952114"/>
            <w:r>
              <w:rPr>
                <w:rFonts w:ascii="Calibri" w:hAnsi="Calibri" w:eastAsia="宋体" w:cs="Times New Roman"/>
                <w:color w:val="auto"/>
                <w:highlight w:val="none"/>
              </w:rPr>
              <w:t>需用时间</w:t>
            </w:r>
            <w:bookmarkEnd w:id="3734"/>
          </w:p>
        </w:tc>
      </w:tr>
      <w:tr w14:paraId="3184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88366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7C1E5C8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8A0DCE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5D2B28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5DB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F5E22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3331D93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9B71A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006B5A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1AE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716BC3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FFF9C5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FCDC35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E6AD6A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29B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26B975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17275EE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CD3B3E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D57D06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114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4344BD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0706AA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7E0A65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EC5B6C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CA0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2C81A3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AD9D90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1C0924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1EF221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6A3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E2C310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5075192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6C6665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454B1C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C46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4EE046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C17E9E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BB6EB3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86A93D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6D5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BEA46B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B7A1BB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871C5D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80000E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89C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2DE541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10AD5EC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AA2870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54F5D2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690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DDDDA5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740F566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1B88B1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CF3E8E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546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AC8CCC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57F525F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56D70D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7EC16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B86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A07BB3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4BA865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590281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7D6AD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51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A2DD9F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13DA78B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E3F3BD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C38211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18E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B8CD8D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B341D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5B651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8B8A9C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BD0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DF5166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FCBBA8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48A2FD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0579BD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B63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12E3EF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67AD03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D3720D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7560D9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738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D8A24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6264E4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236D96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7E9F6F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CEC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64F989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56647A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E5B6C4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4A4BF9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FB7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B3BB5B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EB9D3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93B216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B92574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FEE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E7F014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13EABF3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4A6E59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B23D74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9E9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248F51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41FB6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8CFAD8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6D8E95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C91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0FC2D7C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226667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C6A296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56082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C72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BCED9D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938DFF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C27C88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19B80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AEF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822103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ABC7C2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A1557C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D39E83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bl>
    <w:p w14:paraId="0CCE9A65">
      <w:pPr>
        <w:spacing w:line="440" w:lineRule="exact"/>
        <w:jc w:val="center"/>
        <w:rPr>
          <w:rFonts w:hint="eastAsia" w:eastAsia="黑体"/>
          <w:color w:val="auto"/>
          <w:sz w:val="27"/>
          <w:szCs w:val="27"/>
          <w:highlight w:val="none"/>
        </w:rPr>
      </w:pPr>
    </w:p>
    <w:p w14:paraId="09CE561E">
      <w:pPr>
        <w:spacing w:line="440" w:lineRule="exact"/>
        <w:jc w:val="center"/>
        <w:rPr>
          <w:rFonts w:hint="eastAsia" w:eastAsia="黑体"/>
          <w:color w:val="auto"/>
          <w:sz w:val="27"/>
          <w:szCs w:val="27"/>
          <w:highlight w:val="none"/>
        </w:rPr>
      </w:pPr>
    </w:p>
    <w:p w14:paraId="1A509380">
      <w:pPr>
        <w:spacing w:line="440" w:lineRule="exact"/>
        <w:jc w:val="center"/>
        <w:rPr>
          <w:rFonts w:hint="eastAsia" w:eastAsia="黑体"/>
          <w:color w:val="auto"/>
          <w:sz w:val="27"/>
          <w:szCs w:val="27"/>
          <w:highlight w:val="none"/>
        </w:rPr>
      </w:pPr>
    </w:p>
    <w:p w14:paraId="060DB14C">
      <w:pPr>
        <w:pStyle w:val="90"/>
        <w:spacing w:before="63"/>
        <w:outlineLvl w:val="2"/>
        <w:rPr>
          <w:color w:val="auto"/>
          <w:highlight w:val="none"/>
        </w:rPr>
        <w:sectPr>
          <w:footerReference r:id="rId9" w:type="default"/>
          <w:footerReference r:id="rId10" w:type="even"/>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bookmarkStart w:id="3735" w:name="_Toc222033918"/>
      <w:bookmarkStart w:id="3736" w:name="_Toc31723"/>
      <w:bookmarkStart w:id="3737" w:name="_Toc168475930"/>
      <w:bookmarkStart w:id="3738" w:name="_Toc221952115"/>
      <w:bookmarkStart w:id="3739" w:name="_Toc8842"/>
      <w:bookmarkStart w:id="3740" w:name="_Toc144974871"/>
      <w:bookmarkStart w:id="3741" w:name="_Toc31147"/>
      <w:bookmarkStart w:id="3742" w:name="_Toc519085662"/>
      <w:bookmarkStart w:id="3743" w:name="_Toc222029567"/>
      <w:bookmarkStart w:id="3744" w:name="_Toc13285"/>
      <w:bookmarkStart w:id="3745" w:name="_Toc387753633"/>
      <w:bookmarkStart w:id="3746" w:name="_Toc229305427"/>
      <w:bookmarkStart w:id="3747" w:name="_Toc456173557"/>
      <w:bookmarkStart w:id="3748" w:name="_Toc222032736"/>
      <w:bookmarkStart w:id="3749" w:name="_Toc222031069"/>
      <w:bookmarkStart w:id="3750" w:name="_Toc168476333"/>
    </w:p>
    <w:p w14:paraId="2C78A3EE">
      <w:pPr>
        <w:pStyle w:val="90"/>
        <w:spacing w:before="63"/>
        <w:rPr>
          <w:rFonts w:hint="eastAsia"/>
          <w:color w:val="auto"/>
          <w:sz w:val="28"/>
          <w:szCs w:val="28"/>
          <w:highlight w:val="none"/>
        </w:rPr>
      </w:pPr>
      <w:bookmarkStart w:id="3751" w:name="_Toc14716_WPSOffice_Level1"/>
      <w:bookmarkStart w:id="3752" w:name="_Toc20542"/>
      <w:bookmarkStart w:id="3753" w:name="_Toc31645"/>
      <w:r>
        <w:rPr>
          <w:rFonts w:hint="eastAsia"/>
          <w:color w:val="auto"/>
          <w:sz w:val="28"/>
          <w:szCs w:val="28"/>
          <w:highlight w:val="none"/>
        </w:rPr>
        <w:t>九</w:t>
      </w:r>
      <w:r>
        <w:rPr>
          <w:color w:val="auto"/>
          <w:sz w:val="28"/>
          <w:szCs w:val="28"/>
          <w:highlight w:val="none"/>
        </w:rPr>
        <w:t>、项目管理机构</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14:paraId="3F3EA328">
      <w:pPr>
        <w:pStyle w:val="6"/>
        <w:spacing w:before="159"/>
        <w:jc w:val="center"/>
        <w:rPr>
          <w:rFonts w:hint="eastAsia"/>
          <w:color w:val="auto"/>
          <w:highlight w:val="none"/>
        </w:rPr>
      </w:pPr>
      <w:bookmarkStart w:id="3754" w:name="_Toc519085663"/>
      <w:bookmarkStart w:id="3755" w:name="_Toc24710"/>
      <w:bookmarkStart w:id="3756" w:name="_Toc456173558"/>
      <w:bookmarkStart w:id="3757" w:name="_Toc10164_WPSOffice_Level2"/>
      <w:bookmarkStart w:id="3758" w:name="_Toc426496250"/>
      <w:r>
        <w:rPr>
          <w:rFonts w:hint="eastAsia"/>
          <w:color w:val="auto"/>
          <w:highlight w:val="none"/>
        </w:rPr>
        <w:t>（一）项目管理机构主要人员表</w:t>
      </w:r>
      <w:bookmarkEnd w:id="3754"/>
      <w:bookmarkEnd w:id="3755"/>
      <w:bookmarkEnd w:id="3756"/>
      <w:bookmarkEnd w:id="3757"/>
      <w:bookmarkEnd w:id="3758"/>
    </w:p>
    <w:tbl>
      <w:tblPr>
        <w:tblStyle w:val="39"/>
        <w:tblW w:w="14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0"/>
        <w:gridCol w:w="1080"/>
        <w:gridCol w:w="1080"/>
        <w:gridCol w:w="540"/>
        <w:gridCol w:w="540"/>
        <w:gridCol w:w="720"/>
        <w:gridCol w:w="1080"/>
        <w:gridCol w:w="540"/>
        <w:gridCol w:w="720"/>
        <w:gridCol w:w="720"/>
        <w:gridCol w:w="720"/>
        <w:gridCol w:w="1080"/>
        <w:gridCol w:w="720"/>
        <w:gridCol w:w="1260"/>
        <w:gridCol w:w="900"/>
        <w:gridCol w:w="900"/>
        <w:gridCol w:w="1080"/>
      </w:tblGrid>
      <w:tr w14:paraId="415F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restart"/>
            <w:noWrap w:val="0"/>
            <w:vAlign w:val="center"/>
          </w:tcPr>
          <w:p w14:paraId="60062A8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080" w:type="dxa"/>
            <w:vMerge w:val="restart"/>
            <w:noWrap w:val="0"/>
            <w:vAlign w:val="center"/>
          </w:tcPr>
          <w:p w14:paraId="3448A173">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职务</w:t>
            </w:r>
          </w:p>
        </w:tc>
        <w:tc>
          <w:tcPr>
            <w:tcW w:w="1080" w:type="dxa"/>
            <w:vMerge w:val="restart"/>
            <w:noWrap w:val="0"/>
            <w:vAlign w:val="center"/>
          </w:tcPr>
          <w:p w14:paraId="71536642">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姓名</w:t>
            </w:r>
          </w:p>
        </w:tc>
        <w:tc>
          <w:tcPr>
            <w:tcW w:w="540" w:type="dxa"/>
            <w:vMerge w:val="restart"/>
            <w:noWrap w:val="0"/>
            <w:vAlign w:val="center"/>
          </w:tcPr>
          <w:p w14:paraId="298135A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性别</w:t>
            </w:r>
          </w:p>
        </w:tc>
        <w:tc>
          <w:tcPr>
            <w:tcW w:w="540" w:type="dxa"/>
            <w:vMerge w:val="restart"/>
            <w:noWrap w:val="0"/>
            <w:vAlign w:val="center"/>
          </w:tcPr>
          <w:p w14:paraId="49E309B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年龄</w:t>
            </w:r>
          </w:p>
        </w:tc>
        <w:tc>
          <w:tcPr>
            <w:tcW w:w="720" w:type="dxa"/>
            <w:vMerge w:val="restart"/>
            <w:noWrap w:val="0"/>
            <w:vAlign w:val="center"/>
          </w:tcPr>
          <w:p w14:paraId="4D5AC28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学历</w:t>
            </w:r>
          </w:p>
        </w:tc>
        <w:tc>
          <w:tcPr>
            <w:tcW w:w="1080" w:type="dxa"/>
            <w:vMerge w:val="restart"/>
            <w:noWrap w:val="0"/>
            <w:vAlign w:val="center"/>
          </w:tcPr>
          <w:p w14:paraId="15BF4F1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专业</w:t>
            </w:r>
          </w:p>
        </w:tc>
        <w:tc>
          <w:tcPr>
            <w:tcW w:w="540" w:type="dxa"/>
            <w:vMerge w:val="restart"/>
            <w:noWrap w:val="0"/>
            <w:vAlign w:val="center"/>
          </w:tcPr>
          <w:p w14:paraId="770175C5">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专业</w:t>
            </w:r>
            <w:r>
              <w:rPr>
                <w:rFonts w:hint="eastAsia" w:ascii="Calibri" w:hAnsi="Calibri" w:eastAsia="宋体" w:cs="Times New Roman"/>
                <w:color w:val="auto"/>
                <w:szCs w:val="21"/>
                <w:highlight w:val="none"/>
              </w:rPr>
              <w:t>工作年限</w:t>
            </w:r>
          </w:p>
        </w:tc>
        <w:tc>
          <w:tcPr>
            <w:tcW w:w="2160" w:type="dxa"/>
            <w:gridSpan w:val="3"/>
            <w:noWrap w:val="0"/>
            <w:vAlign w:val="center"/>
          </w:tcPr>
          <w:p w14:paraId="32C6F9A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专业技术职称</w:t>
            </w:r>
          </w:p>
        </w:tc>
        <w:tc>
          <w:tcPr>
            <w:tcW w:w="3960" w:type="dxa"/>
            <w:gridSpan w:val="4"/>
            <w:noWrap w:val="0"/>
            <w:vAlign w:val="center"/>
          </w:tcPr>
          <w:p w14:paraId="249BD7BA">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执业或职业资格证明</w:t>
            </w:r>
          </w:p>
        </w:tc>
        <w:tc>
          <w:tcPr>
            <w:tcW w:w="900" w:type="dxa"/>
            <w:vMerge w:val="restart"/>
            <w:noWrap w:val="0"/>
            <w:vAlign w:val="center"/>
          </w:tcPr>
          <w:p w14:paraId="4471CCFB">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社会保险</w:t>
            </w:r>
          </w:p>
        </w:tc>
        <w:tc>
          <w:tcPr>
            <w:tcW w:w="1080" w:type="dxa"/>
            <w:vMerge w:val="restart"/>
            <w:noWrap w:val="0"/>
            <w:vAlign w:val="center"/>
          </w:tcPr>
          <w:p w14:paraId="71455472">
            <w:pPr>
              <w:keepNext w:val="0"/>
              <w:keepLines w:val="0"/>
              <w:suppressLineNumbers w:val="0"/>
              <w:spacing w:before="0" w:beforeAutospacing="0" w:after="0" w:afterAutospacing="0" w:line="42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执业、</w:t>
            </w:r>
          </w:p>
          <w:p w14:paraId="0FD81B62">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vertAlign w:val="superscript"/>
              </w:rPr>
            </w:pPr>
            <w:r>
              <w:rPr>
                <w:rFonts w:hint="eastAsia" w:ascii="Calibri" w:hAnsi="Calibri" w:eastAsia="宋体" w:cs="Times New Roman"/>
                <w:color w:val="auto"/>
                <w:szCs w:val="21"/>
                <w:highlight w:val="none"/>
              </w:rPr>
              <w:t>职业单位</w:t>
            </w:r>
          </w:p>
        </w:tc>
      </w:tr>
      <w:tr w14:paraId="0876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continue"/>
            <w:noWrap w:val="0"/>
            <w:vAlign w:val="center"/>
          </w:tcPr>
          <w:p w14:paraId="1C6D456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7F731C4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64931E82">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697A247D">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4AC673C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vMerge w:val="continue"/>
            <w:noWrap w:val="0"/>
            <w:vAlign w:val="center"/>
          </w:tcPr>
          <w:p w14:paraId="5A69122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48E063DF">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030D1F1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F051DC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初级</w:t>
            </w:r>
          </w:p>
        </w:tc>
        <w:tc>
          <w:tcPr>
            <w:tcW w:w="720" w:type="dxa"/>
            <w:noWrap w:val="0"/>
            <w:vAlign w:val="center"/>
          </w:tcPr>
          <w:p w14:paraId="124C229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中级</w:t>
            </w:r>
          </w:p>
        </w:tc>
        <w:tc>
          <w:tcPr>
            <w:tcW w:w="720" w:type="dxa"/>
            <w:noWrap w:val="0"/>
            <w:vAlign w:val="center"/>
          </w:tcPr>
          <w:p w14:paraId="3B84A0C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高级</w:t>
            </w:r>
          </w:p>
        </w:tc>
        <w:tc>
          <w:tcPr>
            <w:tcW w:w="1080" w:type="dxa"/>
            <w:noWrap w:val="0"/>
            <w:vAlign w:val="center"/>
          </w:tcPr>
          <w:p w14:paraId="7B13E46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证书名称</w:t>
            </w:r>
          </w:p>
        </w:tc>
        <w:tc>
          <w:tcPr>
            <w:tcW w:w="720" w:type="dxa"/>
            <w:noWrap w:val="0"/>
            <w:vAlign w:val="center"/>
          </w:tcPr>
          <w:p w14:paraId="05E7D4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级别</w:t>
            </w:r>
          </w:p>
        </w:tc>
        <w:tc>
          <w:tcPr>
            <w:tcW w:w="1260" w:type="dxa"/>
            <w:noWrap w:val="0"/>
            <w:vAlign w:val="center"/>
          </w:tcPr>
          <w:p w14:paraId="3E3D67E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证号</w:t>
            </w:r>
          </w:p>
        </w:tc>
        <w:tc>
          <w:tcPr>
            <w:tcW w:w="900" w:type="dxa"/>
            <w:noWrap w:val="0"/>
            <w:vAlign w:val="center"/>
          </w:tcPr>
          <w:p w14:paraId="3F7AD78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900" w:type="dxa"/>
            <w:vMerge w:val="continue"/>
            <w:noWrap w:val="0"/>
            <w:vAlign w:val="center"/>
          </w:tcPr>
          <w:p w14:paraId="3E26E9B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2D846E8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7A4E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274C2CC0">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1</w:t>
            </w:r>
          </w:p>
        </w:tc>
        <w:tc>
          <w:tcPr>
            <w:tcW w:w="1080" w:type="dxa"/>
            <w:noWrap w:val="0"/>
            <w:vAlign w:val="center"/>
          </w:tcPr>
          <w:p w14:paraId="37D9EE7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DD5462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1BD6DA1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271B2C9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59F7988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12590F04">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1E29800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0A55EA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0D3D99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761A5A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B996AA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A557E4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7940C66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4687502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432420D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4C8727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6758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6EABE1A9">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2</w:t>
            </w:r>
          </w:p>
        </w:tc>
        <w:tc>
          <w:tcPr>
            <w:tcW w:w="1080" w:type="dxa"/>
            <w:noWrap w:val="0"/>
            <w:vAlign w:val="center"/>
          </w:tcPr>
          <w:p w14:paraId="2F0A4ED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360F667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3AF13A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15BCF9A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7165049A">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6C977F52">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F9EE04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06D769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C16084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C7DC1D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9D82A7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0F6A55B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318CB5A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7EBDA40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162E435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CF4C92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2CA1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66D09B9E">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3</w:t>
            </w:r>
          </w:p>
        </w:tc>
        <w:tc>
          <w:tcPr>
            <w:tcW w:w="1080" w:type="dxa"/>
            <w:noWrap w:val="0"/>
            <w:vAlign w:val="center"/>
          </w:tcPr>
          <w:p w14:paraId="0A2B4C8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72B01E7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53CDAC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FD3F27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6FB16DC6">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3EE9143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8B25F1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29435F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09C69E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615F9F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6FC9CF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7876AC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5934E87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2FC13A0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6DB9B85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3243955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3010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7B849D31">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4</w:t>
            </w:r>
          </w:p>
        </w:tc>
        <w:tc>
          <w:tcPr>
            <w:tcW w:w="1080" w:type="dxa"/>
            <w:noWrap w:val="0"/>
            <w:vAlign w:val="center"/>
          </w:tcPr>
          <w:p w14:paraId="725BE20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91039E6">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977F7F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530661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59A71C3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42457D1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1D97793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08F413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0610645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FD686B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6C1649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F51152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1ECCA1E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32233A2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1DDD914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2CFF15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1D48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55566582">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5</w:t>
            </w:r>
          </w:p>
        </w:tc>
        <w:tc>
          <w:tcPr>
            <w:tcW w:w="1080" w:type="dxa"/>
            <w:noWrap w:val="0"/>
            <w:vAlign w:val="center"/>
          </w:tcPr>
          <w:p w14:paraId="050E524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03F7514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24C718C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D6AE0D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274747F6">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2284CA4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EDDAEB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9C52C6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33419A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9240AE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020098E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45EE11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2D0DAC6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7784DA7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42CD636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E654DF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3026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7F7A666D">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6</w:t>
            </w:r>
          </w:p>
        </w:tc>
        <w:tc>
          <w:tcPr>
            <w:tcW w:w="1080" w:type="dxa"/>
            <w:noWrap w:val="0"/>
            <w:vAlign w:val="center"/>
          </w:tcPr>
          <w:p w14:paraId="2F8D705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375E14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1042A0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F54E04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0EA2AFF2">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65C83566">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115EB0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2A821E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32313C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DDFC11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60783B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ADF9A8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050E404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1C7375A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2DE601A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1797E0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2A9D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60" w:type="dxa"/>
            <w:noWrap w:val="0"/>
            <w:vAlign w:val="center"/>
          </w:tcPr>
          <w:p w14:paraId="39B07835">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7</w:t>
            </w:r>
          </w:p>
        </w:tc>
        <w:tc>
          <w:tcPr>
            <w:tcW w:w="1080" w:type="dxa"/>
            <w:noWrap w:val="0"/>
            <w:vAlign w:val="center"/>
          </w:tcPr>
          <w:p w14:paraId="6969381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A84AE6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941F56F">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B36A06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41C130AD">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6469F3D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67E2650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E58248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88AC09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5ADDCA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6A2DEC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C48618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136C3E4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5A4B8FA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398DA6E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6D685D8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7223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5B7758E8">
            <w:pPr>
              <w:keepNext w:val="0"/>
              <w:keepLines w:val="0"/>
              <w:suppressLineNumbers w:val="0"/>
              <w:spacing w:before="0" w:beforeAutospacing="0" w:after="0" w:afterAutospacing="0"/>
              <w:ind w:left="0" w:right="0"/>
              <w:jc w:val="center"/>
              <w:rPr>
                <w:rFonts w:ascii="宋体" w:hAnsi="宋体" w:eastAsia="宋体" w:cs="宋体"/>
                <w:color w:val="auto"/>
                <w:szCs w:val="21"/>
                <w:highlight w:val="none"/>
              </w:rPr>
            </w:pPr>
            <w:r>
              <w:rPr>
                <w:rFonts w:ascii="宋体" w:hAnsi="宋体" w:eastAsia="宋体" w:cs="宋体"/>
                <w:color w:val="auto"/>
                <w:szCs w:val="21"/>
                <w:highlight w:val="none"/>
              </w:rPr>
              <w:t>…</w:t>
            </w:r>
          </w:p>
        </w:tc>
        <w:tc>
          <w:tcPr>
            <w:tcW w:w="1080" w:type="dxa"/>
            <w:noWrap w:val="0"/>
            <w:vAlign w:val="center"/>
          </w:tcPr>
          <w:p w14:paraId="6190AAB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01C2506D">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6C89D0C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8A1ABA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22EF116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21A0653A">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CA5C7D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020910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30910F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A7D593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3DB5FBE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FDD354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4DCD63A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01C1C53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2DC2BEA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2AC9BD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bl>
    <w:p w14:paraId="2454F3B6">
      <w:pPr>
        <w:spacing w:line="400" w:lineRule="atLeast"/>
        <w:ind w:left="630" w:hanging="630" w:hangingChars="300"/>
        <w:rPr>
          <w:rFonts w:hint="eastAsia" w:ascii="宋体" w:hAnsi="宋体"/>
          <w:color w:val="auto"/>
          <w:szCs w:val="21"/>
          <w:highlight w:val="none"/>
        </w:rPr>
      </w:pPr>
      <w:r>
        <w:rPr>
          <w:rFonts w:hint="eastAsia"/>
          <w:color w:val="auto"/>
          <w:highlight w:val="none"/>
        </w:rPr>
        <w:t>备注</w:t>
      </w:r>
      <w:r>
        <w:rPr>
          <w:color w:val="auto"/>
          <w:highlight w:val="none"/>
        </w:rPr>
        <w:t>：</w:t>
      </w:r>
      <w:r>
        <w:rPr>
          <w:rFonts w:hint="eastAsia"/>
          <w:color w:val="auto"/>
          <w:szCs w:val="21"/>
          <w:highlight w:val="none"/>
        </w:rPr>
        <w:t>1</w:t>
      </w:r>
      <w:r>
        <w:rPr>
          <w:rFonts w:hint="eastAsia" w:ascii="宋体" w:hAnsi="宋体"/>
          <w:color w:val="auto"/>
          <w:szCs w:val="21"/>
          <w:highlight w:val="none"/>
        </w:rPr>
        <w:t>．执业、职业单位指拟投入的项目管理机构人员目前是否在投标人处注册执业或岗位登记</w:t>
      </w:r>
      <w:r>
        <w:rPr>
          <w:rFonts w:ascii="宋体" w:hAnsi="宋体"/>
          <w:color w:val="auto"/>
          <w:szCs w:val="21"/>
          <w:highlight w:val="none"/>
        </w:rPr>
        <w:t>。</w:t>
      </w:r>
    </w:p>
    <w:p w14:paraId="5B24AE3B">
      <w:pPr>
        <w:spacing w:line="420" w:lineRule="exact"/>
        <w:ind w:left="945" w:leftChars="300" w:hanging="315" w:hangingChars="150"/>
        <w:rPr>
          <w:rFonts w:hint="eastAsia" w:ascii="宋体" w:hAnsi="宋体"/>
          <w:color w:val="auto"/>
          <w:szCs w:val="21"/>
          <w:highlight w:val="none"/>
        </w:rPr>
      </w:pPr>
      <w:r>
        <w:rPr>
          <w:color w:val="auto"/>
          <w:szCs w:val="21"/>
          <w:highlight w:val="none"/>
        </w:rPr>
        <w:t>2</w:t>
      </w:r>
      <w:r>
        <w:rPr>
          <w:rFonts w:hint="eastAsia" w:ascii="宋体" w:hAnsi="宋体"/>
          <w:color w:val="auto"/>
          <w:szCs w:val="21"/>
          <w:highlight w:val="none"/>
        </w:rPr>
        <w:t>．附项目管理机构主要人员</w:t>
      </w:r>
      <w:r>
        <w:rPr>
          <w:rFonts w:ascii="宋体" w:hAnsi="宋体"/>
          <w:color w:val="auto"/>
          <w:szCs w:val="21"/>
          <w:highlight w:val="none"/>
        </w:rPr>
        <w:t>社会保险证明</w:t>
      </w:r>
      <w:r>
        <w:rPr>
          <w:rFonts w:hint="eastAsia" w:ascii="宋体" w:hAnsi="宋体"/>
          <w:color w:val="auto"/>
          <w:szCs w:val="21"/>
          <w:highlight w:val="none"/>
        </w:rPr>
        <w:t>的复印件。</w:t>
      </w:r>
      <w:r>
        <w:rPr>
          <w:rFonts w:ascii="宋体" w:hAnsi="宋体"/>
          <w:color w:val="auto"/>
          <w:szCs w:val="21"/>
          <w:highlight w:val="none"/>
        </w:rPr>
        <w:t>社会保险证明是指社会统筹保险基金管理部门出具的基本养老保险对账单或加盖社会统筹保险基金管理部门公章的单位缴费明细，以及企业缴费凭证（社会保险缴费发票或银行转账凭证等证明）；社会保险证明应至少体现以下内容：缴纳保险单位名称、人员姓名、社会保障号（或身份证号）、险种、缴费期限等。社会保险证明中缴费单位应与</w:t>
      </w:r>
      <w:r>
        <w:rPr>
          <w:rFonts w:hint="eastAsia" w:ascii="宋体" w:hAnsi="宋体"/>
          <w:color w:val="auto"/>
          <w:szCs w:val="21"/>
          <w:highlight w:val="none"/>
        </w:rPr>
        <w:t>投标</w:t>
      </w:r>
      <w:r>
        <w:rPr>
          <w:rFonts w:ascii="宋体" w:hAnsi="宋体"/>
          <w:color w:val="auto"/>
          <w:szCs w:val="21"/>
          <w:highlight w:val="none"/>
        </w:rPr>
        <w:t>单位一致</w:t>
      </w:r>
      <w:r>
        <w:rPr>
          <w:rFonts w:hint="eastAsia" w:ascii="宋体" w:hAnsi="宋体"/>
          <w:color w:val="auto"/>
          <w:szCs w:val="21"/>
          <w:highlight w:val="none"/>
        </w:rPr>
        <w:t>。</w:t>
      </w:r>
    </w:p>
    <w:p w14:paraId="0F7CF1F2">
      <w:pPr>
        <w:spacing w:line="420" w:lineRule="exact"/>
        <w:ind w:left="945" w:leftChars="300" w:hanging="315" w:hangingChars="150"/>
        <w:rPr>
          <w:rFonts w:ascii="宋体" w:hAnsi="宋体"/>
          <w:color w:val="auto"/>
          <w:szCs w:val="21"/>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AndChars" w:linePitch="319" w:charSpace="0"/>
        </w:sectPr>
      </w:pPr>
    </w:p>
    <w:p w14:paraId="0D958113">
      <w:pPr>
        <w:spacing w:line="420" w:lineRule="exact"/>
        <w:ind w:left="945" w:leftChars="300" w:hanging="315" w:hangingChars="150"/>
        <w:rPr>
          <w:rFonts w:hint="eastAsia" w:ascii="宋体" w:hAnsi="宋体"/>
          <w:color w:val="auto"/>
          <w:szCs w:val="21"/>
          <w:highlight w:val="none"/>
        </w:rPr>
      </w:pPr>
    </w:p>
    <w:p w14:paraId="2046C305">
      <w:pPr>
        <w:pStyle w:val="6"/>
        <w:spacing w:before="159"/>
        <w:jc w:val="center"/>
        <w:rPr>
          <w:rFonts w:hint="eastAsia"/>
          <w:color w:val="auto"/>
          <w:highlight w:val="none"/>
        </w:rPr>
      </w:pPr>
      <w:bookmarkStart w:id="3759" w:name="_Toc21877_WPSOffice_Level2"/>
      <w:bookmarkStart w:id="3760" w:name="_Toc519085664"/>
      <w:bookmarkStart w:id="3761" w:name="_Toc1390"/>
      <w:bookmarkStart w:id="3762" w:name="_Toc456173559"/>
      <w:bookmarkStart w:id="3763" w:name="_Toc426496251"/>
      <w:r>
        <w:rPr>
          <w:rFonts w:hint="eastAsia"/>
          <w:color w:val="auto"/>
          <w:highlight w:val="none"/>
        </w:rPr>
        <w:t>（二）项目负责人简历表</w:t>
      </w:r>
      <w:bookmarkEnd w:id="3759"/>
      <w:bookmarkEnd w:id="3760"/>
      <w:bookmarkEnd w:id="3761"/>
      <w:bookmarkEnd w:id="3762"/>
      <w:bookmarkEnd w:id="3763"/>
    </w:p>
    <w:p w14:paraId="04B148D9">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227"/>
        <w:gridCol w:w="432"/>
        <w:gridCol w:w="325"/>
        <w:gridCol w:w="1090"/>
        <w:gridCol w:w="1222"/>
        <w:gridCol w:w="479"/>
        <w:gridCol w:w="1539"/>
        <w:gridCol w:w="2051"/>
      </w:tblGrid>
      <w:tr w14:paraId="358F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049" w:type="dxa"/>
            <w:noWrap w:val="0"/>
            <w:vAlign w:val="center"/>
          </w:tcPr>
          <w:p w14:paraId="1B1F9696">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132E7C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3E812F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330824B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E9EB88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6677B2E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7F3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714B45C2">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664BEA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1DB9C0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490648F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r>
      <w:tr w14:paraId="1486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265BC7C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2E4C78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6DE3F06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4E041A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941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6" w:type="dxa"/>
            <w:gridSpan w:val="2"/>
            <w:noWrap w:val="0"/>
            <w:vAlign w:val="center"/>
          </w:tcPr>
          <w:p w14:paraId="2D4E20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138" w:type="dxa"/>
            <w:gridSpan w:val="7"/>
            <w:noWrap w:val="0"/>
            <w:vAlign w:val="center"/>
          </w:tcPr>
          <w:p w14:paraId="0A87F8CE">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5A51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5F0B759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6EE5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130CE6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29116C5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担任过类似项目项目负责人的</w:t>
            </w:r>
          </w:p>
          <w:p w14:paraId="7651523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3590" w:type="dxa"/>
            <w:gridSpan w:val="2"/>
            <w:noWrap w:val="0"/>
            <w:vAlign w:val="center"/>
          </w:tcPr>
          <w:p w14:paraId="0A6A367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0A00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AAC62C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52D28A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BA54E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8D4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F51CA2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B245E3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8EB11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BA8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3F854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CC9058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6F0C5E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41A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728ACB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6D1C24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FA2EBE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E4E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2E110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D814F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C57F3B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8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5AF74D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1F3728A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D502FD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04D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0739A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3DB871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3DC268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EAD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0006CD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近年项目负责人</w:t>
            </w:r>
            <w:r>
              <w:rPr>
                <w:rFonts w:hint="eastAsia" w:ascii="宋体" w:hAnsi="宋体" w:eastAsia="宋体" w:cs="Times New Roman"/>
                <w:color w:val="auto"/>
                <w:szCs w:val="21"/>
                <w:highlight w:val="none"/>
              </w:rPr>
              <w:t>获得的表彰</w:t>
            </w:r>
          </w:p>
        </w:tc>
      </w:tr>
      <w:tr w14:paraId="08DB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854340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3B4C2FF3">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467DCEAA">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1EC3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221994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2A77D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AB359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354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C7FFB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7173E9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1EC4D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858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669717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DB06F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6FCA9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1224C9E8">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.项目负责人的证明资料按下列顺序附后，资格证书</w:t>
      </w:r>
      <w:r>
        <w:rPr>
          <w:rFonts w:hint="eastAsia" w:ascii="宋体" w:hAnsi="宋体"/>
          <w:color w:val="auto"/>
          <w:szCs w:val="21"/>
          <w:highlight w:val="none"/>
        </w:rPr>
        <w:t>（如有）</w:t>
      </w:r>
      <w:r>
        <w:rPr>
          <w:rFonts w:hint="eastAsia" w:ascii="宋体" w:hAnsi="宋体"/>
          <w:color w:val="auto"/>
          <w:highlight w:val="none"/>
        </w:rPr>
        <w:t>、注册证书、职称证、学历证复印件。</w:t>
      </w:r>
    </w:p>
    <w:p w14:paraId="43C26B84">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中标通知书（如有）、合同协议书、工程接收证书或工程竣工验收证书（工程竣工验收备案证）及其他证明材料（如需要）的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30AE0596">
      <w:pPr>
        <w:spacing w:line="420" w:lineRule="exact"/>
        <w:ind w:left="525" w:leftChars="250" w:firstLine="105" w:firstLineChars="50"/>
        <w:rPr>
          <w:rFonts w:hint="eastAsia"/>
          <w:color w:val="auto"/>
          <w:highlight w:val="none"/>
        </w:rPr>
      </w:pPr>
      <w:r>
        <w:rPr>
          <w:rFonts w:hint="eastAsia"/>
          <w:color w:val="auto"/>
          <w:highlight w:val="none"/>
        </w:rPr>
        <w:t>3</w:t>
      </w:r>
      <w:r>
        <w:rPr>
          <w:rFonts w:hint="eastAsia" w:ascii="宋体" w:hAnsi="宋体"/>
          <w:color w:val="auto"/>
          <w:szCs w:val="21"/>
          <w:highlight w:val="none"/>
        </w:rPr>
        <w:t>.</w:t>
      </w:r>
      <w:r>
        <w:rPr>
          <w:rFonts w:ascii="宋体" w:hAnsi="宋体"/>
          <w:color w:val="auto"/>
          <w:szCs w:val="21"/>
          <w:highlight w:val="none"/>
        </w:rPr>
        <w:t>项目负责人</w:t>
      </w:r>
      <w:r>
        <w:rPr>
          <w:rFonts w:hint="eastAsia" w:ascii="宋体" w:hAnsi="宋体"/>
          <w:color w:val="auto"/>
          <w:szCs w:val="21"/>
          <w:highlight w:val="none"/>
        </w:rPr>
        <w:t>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00609E0A">
      <w:pPr>
        <w:pStyle w:val="6"/>
        <w:spacing w:before="159"/>
        <w:jc w:val="center"/>
        <w:rPr>
          <w:rFonts w:hint="eastAsia"/>
          <w:color w:val="auto"/>
          <w:highlight w:val="none"/>
        </w:rPr>
      </w:pPr>
      <w:bookmarkStart w:id="3764" w:name="_Toc9506_WPSOffice_Level2"/>
      <w:bookmarkStart w:id="3765" w:name="_Toc519085665"/>
      <w:bookmarkStart w:id="3766" w:name="_Toc29243"/>
      <w:r>
        <w:rPr>
          <w:rFonts w:hint="eastAsia"/>
          <w:color w:val="auto"/>
          <w:highlight w:val="none"/>
        </w:rPr>
        <w:t>（三）设计负责人简历表</w:t>
      </w:r>
      <w:bookmarkEnd w:id="3764"/>
      <w:bookmarkEnd w:id="3765"/>
      <w:bookmarkEnd w:id="3766"/>
    </w:p>
    <w:p w14:paraId="69337929">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06"/>
        <w:gridCol w:w="553"/>
        <w:gridCol w:w="325"/>
        <w:gridCol w:w="1090"/>
        <w:gridCol w:w="1222"/>
        <w:gridCol w:w="479"/>
        <w:gridCol w:w="1539"/>
        <w:gridCol w:w="2051"/>
      </w:tblGrid>
      <w:tr w14:paraId="635E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7D11664D">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59935DB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651B8F8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58199E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337B2D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16080B3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506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3DC62F1F">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5B175AF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48C393E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4E9EBA9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设计负责人</w:t>
            </w:r>
          </w:p>
        </w:tc>
      </w:tr>
      <w:tr w14:paraId="74EB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585BD37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7CEE65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188ED78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0EA2C4D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FE8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gridSpan w:val="2"/>
            <w:noWrap w:val="0"/>
            <w:vAlign w:val="center"/>
          </w:tcPr>
          <w:p w14:paraId="2E8ED1AA">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59" w:type="dxa"/>
            <w:gridSpan w:val="7"/>
            <w:noWrap w:val="0"/>
            <w:vAlign w:val="center"/>
          </w:tcPr>
          <w:p w14:paraId="7BC80E53">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5B97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5C9596C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6F59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113EF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703DE1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担任过类似项目设计负责人的项目名称</w:t>
            </w:r>
          </w:p>
        </w:tc>
        <w:tc>
          <w:tcPr>
            <w:tcW w:w="3590" w:type="dxa"/>
            <w:gridSpan w:val="2"/>
            <w:noWrap w:val="0"/>
            <w:vAlign w:val="center"/>
          </w:tcPr>
          <w:p w14:paraId="79EDC4A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287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0C3AFB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0BB039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D6F6E9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46B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DE60DD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5D4C10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5FA21B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8B4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99D7C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662427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84D57B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3EB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206761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134C1C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1B7B22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4BB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292C15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B0D0A8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53292B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AE7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115111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A2063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F1179D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60D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708" w:type="dxa"/>
            <w:gridSpan w:val="3"/>
            <w:noWrap w:val="0"/>
            <w:vAlign w:val="center"/>
          </w:tcPr>
          <w:p w14:paraId="6525BBE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B05468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73FEEF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40F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399AE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57D5D8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80F692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857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5203BB6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w:t>
            </w:r>
            <w:r>
              <w:rPr>
                <w:rFonts w:hint="eastAsia" w:ascii="宋体" w:hAnsi="宋体" w:eastAsia="宋体" w:cs="Times New Roman"/>
                <w:color w:val="auto"/>
                <w:szCs w:val="21"/>
                <w:highlight w:val="none"/>
              </w:rPr>
              <w:t>获得的表彰</w:t>
            </w:r>
          </w:p>
        </w:tc>
      </w:tr>
      <w:tr w14:paraId="5618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47EC17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0BD4222E">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7AD8EDB5">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424D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6C2879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55210A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2312B2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8A3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A4F5DC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65D1D8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65517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8F0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708" w:type="dxa"/>
            <w:gridSpan w:val="3"/>
            <w:noWrap w:val="0"/>
            <w:vAlign w:val="center"/>
          </w:tcPr>
          <w:p w14:paraId="2B94C21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80771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FC2371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4745CEF2">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.设计负责人的证明资料按下列顺序附后，资格证书</w:t>
      </w:r>
      <w:r>
        <w:rPr>
          <w:rFonts w:hint="eastAsia" w:ascii="宋体" w:hAnsi="宋体"/>
          <w:color w:val="auto"/>
          <w:szCs w:val="21"/>
          <w:highlight w:val="none"/>
        </w:rPr>
        <w:t>（如有）</w:t>
      </w:r>
      <w:r>
        <w:rPr>
          <w:rFonts w:hint="eastAsia" w:ascii="宋体" w:hAnsi="宋体"/>
          <w:color w:val="auto"/>
          <w:highlight w:val="none"/>
        </w:rPr>
        <w:t>、注册证书、职称证、学历证复印件。</w:t>
      </w:r>
    </w:p>
    <w:p w14:paraId="11FED610">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5D0DC3D5">
      <w:pPr>
        <w:spacing w:line="420" w:lineRule="exact"/>
        <w:ind w:left="525" w:leftChars="250" w:firstLine="105" w:firstLineChars="50"/>
        <w:rPr>
          <w:rFonts w:hint="eastAsia" w:ascii="宋体" w:hAnsi="宋体"/>
          <w:color w:val="auto"/>
          <w:highlight w:val="none"/>
        </w:rPr>
      </w:pPr>
      <w:r>
        <w:rPr>
          <w:rFonts w:hint="eastAsia"/>
          <w:color w:val="auto"/>
          <w:highlight w:val="none"/>
        </w:rPr>
        <w:t>3</w:t>
      </w:r>
      <w:r>
        <w:rPr>
          <w:rFonts w:hint="eastAsia" w:ascii="宋体" w:hAnsi="宋体"/>
          <w:color w:val="auto"/>
          <w:szCs w:val="21"/>
          <w:highlight w:val="none"/>
        </w:rPr>
        <w:t>.设计负责人表彰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13B6A26B">
      <w:pPr>
        <w:pStyle w:val="6"/>
        <w:spacing w:before="159"/>
        <w:jc w:val="center"/>
        <w:rPr>
          <w:rFonts w:hint="eastAsia"/>
          <w:color w:val="auto"/>
          <w:highlight w:val="none"/>
        </w:rPr>
      </w:pPr>
      <w:bookmarkStart w:id="3767" w:name="_Toc519085666"/>
      <w:bookmarkStart w:id="3768" w:name="_Toc8566"/>
      <w:bookmarkStart w:id="3769" w:name="_Toc9404_WPSOffice_Level2"/>
      <w:r>
        <w:rPr>
          <w:rFonts w:hint="eastAsia"/>
          <w:color w:val="auto"/>
          <w:highlight w:val="none"/>
        </w:rPr>
        <w:t>（四）施工负责人简历表</w:t>
      </w:r>
      <w:bookmarkEnd w:id="3767"/>
      <w:bookmarkEnd w:id="3768"/>
      <w:bookmarkEnd w:id="3769"/>
    </w:p>
    <w:p w14:paraId="68DF7A15">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06"/>
        <w:gridCol w:w="553"/>
        <w:gridCol w:w="325"/>
        <w:gridCol w:w="1090"/>
        <w:gridCol w:w="1222"/>
        <w:gridCol w:w="479"/>
        <w:gridCol w:w="1539"/>
        <w:gridCol w:w="2051"/>
      </w:tblGrid>
      <w:tr w14:paraId="41E1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5D3CBE28">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2D91F8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5149DEA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6F00A1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D36D24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0D8A6FA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E32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4C31B029">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3E0164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484EA7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49939DE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施工负责人</w:t>
            </w:r>
          </w:p>
        </w:tc>
      </w:tr>
      <w:tr w14:paraId="1B2A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4521B7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注册建造师执业资格等级</w:t>
            </w:r>
          </w:p>
        </w:tc>
        <w:tc>
          <w:tcPr>
            <w:tcW w:w="1222" w:type="dxa"/>
            <w:noWrap w:val="0"/>
            <w:vAlign w:val="center"/>
          </w:tcPr>
          <w:p w14:paraId="69637B2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222967C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7583438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7EC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gridSpan w:val="2"/>
            <w:noWrap w:val="0"/>
            <w:vAlign w:val="center"/>
          </w:tcPr>
          <w:p w14:paraId="13BD38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59" w:type="dxa"/>
            <w:gridSpan w:val="7"/>
            <w:noWrap w:val="0"/>
            <w:vAlign w:val="center"/>
          </w:tcPr>
          <w:p w14:paraId="77E7A8EF">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1CB1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55AFFEE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45C5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F1746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22202DD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担任过类似项目施工负责人的项目名称</w:t>
            </w:r>
          </w:p>
        </w:tc>
        <w:tc>
          <w:tcPr>
            <w:tcW w:w="3590" w:type="dxa"/>
            <w:gridSpan w:val="2"/>
            <w:noWrap w:val="0"/>
            <w:vAlign w:val="center"/>
          </w:tcPr>
          <w:p w14:paraId="6180030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5162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90113A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8CFFDF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39FA5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11D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112B1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3BBD34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B2CC1C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532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C7378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EF69C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BA995B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3B3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C43A3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D26FFC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F3BA8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0F3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91DE4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D45AF9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56CD5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F13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3F078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E70EDE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639FA8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945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1732FD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4AEA94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AD3981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4C6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62D444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w:t>
            </w:r>
            <w:r>
              <w:rPr>
                <w:rFonts w:hint="eastAsia" w:ascii="宋体" w:hAnsi="宋体" w:eastAsia="宋体" w:cs="Times New Roman"/>
                <w:color w:val="auto"/>
                <w:szCs w:val="21"/>
                <w:highlight w:val="none"/>
              </w:rPr>
              <w:t>获得的表彰</w:t>
            </w:r>
          </w:p>
        </w:tc>
      </w:tr>
      <w:tr w14:paraId="560A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24A26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1226C0DD">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14D3D4D0">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55F1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9B31D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A15D33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581EE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9B3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F3765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05F0B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377E9E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A38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0E71F1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8C6FF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FE2AB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7785A9E0">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.施工负责人的证明资料按下列顺序附后，建造师资格证书</w:t>
      </w:r>
      <w:r>
        <w:rPr>
          <w:rFonts w:hint="eastAsia" w:ascii="宋体" w:hAnsi="宋体"/>
          <w:color w:val="auto"/>
          <w:szCs w:val="21"/>
          <w:highlight w:val="none"/>
        </w:rPr>
        <w:t>（如有）</w:t>
      </w:r>
      <w:r>
        <w:rPr>
          <w:rFonts w:hint="eastAsia" w:ascii="宋体" w:hAnsi="宋体"/>
          <w:color w:val="auto"/>
          <w:highlight w:val="none"/>
        </w:rPr>
        <w:t>、注册证书(临时执业证书)、安全生产考核合格证书</w:t>
      </w:r>
      <w:r>
        <w:rPr>
          <w:color w:val="auto"/>
          <w:highlight w:val="none"/>
        </w:rPr>
        <w:t>（</w:t>
      </w:r>
      <w:r>
        <w:rPr>
          <w:rFonts w:hint="eastAsia"/>
          <w:color w:val="auto"/>
          <w:highlight w:val="none"/>
        </w:rPr>
        <w:t>B证</w:t>
      </w:r>
      <w:r>
        <w:rPr>
          <w:color w:val="auto"/>
          <w:highlight w:val="none"/>
        </w:rPr>
        <w:t>）</w:t>
      </w:r>
      <w:r>
        <w:rPr>
          <w:rFonts w:hint="eastAsia" w:ascii="宋体" w:hAnsi="宋体"/>
          <w:color w:val="auto"/>
          <w:highlight w:val="none"/>
        </w:rPr>
        <w:t>、职称证、学历证复印件。</w:t>
      </w:r>
    </w:p>
    <w:p w14:paraId="5484E26F">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中标通知书（如有）、合同协议书、工程接收证书或工程竣工验收证书（工程竣工验收备案证）及其他证明材料（如需要）的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358E0F4E">
      <w:pPr>
        <w:spacing w:line="420" w:lineRule="exact"/>
        <w:ind w:left="525" w:leftChars="250" w:firstLine="105" w:firstLineChars="50"/>
        <w:rPr>
          <w:rFonts w:hint="eastAsia"/>
          <w:color w:val="auto"/>
          <w:highlight w:val="none"/>
        </w:rPr>
      </w:pPr>
      <w:r>
        <w:rPr>
          <w:rFonts w:hint="eastAsia"/>
          <w:color w:val="auto"/>
          <w:highlight w:val="none"/>
        </w:rPr>
        <w:t>3</w:t>
      </w:r>
      <w:r>
        <w:rPr>
          <w:rFonts w:hint="eastAsia" w:ascii="宋体" w:hAnsi="宋体"/>
          <w:color w:val="auto"/>
          <w:szCs w:val="21"/>
          <w:highlight w:val="none"/>
        </w:rPr>
        <w:t>.施工负责人表彰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309012D7">
      <w:pPr>
        <w:spacing w:line="420" w:lineRule="exact"/>
        <w:ind w:left="525" w:leftChars="250" w:firstLine="105" w:firstLineChars="50"/>
        <w:rPr>
          <w:rFonts w:hint="eastAsia"/>
          <w:color w:val="auto"/>
          <w:highlight w:val="none"/>
        </w:rPr>
      </w:pPr>
    </w:p>
    <w:p w14:paraId="547625FC">
      <w:pPr>
        <w:spacing w:line="420" w:lineRule="exact"/>
        <w:ind w:left="525" w:leftChars="250" w:firstLine="105" w:firstLineChars="50"/>
        <w:rPr>
          <w:rFonts w:hint="eastAsia"/>
          <w:color w:val="auto"/>
          <w:highlight w:val="none"/>
        </w:rPr>
      </w:pPr>
    </w:p>
    <w:p w14:paraId="698D8A6B">
      <w:pPr>
        <w:spacing w:line="420" w:lineRule="exact"/>
        <w:ind w:left="525" w:leftChars="250" w:firstLine="105" w:firstLineChars="50"/>
        <w:rPr>
          <w:rFonts w:hint="eastAsia"/>
          <w:color w:val="auto"/>
          <w:highlight w:val="none"/>
        </w:rPr>
      </w:pPr>
      <w:bookmarkStart w:id="3770" w:name="_Toc11706_WPSOffice_Level2"/>
      <w:bookmarkStart w:id="3771" w:name="_Toc461454883"/>
    </w:p>
    <w:p w14:paraId="3934ACDF">
      <w:pPr>
        <w:pStyle w:val="6"/>
        <w:spacing w:before="159"/>
        <w:jc w:val="center"/>
        <w:rPr>
          <w:rFonts w:hint="eastAsia"/>
          <w:color w:val="auto"/>
          <w:highlight w:val="none"/>
        </w:rPr>
      </w:pPr>
      <w:r>
        <w:rPr>
          <w:rFonts w:hint="eastAsia"/>
          <w:color w:val="auto"/>
          <w:highlight w:val="none"/>
        </w:rPr>
        <w:t>（五）其他主要项目管理人员简历表</w:t>
      </w:r>
      <w:bookmarkEnd w:id="3770"/>
      <w:bookmarkEnd w:id="3771"/>
    </w:p>
    <w:p w14:paraId="364C5370">
      <w:pPr>
        <w:ind w:firstLine="1050" w:firstLineChars="500"/>
        <w:rPr>
          <w:rFonts w:hint="eastAsia" w:ascii="宋体" w:hAnsi="宋体"/>
          <w:color w:val="auto"/>
          <w:szCs w:val="21"/>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85"/>
        <w:gridCol w:w="574"/>
        <w:gridCol w:w="325"/>
        <w:gridCol w:w="1090"/>
        <w:gridCol w:w="1222"/>
        <w:gridCol w:w="479"/>
        <w:gridCol w:w="1539"/>
        <w:gridCol w:w="2051"/>
      </w:tblGrid>
      <w:tr w14:paraId="318E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25B39839">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1AF0EA8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660AE03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4EC1FB0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24B0C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359AB4E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393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4A467C10">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6CE683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5258B8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51D5BAE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638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62CF403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09D8B7F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78FE816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220D826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186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gridSpan w:val="2"/>
            <w:noWrap w:val="0"/>
            <w:vAlign w:val="center"/>
          </w:tcPr>
          <w:p w14:paraId="5C21014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80" w:type="dxa"/>
            <w:gridSpan w:val="7"/>
            <w:noWrap w:val="0"/>
            <w:vAlign w:val="center"/>
          </w:tcPr>
          <w:p w14:paraId="32D4DB82">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16CD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686C72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43B2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37CD30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73E81D7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参加过的类似项目名称</w:t>
            </w:r>
          </w:p>
        </w:tc>
        <w:tc>
          <w:tcPr>
            <w:tcW w:w="3590" w:type="dxa"/>
            <w:gridSpan w:val="2"/>
            <w:noWrap w:val="0"/>
            <w:vAlign w:val="center"/>
          </w:tcPr>
          <w:p w14:paraId="2E3B453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53A2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2CD507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F99DA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FA04CF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C61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8B457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0DD01A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ED7C4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E6A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CD004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1E735A4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660771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7D4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70C54B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E480B7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BE41C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4DE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144E78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A16CDD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F9C821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A9E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E3C4C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3B1DBE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E7E919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C56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AF9CE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1788E5F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4B7F1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82C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B261F8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322B6A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A9BFD5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9E8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81FB41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C022E1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92DEA9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26EB996D">
      <w:pPr>
        <w:spacing w:line="440" w:lineRule="exact"/>
        <w:jc w:val="right"/>
        <w:rPr>
          <w:rFonts w:ascii="宋体" w:hAnsi="宋体"/>
          <w:color w:val="auto"/>
          <w:szCs w:val="21"/>
          <w:highlight w:val="none"/>
        </w:rPr>
      </w:pPr>
    </w:p>
    <w:p w14:paraId="653663F2">
      <w:pPr>
        <w:ind w:left="840" w:hanging="840" w:hangingChars="400"/>
        <w:rPr>
          <w:rFonts w:hint="eastAsia" w:ascii="宋体" w:hAnsi="宋体"/>
          <w:color w:val="auto"/>
          <w:highlight w:val="none"/>
        </w:rPr>
      </w:pPr>
    </w:p>
    <w:p w14:paraId="244B441B">
      <w:pPr>
        <w:ind w:left="840" w:hanging="840" w:hangingChars="400"/>
        <w:rPr>
          <w:rFonts w:hint="eastAsia" w:ascii="宋体" w:hAnsi="宋体"/>
          <w:color w:val="auto"/>
          <w:highlight w:val="none"/>
        </w:rPr>
      </w:pPr>
    </w:p>
    <w:p w14:paraId="27021FFA">
      <w:pPr>
        <w:ind w:left="840" w:hanging="840" w:hangingChars="400"/>
        <w:rPr>
          <w:rFonts w:hint="eastAsia" w:ascii="宋体" w:hAnsi="宋体"/>
          <w:color w:val="auto"/>
          <w:highlight w:val="none"/>
        </w:rPr>
      </w:pPr>
    </w:p>
    <w:p w14:paraId="6A7871CE">
      <w:pPr>
        <w:ind w:left="840" w:hanging="840" w:hangingChars="400"/>
        <w:rPr>
          <w:rFonts w:hint="eastAsia" w:ascii="宋体" w:hAnsi="宋体"/>
          <w:color w:val="auto"/>
          <w:highlight w:val="none"/>
        </w:rPr>
      </w:pPr>
    </w:p>
    <w:p w14:paraId="1B0BFFA9">
      <w:pPr>
        <w:ind w:left="840" w:hanging="840" w:hangingChars="400"/>
        <w:rPr>
          <w:rFonts w:hint="eastAsia" w:ascii="宋体" w:hAnsi="宋体"/>
          <w:color w:val="auto"/>
          <w:highlight w:val="none"/>
        </w:rPr>
      </w:pPr>
    </w:p>
    <w:p w14:paraId="1F4EE320">
      <w:pPr>
        <w:ind w:left="840" w:hanging="840" w:hangingChars="400"/>
        <w:rPr>
          <w:rFonts w:hint="eastAsia" w:ascii="宋体" w:hAnsi="宋体"/>
          <w:color w:val="auto"/>
          <w:highlight w:val="none"/>
        </w:rPr>
      </w:pPr>
    </w:p>
    <w:p w14:paraId="2C8CC3D2">
      <w:pPr>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.应附资格证书（如有）、注册证书（临时执业证书）（如有）、岗位培训考核合格证书（如有）、职称证、学历证复印件。</w:t>
      </w:r>
    </w:p>
    <w:p w14:paraId="5891DB03">
      <w:pPr>
        <w:ind w:firstLine="630" w:firstLineChars="300"/>
        <w:rPr>
          <w:rFonts w:hint="eastAsia"/>
          <w:color w:val="auto"/>
          <w:highlight w:val="none"/>
        </w:rPr>
      </w:pPr>
      <w:r>
        <w:rPr>
          <w:rFonts w:hint="eastAsia"/>
          <w:color w:val="auto"/>
          <w:szCs w:val="21"/>
          <w:highlight w:val="none"/>
        </w:rPr>
        <w:t>2</w:t>
      </w:r>
      <w:r>
        <w:rPr>
          <w:rFonts w:hint="eastAsia" w:ascii="宋体" w:hAnsi="宋体"/>
          <w:color w:val="auto"/>
          <w:szCs w:val="21"/>
          <w:highlight w:val="none"/>
        </w:rPr>
        <w:t>.每张表格只填写一个人，并标明序号</w:t>
      </w:r>
      <w:r>
        <w:rPr>
          <w:rFonts w:hint="eastAsia" w:ascii="宋体" w:hAnsi="宋体"/>
          <w:color w:val="auto"/>
          <w:highlight w:val="none"/>
        </w:rPr>
        <w:t>。</w:t>
      </w:r>
    </w:p>
    <w:p w14:paraId="0DD07A7A">
      <w:pPr>
        <w:pStyle w:val="90"/>
        <w:spacing w:before="63"/>
        <w:rPr>
          <w:color w:val="auto"/>
          <w:sz w:val="28"/>
          <w:szCs w:val="28"/>
          <w:highlight w:val="none"/>
        </w:rPr>
      </w:pPr>
      <w:bookmarkStart w:id="3772" w:name="_Toc222032737"/>
      <w:bookmarkStart w:id="3773" w:name="_Toc6743"/>
      <w:bookmarkStart w:id="3774" w:name="_Toc229305428"/>
      <w:bookmarkStart w:id="3775" w:name="_Toc144974874"/>
      <w:bookmarkStart w:id="3776" w:name="_Toc456173564"/>
      <w:bookmarkStart w:id="3777" w:name="_Toc387753634"/>
      <w:bookmarkStart w:id="3778" w:name="_Toc16459_WPSOffice_Level1"/>
      <w:bookmarkStart w:id="3779" w:name="_Toc168475933"/>
      <w:bookmarkStart w:id="3780" w:name="_Toc10486"/>
      <w:bookmarkStart w:id="3781" w:name="_Toc519085670"/>
      <w:bookmarkStart w:id="3782" w:name="_Toc12210"/>
      <w:bookmarkStart w:id="3783" w:name="_Toc221952142"/>
      <w:bookmarkStart w:id="3784" w:name="_Toc32668"/>
      <w:bookmarkStart w:id="3785" w:name="_Toc31687"/>
      <w:bookmarkStart w:id="3786" w:name="_Toc26901"/>
      <w:bookmarkStart w:id="3787" w:name="_Toc222029568"/>
      <w:bookmarkStart w:id="3788" w:name="_Toc222033919"/>
      <w:bookmarkStart w:id="3789" w:name="_Toc168476336"/>
      <w:bookmarkStart w:id="3790" w:name="_Toc222031070"/>
      <w:r>
        <w:rPr>
          <w:rFonts w:hint="eastAsia"/>
          <w:color w:val="auto"/>
          <w:sz w:val="28"/>
          <w:szCs w:val="28"/>
          <w:highlight w:val="none"/>
        </w:rPr>
        <w:t>十</w:t>
      </w:r>
      <w:r>
        <w:rPr>
          <w:color w:val="auto"/>
          <w:sz w:val="28"/>
          <w:szCs w:val="28"/>
          <w:highlight w:val="none"/>
        </w:rPr>
        <w:t>、拟分包项目情况表</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14:paraId="708D4777">
      <w:pPr>
        <w:spacing w:line="440" w:lineRule="exact"/>
        <w:rPr>
          <w:rFonts w:hint="eastAsia" w:eastAsia="黑体"/>
          <w:color w:val="auto"/>
          <w:sz w:val="20"/>
          <w:szCs w:val="20"/>
          <w:highlight w:val="none"/>
        </w:rPr>
      </w:pPr>
      <w:r>
        <w:rPr>
          <w:rFonts w:eastAsia="黑体"/>
          <w:color w:val="auto"/>
          <w:sz w:val="20"/>
          <w:szCs w:val="20"/>
          <w:highlight w:val="none"/>
        </w:rPr>
        <w:t xml:space="preserve">                          </w:t>
      </w:r>
    </w:p>
    <w:tbl>
      <w:tblPr>
        <w:tblStyle w:val="3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5"/>
        <w:gridCol w:w="1419"/>
        <w:gridCol w:w="2551"/>
      </w:tblGrid>
      <w:tr w14:paraId="0523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51207028">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1" w:name="_Toc221952143"/>
            <w:r>
              <w:rPr>
                <w:rFonts w:ascii="宋体" w:hAnsi="宋体" w:eastAsia="宋体" w:cs="Times New Roman"/>
                <w:color w:val="auto"/>
                <w:szCs w:val="21"/>
                <w:highlight w:val="none"/>
              </w:rPr>
              <w:t>分包人名称</w:t>
            </w:r>
            <w:bookmarkEnd w:id="3791"/>
          </w:p>
        </w:tc>
        <w:tc>
          <w:tcPr>
            <w:tcW w:w="6945" w:type="dxa"/>
            <w:gridSpan w:val="3"/>
            <w:noWrap w:val="0"/>
            <w:vAlign w:val="center"/>
          </w:tcPr>
          <w:p w14:paraId="288C46C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58D1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3C32D62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2" w:name="_Toc221952144"/>
            <w:r>
              <w:rPr>
                <w:rFonts w:ascii="宋体" w:hAnsi="宋体" w:eastAsia="宋体" w:cs="Times New Roman"/>
                <w:color w:val="auto"/>
                <w:szCs w:val="21"/>
                <w:highlight w:val="none"/>
              </w:rPr>
              <w:t>地</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址</w:t>
            </w:r>
            <w:bookmarkEnd w:id="3792"/>
          </w:p>
        </w:tc>
        <w:tc>
          <w:tcPr>
            <w:tcW w:w="6945" w:type="dxa"/>
            <w:gridSpan w:val="3"/>
            <w:noWrap w:val="0"/>
            <w:vAlign w:val="center"/>
          </w:tcPr>
          <w:p w14:paraId="102F95EA">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64EA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6EFACE03">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3" w:name="_Toc221952145"/>
            <w:r>
              <w:rPr>
                <w:rFonts w:ascii="宋体" w:hAnsi="宋体" w:eastAsia="宋体" w:cs="Times New Roman"/>
                <w:color w:val="auto"/>
                <w:szCs w:val="21"/>
                <w:highlight w:val="none"/>
              </w:rPr>
              <w:t>法定代表人</w:t>
            </w:r>
            <w:bookmarkEnd w:id="3793"/>
          </w:p>
        </w:tc>
        <w:tc>
          <w:tcPr>
            <w:tcW w:w="2975" w:type="dxa"/>
            <w:noWrap w:val="0"/>
            <w:vAlign w:val="center"/>
          </w:tcPr>
          <w:p w14:paraId="58D742D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0A7D979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4" w:name="_Toc221952146"/>
            <w:r>
              <w:rPr>
                <w:rFonts w:ascii="宋体" w:hAnsi="宋体" w:eastAsia="宋体" w:cs="Times New Roman"/>
                <w:color w:val="auto"/>
                <w:szCs w:val="21"/>
                <w:highlight w:val="none"/>
              </w:rPr>
              <w:t>电</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话</w:t>
            </w:r>
            <w:bookmarkEnd w:id="3794"/>
          </w:p>
        </w:tc>
        <w:tc>
          <w:tcPr>
            <w:tcW w:w="2551" w:type="dxa"/>
            <w:noWrap w:val="0"/>
            <w:vAlign w:val="center"/>
          </w:tcPr>
          <w:p w14:paraId="367D946E">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0419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28F5D17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5" w:name="_Toc221952147"/>
            <w:r>
              <w:rPr>
                <w:rFonts w:ascii="宋体" w:hAnsi="宋体" w:eastAsia="宋体" w:cs="Times New Roman"/>
                <w:color w:val="auto"/>
                <w:szCs w:val="21"/>
                <w:highlight w:val="none"/>
              </w:rPr>
              <w:t>营业执照号码</w:t>
            </w:r>
            <w:bookmarkEnd w:id="3795"/>
          </w:p>
        </w:tc>
        <w:tc>
          <w:tcPr>
            <w:tcW w:w="2975" w:type="dxa"/>
            <w:noWrap w:val="0"/>
            <w:vAlign w:val="center"/>
          </w:tcPr>
          <w:p w14:paraId="3129D3F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13CB01F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6" w:name="_Toc221952148"/>
            <w:r>
              <w:rPr>
                <w:rFonts w:ascii="宋体" w:hAnsi="宋体" w:eastAsia="宋体" w:cs="Times New Roman"/>
                <w:color w:val="auto"/>
                <w:szCs w:val="21"/>
                <w:highlight w:val="none"/>
              </w:rPr>
              <w:t>资质等级</w:t>
            </w:r>
            <w:bookmarkEnd w:id="3796"/>
          </w:p>
        </w:tc>
        <w:tc>
          <w:tcPr>
            <w:tcW w:w="2551" w:type="dxa"/>
            <w:noWrap w:val="0"/>
            <w:vAlign w:val="center"/>
          </w:tcPr>
          <w:p w14:paraId="4785F11B">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60A3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noWrap w:val="0"/>
            <w:vAlign w:val="center"/>
          </w:tcPr>
          <w:p w14:paraId="4588E43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7" w:name="_Toc221952149"/>
            <w:r>
              <w:rPr>
                <w:rFonts w:ascii="宋体" w:hAnsi="宋体" w:eastAsia="宋体" w:cs="Times New Roman"/>
                <w:color w:val="auto"/>
                <w:szCs w:val="21"/>
                <w:highlight w:val="none"/>
              </w:rPr>
              <w:t>拟分包的项目</w:t>
            </w:r>
            <w:bookmarkEnd w:id="3797"/>
          </w:p>
        </w:tc>
        <w:tc>
          <w:tcPr>
            <w:tcW w:w="2975" w:type="dxa"/>
            <w:noWrap w:val="0"/>
            <w:vAlign w:val="center"/>
          </w:tcPr>
          <w:p w14:paraId="16E85EC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8" w:name="_Toc221952150"/>
            <w:r>
              <w:rPr>
                <w:rFonts w:ascii="宋体" w:hAnsi="宋体" w:eastAsia="宋体" w:cs="Times New Roman"/>
                <w:color w:val="auto"/>
                <w:szCs w:val="21"/>
                <w:highlight w:val="none"/>
              </w:rPr>
              <w:t>主 要 内 容</w:t>
            </w:r>
            <w:bookmarkEnd w:id="3798"/>
          </w:p>
        </w:tc>
        <w:tc>
          <w:tcPr>
            <w:tcW w:w="1419" w:type="dxa"/>
            <w:noWrap w:val="0"/>
            <w:vAlign w:val="center"/>
          </w:tcPr>
          <w:p w14:paraId="24FF252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9" w:name="_Toc221952151"/>
            <w:r>
              <w:rPr>
                <w:rFonts w:ascii="宋体" w:hAnsi="宋体" w:eastAsia="宋体" w:cs="Times New Roman"/>
                <w:color w:val="auto"/>
                <w:szCs w:val="21"/>
                <w:highlight w:val="none"/>
              </w:rPr>
              <w:t>合同估算价（万元）</w:t>
            </w:r>
            <w:bookmarkEnd w:id="3799"/>
          </w:p>
        </w:tc>
        <w:tc>
          <w:tcPr>
            <w:tcW w:w="2551" w:type="dxa"/>
            <w:noWrap w:val="0"/>
            <w:vAlign w:val="center"/>
          </w:tcPr>
          <w:p w14:paraId="402C367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800" w:name="_Toc221952152"/>
            <w:r>
              <w:rPr>
                <w:rFonts w:ascii="宋体" w:hAnsi="宋体" w:eastAsia="宋体" w:cs="Times New Roman"/>
                <w:color w:val="auto"/>
                <w:szCs w:val="21"/>
                <w:highlight w:val="none"/>
              </w:rPr>
              <w:t>已完类似</w:t>
            </w:r>
            <w:bookmarkEnd w:id="3800"/>
            <w:r>
              <w:rPr>
                <w:rFonts w:hint="eastAsia" w:ascii="宋体" w:hAnsi="宋体" w:eastAsia="宋体" w:cs="Times New Roman"/>
                <w:color w:val="auto"/>
                <w:szCs w:val="21"/>
                <w:highlight w:val="none"/>
              </w:rPr>
              <w:t>项目业绩</w:t>
            </w:r>
          </w:p>
        </w:tc>
      </w:tr>
      <w:tr w14:paraId="5011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668" w:type="dxa"/>
            <w:noWrap w:val="0"/>
            <w:vAlign w:val="center"/>
          </w:tcPr>
          <w:p w14:paraId="6D6567A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11018388">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4432A80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35CA2ED9">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2BBF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668" w:type="dxa"/>
            <w:noWrap w:val="0"/>
            <w:vAlign w:val="center"/>
          </w:tcPr>
          <w:p w14:paraId="0F1C765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49E0753E">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126A186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77938E39">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54B4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613" w:type="dxa"/>
            <w:gridSpan w:val="4"/>
            <w:noWrap w:val="0"/>
            <w:vAlign w:val="center"/>
          </w:tcPr>
          <w:p w14:paraId="43D1DCAA">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1C6D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1668" w:type="dxa"/>
            <w:noWrap w:val="0"/>
            <w:vAlign w:val="center"/>
          </w:tcPr>
          <w:p w14:paraId="7AFD452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分包人名称</w:t>
            </w:r>
          </w:p>
        </w:tc>
        <w:tc>
          <w:tcPr>
            <w:tcW w:w="6945" w:type="dxa"/>
            <w:gridSpan w:val="3"/>
            <w:noWrap w:val="0"/>
            <w:vAlign w:val="center"/>
          </w:tcPr>
          <w:p w14:paraId="677F0D1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4FFB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011E58A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地</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址</w:t>
            </w:r>
          </w:p>
        </w:tc>
        <w:tc>
          <w:tcPr>
            <w:tcW w:w="6945" w:type="dxa"/>
            <w:gridSpan w:val="3"/>
            <w:noWrap w:val="0"/>
            <w:vAlign w:val="center"/>
          </w:tcPr>
          <w:p w14:paraId="09D1C0B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55AC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01B6B41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法定代表人</w:t>
            </w:r>
          </w:p>
        </w:tc>
        <w:tc>
          <w:tcPr>
            <w:tcW w:w="2975" w:type="dxa"/>
            <w:noWrap w:val="0"/>
            <w:vAlign w:val="center"/>
          </w:tcPr>
          <w:p w14:paraId="6CF4A21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71F457C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电</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话</w:t>
            </w:r>
          </w:p>
        </w:tc>
        <w:tc>
          <w:tcPr>
            <w:tcW w:w="2551" w:type="dxa"/>
            <w:noWrap w:val="0"/>
            <w:vAlign w:val="center"/>
          </w:tcPr>
          <w:p w14:paraId="1FD85FE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2602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0DFA3FA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营业执照号码</w:t>
            </w:r>
          </w:p>
        </w:tc>
        <w:tc>
          <w:tcPr>
            <w:tcW w:w="2975" w:type="dxa"/>
            <w:noWrap w:val="0"/>
            <w:vAlign w:val="center"/>
          </w:tcPr>
          <w:p w14:paraId="4DDB17C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55E197C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资质等级</w:t>
            </w:r>
          </w:p>
        </w:tc>
        <w:tc>
          <w:tcPr>
            <w:tcW w:w="2551" w:type="dxa"/>
            <w:noWrap w:val="0"/>
            <w:vAlign w:val="center"/>
          </w:tcPr>
          <w:p w14:paraId="4A9FF6D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6396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246CE2F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拟分包的项目</w:t>
            </w:r>
          </w:p>
        </w:tc>
        <w:tc>
          <w:tcPr>
            <w:tcW w:w="2975" w:type="dxa"/>
            <w:noWrap w:val="0"/>
            <w:vAlign w:val="center"/>
          </w:tcPr>
          <w:p w14:paraId="1235B5E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主 要 内 容</w:t>
            </w:r>
          </w:p>
        </w:tc>
        <w:tc>
          <w:tcPr>
            <w:tcW w:w="1419" w:type="dxa"/>
            <w:noWrap w:val="0"/>
            <w:vAlign w:val="center"/>
          </w:tcPr>
          <w:p w14:paraId="4BA7851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合同估算价（万元）</w:t>
            </w:r>
          </w:p>
        </w:tc>
        <w:tc>
          <w:tcPr>
            <w:tcW w:w="2551" w:type="dxa"/>
            <w:noWrap w:val="0"/>
            <w:vAlign w:val="center"/>
          </w:tcPr>
          <w:p w14:paraId="6763FCE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已完类似</w:t>
            </w:r>
            <w:r>
              <w:rPr>
                <w:rFonts w:hint="eastAsia" w:ascii="宋体" w:hAnsi="宋体" w:eastAsia="宋体" w:cs="Times New Roman"/>
                <w:color w:val="auto"/>
                <w:szCs w:val="21"/>
                <w:highlight w:val="none"/>
              </w:rPr>
              <w:t>项目业绩</w:t>
            </w:r>
          </w:p>
        </w:tc>
      </w:tr>
      <w:tr w14:paraId="48A9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668" w:type="dxa"/>
            <w:noWrap w:val="0"/>
            <w:vAlign w:val="center"/>
          </w:tcPr>
          <w:p w14:paraId="22A85104">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0555EC3E">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61DC433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7E02279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59A8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1668" w:type="dxa"/>
            <w:noWrap w:val="0"/>
            <w:vAlign w:val="center"/>
          </w:tcPr>
          <w:p w14:paraId="18352BF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4E2057B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294A0DC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5A452DB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bl>
    <w:p w14:paraId="5DA37D4F">
      <w:pPr>
        <w:spacing w:line="400" w:lineRule="exact"/>
        <w:rPr>
          <w:rFonts w:hint="eastAsia"/>
          <w:color w:val="auto"/>
          <w:sz w:val="28"/>
          <w:szCs w:val="28"/>
          <w:highlight w:val="none"/>
        </w:rPr>
      </w:pPr>
    </w:p>
    <w:p w14:paraId="351CD768">
      <w:pPr>
        <w:wordWrap w:val="0"/>
        <w:spacing w:line="440" w:lineRule="exact"/>
        <w:ind w:right="420"/>
        <w:jc w:val="right"/>
        <w:rPr>
          <w:rFonts w:hint="eastAsia"/>
          <w:color w:val="auto"/>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6AF6FF30">
      <w:pPr>
        <w:pStyle w:val="90"/>
        <w:spacing w:before="63"/>
        <w:rPr>
          <w:rFonts w:hint="eastAsia"/>
          <w:color w:val="auto"/>
          <w:sz w:val="28"/>
          <w:szCs w:val="28"/>
          <w:highlight w:val="none"/>
        </w:rPr>
      </w:pPr>
      <w:bookmarkStart w:id="3801" w:name="_Toc28969_WPSOffice_Level1"/>
      <w:bookmarkStart w:id="3802" w:name="_Toc32136"/>
      <w:bookmarkStart w:id="3803" w:name="_Toc26116"/>
      <w:bookmarkStart w:id="3804" w:name="_Toc31229"/>
      <w:bookmarkStart w:id="3805" w:name="_Toc1612"/>
      <w:bookmarkStart w:id="3806" w:name="_Toc26279"/>
      <w:bookmarkStart w:id="3807" w:name="_Toc30149"/>
      <w:r>
        <w:rPr>
          <w:rFonts w:hint="eastAsia"/>
          <w:color w:val="auto"/>
          <w:sz w:val="28"/>
          <w:szCs w:val="28"/>
          <w:highlight w:val="none"/>
        </w:rPr>
        <w:t>十一、</w:t>
      </w:r>
      <w:bookmarkStart w:id="3808" w:name="_Toc247527847"/>
      <w:bookmarkStart w:id="3809" w:name="_Toc247514299"/>
      <w:bookmarkStart w:id="3810" w:name="_Toc152045807"/>
      <w:bookmarkStart w:id="3811" w:name="_Toc144974875"/>
      <w:bookmarkStart w:id="3812" w:name="_Toc152042596"/>
      <w:r>
        <w:rPr>
          <w:rFonts w:hint="eastAsia"/>
          <w:color w:val="auto"/>
          <w:sz w:val="28"/>
          <w:szCs w:val="28"/>
          <w:highlight w:val="none"/>
        </w:rPr>
        <w:t>资格审查资料</w:t>
      </w:r>
      <w:bookmarkEnd w:id="3801"/>
      <w:bookmarkEnd w:id="3802"/>
      <w:bookmarkEnd w:id="3803"/>
      <w:bookmarkEnd w:id="3804"/>
      <w:bookmarkEnd w:id="3805"/>
      <w:bookmarkEnd w:id="3806"/>
      <w:bookmarkEnd w:id="3807"/>
      <w:bookmarkEnd w:id="3808"/>
      <w:bookmarkEnd w:id="3809"/>
      <w:bookmarkEnd w:id="3810"/>
      <w:bookmarkEnd w:id="3811"/>
      <w:bookmarkEnd w:id="3812"/>
    </w:p>
    <w:p w14:paraId="394346DC">
      <w:pPr>
        <w:pStyle w:val="6"/>
        <w:spacing w:before="159"/>
        <w:jc w:val="center"/>
        <w:rPr>
          <w:color w:val="auto"/>
          <w:highlight w:val="none"/>
        </w:rPr>
      </w:pPr>
      <w:bookmarkStart w:id="3813" w:name="_Toc247514300"/>
      <w:bookmarkStart w:id="3814" w:name="_Toc152045808"/>
      <w:bookmarkStart w:id="3815" w:name="_Toc144974876"/>
      <w:bookmarkStart w:id="3816" w:name="_Toc519085671"/>
      <w:bookmarkStart w:id="3817" w:name="_Toc247527848"/>
      <w:bookmarkStart w:id="3818" w:name="_Toc21589"/>
      <w:bookmarkStart w:id="3819" w:name="_Toc152042597"/>
      <w:bookmarkStart w:id="3820" w:name="_Toc4430_WPSOffice_Level2"/>
      <w:r>
        <w:rPr>
          <w:color w:val="auto"/>
          <w:highlight w:val="none"/>
        </w:rPr>
        <w:t>（一）投标人基本情况</w:t>
      </w:r>
      <w:bookmarkEnd w:id="3813"/>
      <w:bookmarkEnd w:id="3814"/>
      <w:bookmarkEnd w:id="3815"/>
      <w:bookmarkEnd w:id="3816"/>
      <w:bookmarkEnd w:id="3817"/>
      <w:bookmarkEnd w:id="3818"/>
      <w:bookmarkEnd w:id="3819"/>
      <w:bookmarkEnd w:id="3820"/>
    </w:p>
    <w:p w14:paraId="3EB8665C">
      <w:pPr>
        <w:pStyle w:val="98"/>
        <w:jc w:val="center"/>
        <w:outlineLvl w:val="4"/>
        <w:rPr>
          <w:color w:val="auto"/>
          <w:szCs w:val="24"/>
          <w:highlight w:val="none"/>
        </w:rPr>
      </w:pPr>
      <w:bookmarkStart w:id="3821" w:name="_Toc519085672"/>
      <w:bookmarkStart w:id="3822" w:name="_Toc10586"/>
      <w:bookmarkStart w:id="3823" w:name="_Toc4593"/>
      <w:bookmarkStart w:id="3824" w:name="_Toc426496257"/>
      <w:bookmarkStart w:id="3825" w:name="_Toc456173567"/>
      <w:r>
        <w:rPr>
          <w:rFonts w:hint="eastAsia"/>
          <w:color w:val="auto"/>
          <w:szCs w:val="24"/>
          <w:highlight w:val="none"/>
        </w:rPr>
        <w:t>1-1投标人基本情况表</w:t>
      </w:r>
      <w:bookmarkEnd w:id="3821"/>
      <w:bookmarkEnd w:id="3822"/>
      <w:bookmarkEnd w:id="3823"/>
      <w:bookmarkEnd w:id="3824"/>
      <w:bookmarkEnd w:id="3825"/>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2FF6F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F83558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668F2E0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0C981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CC489F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2AB227F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7B6C74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5ADC1403">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FB3A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5" w:hRule="atLeast"/>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21622DC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A91777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0C72654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34992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5CA2E0A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2727A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1" w:hRule="atLeast"/>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2CCF472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1C00C6B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0A05B20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84A976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3CA3B8F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0468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9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6886E35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CE1E5D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3A71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E3A606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485F84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069AE53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2787AB4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77CCFF5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7DB4D21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416EE0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7396D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F882D3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39B644D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0C2E333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1822DB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71C6EDF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5BB35B6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7F1A2A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7D3D1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46A1F9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E983FC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211A34EA">
            <w:pPr>
              <w:keepNext w:val="0"/>
              <w:keepLines w:val="0"/>
              <w:suppressLineNumbers w:val="0"/>
              <w:topLinePunct/>
              <w:spacing w:before="0" w:beforeAutospacing="0" w:after="0" w:afterAutospacing="0" w:line="440" w:lineRule="exact"/>
              <w:ind w:left="0" w:right="0" w:firstLine="105" w:firstLineChars="5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员工总人数：</w:t>
            </w:r>
          </w:p>
        </w:tc>
      </w:tr>
      <w:tr w14:paraId="19864F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07F726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F1EECB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34F868C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DAA82D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项目经理</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23DCC8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1AEC4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E91518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DE5446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083399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F8C5B9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D45018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0689C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91DF25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37A99F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0A4A551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415589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005262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7C4F40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2233856">
            <w:pPr>
              <w:keepNext w:val="0"/>
              <w:keepLines w:val="0"/>
              <w:suppressLineNumbers w:val="0"/>
              <w:topLinePunct/>
              <w:spacing w:before="0" w:beforeAutospacing="0" w:after="0" w:afterAutospacing="0" w:line="440"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基本账户</w:t>
            </w:r>
          </w:p>
          <w:p w14:paraId="238F6EE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5826C1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501950A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788B1FA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80A7BF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3634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520D6B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基本账户账号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F1C45F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067D3B7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DB91F9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highlight w:val="none"/>
              </w:rPr>
            </w:pPr>
            <w:r>
              <w:rPr>
                <w:rFonts w:ascii="Calibri" w:hAnsi="Calibri" w:eastAsia="宋体" w:cs="Times New Roman"/>
                <w:color w:val="auto"/>
                <w:szCs w:val="21"/>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27BA9C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F4B9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728" w:type="dxa"/>
            <w:tcBorders>
              <w:top w:val="single" w:color="auto" w:sz="4" w:space="0"/>
              <w:left w:val="single" w:color="auto" w:sz="4" w:space="0"/>
              <w:right w:val="single" w:color="auto" w:sz="4" w:space="0"/>
            </w:tcBorders>
            <w:noWrap w:val="0"/>
            <w:vAlign w:val="center"/>
          </w:tcPr>
          <w:p w14:paraId="059436F8">
            <w:pPr>
              <w:keepNext w:val="0"/>
              <w:keepLines w:val="0"/>
              <w:suppressLineNumbers w:val="0"/>
              <w:topLinePunct/>
              <w:spacing w:before="0" w:beforeAutospacing="0" w:after="0" w:afterAutospacing="0" w:line="440" w:lineRule="exact"/>
              <w:ind w:left="0" w:right="0" w:firstLine="210" w:firstLineChars="10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0BEC6FC3">
            <w:pPr>
              <w:keepNext w:val="0"/>
              <w:keepLines w:val="0"/>
              <w:suppressLineNumbers w:val="0"/>
              <w:topLinePunct/>
              <w:spacing w:before="0" w:beforeAutospacing="0" w:after="0" w:afterAutospacing="0" w:line="440" w:lineRule="exact"/>
              <w:ind w:left="0" w:right="0"/>
              <w:rPr>
                <w:rFonts w:ascii="Calibri" w:hAnsi="Calibri" w:eastAsia="宋体" w:cs="Times New Roman"/>
                <w:color w:val="auto"/>
                <w:szCs w:val="21"/>
                <w:highlight w:val="none"/>
              </w:rPr>
            </w:pPr>
          </w:p>
        </w:tc>
      </w:tr>
      <w:tr w14:paraId="6339F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F910D23">
            <w:pPr>
              <w:keepNext w:val="0"/>
              <w:keepLines w:val="0"/>
              <w:suppressLineNumbers w:val="0"/>
              <w:spacing w:before="0" w:beforeAutospacing="0" w:after="0" w:afterAutospacing="0" w:line="360" w:lineRule="auto"/>
              <w:ind w:left="0" w:right="0"/>
              <w:jc w:val="center"/>
              <w:rPr>
                <w:rFonts w:hint="eastAsia" w:ascii="Calibri" w:hAnsi="Calibri" w:eastAsia="宋体" w:cs="Times New Roman"/>
                <w:color w:val="auto"/>
                <w:highlight w:val="none"/>
              </w:rPr>
            </w:pPr>
            <w:r>
              <w:rPr>
                <w:rFonts w:ascii="Calibri" w:hAnsi="Calibri" w:eastAsia="宋体" w:cs="Times New Roman"/>
                <w:color w:val="auto"/>
                <w:highlight w:val="none"/>
              </w:rPr>
              <w:t>关</w:t>
            </w:r>
            <w:r>
              <w:rPr>
                <w:rFonts w:hint="eastAsia" w:ascii="Calibri" w:hAnsi="Calibri" w:eastAsia="宋体" w:cs="Times New Roman"/>
                <w:color w:val="auto"/>
                <w:highlight w:val="none"/>
              </w:rPr>
              <w:t>联单位</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A5ECF3B">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ascii="Calibri" w:hAnsi="Calibri" w:eastAsia="宋体" w:cs="Times New Roman"/>
                <w:color w:val="auto"/>
                <w:highlight w:val="none"/>
              </w:rPr>
              <w:t>单位负责人</w:t>
            </w:r>
            <w:r>
              <w:rPr>
                <w:rFonts w:hint="eastAsia" w:ascii="Calibri" w:hAnsi="Calibri" w:eastAsia="宋体" w:cs="Times New Roman"/>
                <w:color w:val="auto"/>
                <w:highlight w:val="none"/>
              </w:rPr>
              <w:t>与本</w:t>
            </w:r>
            <w:r>
              <w:rPr>
                <w:rFonts w:ascii="Calibri" w:hAnsi="Calibri" w:eastAsia="宋体" w:cs="Times New Roman"/>
                <w:color w:val="auto"/>
                <w:highlight w:val="none"/>
              </w:rPr>
              <w:t>单位负责人为同一人</w:t>
            </w:r>
            <w:r>
              <w:rPr>
                <w:rFonts w:hint="eastAsia" w:ascii="Calibri" w:hAnsi="Calibri" w:eastAsia="宋体" w:cs="Times New Roman"/>
                <w:color w:val="auto"/>
                <w:highlight w:val="none"/>
              </w:rPr>
              <w:t>的单位：</w:t>
            </w:r>
          </w:p>
          <w:p w14:paraId="74473C7D">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与本</w:t>
            </w:r>
            <w:r>
              <w:rPr>
                <w:rFonts w:ascii="Calibri" w:hAnsi="Calibri" w:eastAsia="宋体" w:cs="Times New Roman"/>
                <w:color w:val="auto"/>
                <w:highlight w:val="none"/>
              </w:rPr>
              <w:t>单位存在控股</w:t>
            </w:r>
            <w:r>
              <w:rPr>
                <w:rFonts w:hint="eastAsia" w:ascii="Calibri" w:hAnsi="Calibri" w:eastAsia="宋体" w:cs="Times New Roman"/>
                <w:color w:val="auto"/>
                <w:highlight w:val="none"/>
              </w:rPr>
              <w:t>与被控股</w:t>
            </w:r>
            <w:r>
              <w:rPr>
                <w:rFonts w:ascii="Calibri" w:hAnsi="Calibri" w:eastAsia="宋体" w:cs="Times New Roman"/>
                <w:color w:val="auto"/>
                <w:highlight w:val="none"/>
              </w:rPr>
              <w:t>关系的单位</w:t>
            </w:r>
            <w:r>
              <w:rPr>
                <w:rFonts w:hint="eastAsia" w:ascii="Calibri" w:hAnsi="Calibri" w:eastAsia="宋体" w:cs="Times New Roman"/>
                <w:color w:val="auto"/>
                <w:highlight w:val="none"/>
              </w:rPr>
              <w:t>：</w:t>
            </w:r>
          </w:p>
          <w:p w14:paraId="07086983">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与本</w:t>
            </w:r>
            <w:r>
              <w:rPr>
                <w:rFonts w:ascii="Calibri" w:hAnsi="Calibri" w:eastAsia="宋体" w:cs="Times New Roman"/>
                <w:color w:val="auto"/>
                <w:highlight w:val="none"/>
              </w:rPr>
              <w:t>单位存在管理</w:t>
            </w:r>
            <w:r>
              <w:rPr>
                <w:rFonts w:hint="eastAsia" w:ascii="Calibri" w:hAnsi="Calibri" w:eastAsia="宋体" w:cs="Times New Roman"/>
                <w:color w:val="auto"/>
                <w:highlight w:val="none"/>
              </w:rPr>
              <w:t>与被管理</w:t>
            </w:r>
            <w:r>
              <w:rPr>
                <w:rFonts w:ascii="Calibri" w:hAnsi="Calibri" w:eastAsia="宋体" w:cs="Times New Roman"/>
                <w:color w:val="auto"/>
                <w:highlight w:val="none"/>
              </w:rPr>
              <w:t>关系的单位</w:t>
            </w:r>
            <w:r>
              <w:rPr>
                <w:rFonts w:hint="eastAsia" w:ascii="Calibri" w:hAnsi="Calibri" w:eastAsia="宋体" w:cs="Times New Roman"/>
                <w:color w:val="auto"/>
                <w:highlight w:val="none"/>
              </w:rPr>
              <w:t>：</w:t>
            </w:r>
          </w:p>
        </w:tc>
      </w:tr>
      <w:tr w14:paraId="2BF30B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983BAB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6608356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2BF9EFFA">
      <w:pPr>
        <w:spacing w:line="400" w:lineRule="atLeast"/>
        <w:ind w:left="945" w:hanging="945" w:hangingChars="450"/>
        <w:rPr>
          <w:rFonts w:hint="eastAsia" w:ascii="宋体" w:hAnsi="宋体"/>
          <w:color w:val="auto"/>
          <w:szCs w:val="21"/>
          <w:highlight w:val="none"/>
        </w:rPr>
      </w:pPr>
      <w:r>
        <w:rPr>
          <w:rFonts w:hint="eastAsia" w:ascii="宋体" w:hAnsi="宋体"/>
          <w:color w:val="auto"/>
          <w:szCs w:val="21"/>
          <w:highlight w:val="none"/>
        </w:rPr>
        <w:t>备注：</w:t>
      </w:r>
      <w:r>
        <w:rPr>
          <w:rFonts w:hint="eastAsia"/>
          <w:color w:val="auto"/>
          <w:szCs w:val="21"/>
          <w:highlight w:val="none"/>
        </w:rPr>
        <w:t>1</w:t>
      </w:r>
      <w:r>
        <w:rPr>
          <w:rFonts w:hint="eastAsia" w:ascii="宋体" w:hAnsi="宋体"/>
          <w:color w:val="auto"/>
          <w:szCs w:val="21"/>
          <w:highlight w:val="none"/>
        </w:rPr>
        <w:t>. 本表后应附企业法人营业执照、企业资质证书、安全生产许可证（如有）、</w:t>
      </w:r>
      <w:r>
        <w:rPr>
          <w:rFonts w:ascii="宋体" w:hAnsi="宋体"/>
          <w:color w:val="auto"/>
          <w:szCs w:val="21"/>
          <w:highlight w:val="none"/>
        </w:rPr>
        <w:t>基本账户开户许可证</w:t>
      </w:r>
      <w:r>
        <w:rPr>
          <w:rFonts w:hint="eastAsia" w:ascii="宋体" w:hAnsi="宋体"/>
          <w:color w:val="auto"/>
          <w:szCs w:val="21"/>
          <w:highlight w:val="none"/>
        </w:rPr>
        <w:t>、</w:t>
      </w:r>
      <w:r>
        <w:rPr>
          <w:rFonts w:ascii="宋体" w:hAnsi="宋体"/>
          <w:color w:val="auto"/>
          <w:szCs w:val="21"/>
          <w:highlight w:val="none"/>
        </w:rPr>
        <w:t>质量</w:t>
      </w:r>
      <w:r>
        <w:rPr>
          <w:rFonts w:hint="eastAsia" w:ascii="宋体" w:hAnsi="宋体"/>
          <w:color w:val="auto"/>
          <w:szCs w:val="21"/>
          <w:highlight w:val="none"/>
        </w:rPr>
        <w:t>、</w:t>
      </w:r>
      <w:r>
        <w:rPr>
          <w:rFonts w:ascii="宋体" w:hAnsi="宋体"/>
          <w:color w:val="auto"/>
          <w:szCs w:val="21"/>
          <w:highlight w:val="none"/>
        </w:rPr>
        <w:t>环境</w:t>
      </w:r>
      <w:r>
        <w:rPr>
          <w:rFonts w:hint="eastAsia" w:ascii="宋体" w:hAnsi="宋体"/>
          <w:color w:val="auto"/>
          <w:szCs w:val="21"/>
          <w:highlight w:val="none"/>
        </w:rPr>
        <w:t>、职业健康安全管理体系认证证书等材料的复印件。</w:t>
      </w:r>
    </w:p>
    <w:p w14:paraId="6BAF6893">
      <w:pPr>
        <w:numPr>
          <w:ilvl w:val="0"/>
          <w:numId w:val="3"/>
        </w:numPr>
        <w:spacing w:line="400" w:lineRule="atLeast"/>
        <w:ind w:firstLine="630" w:firstLineChars="300"/>
        <w:rPr>
          <w:rFonts w:hint="eastAsia" w:ascii="宋体" w:hAnsi="宋体"/>
          <w:color w:val="auto"/>
          <w:szCs w:val="21"/>
          <w:highlight w:val="none"/>
        </w:rPr>
      </w:pPr>
      <w:r>
        <w:rPr>
          <w:rFonts w:hint="eastAsia" w:ascii="宋体" w:hAnsi="宋体"/>
          <w:color w:val="auto"/>
          <w:szCs w:val="21"/>
          <w:highlight w:val="none"/>
        </w:rPr>
        <w:t>以联合体形式投标的，联合体各成员应分别填写。</w:t>
      </w:r>
      <w:bookmarkStart w:id="3826" w:name="_Toc3981247"/>
      <w:bookmarkStart w:id="3827" w:name="_Toc11692"/>
      <w:bookmarkStart w:id="3828" w:name="_Toc3980798"/>
    </w:p>
    <w:p w14:paraId="47E07FEC">
      <w:pPr>
        <w:spacing w:line="400" w:lineRule="atLeast"/>
        <w:ind w:left="1050" w:leftChars="300" w:hanging="420" w:hangingChars="200"/>
        <w:rPr>
          <w:rFonts w:hint="eastAsia" w:ascii="宋体" w:hAnsi="宋体"/>
          <w:color w:val="auto"/>
          <w:szCs w:val="21"/>
          <w:highlight w:val="none"/>
        </w:rPr>
      </w:pPr>
      <w:r>
        <w:rPr>
          <w:rFonts w:hint="eastAsia" w:ascii="宋体" w:hAnsi="宋体"/>
          <w:color w:val="auto"/>
          <w:szCs w:val="21"/>
          <w:highlight w:val="none"/>
        </w:rPr>
        <w:t>3. 未披露或未真实披露投标人与其关联单位的关系的相关情况视为弄虚作假，没有关联单位的明确填“无”。</w:t>
      </w:r>
      <w:bookmarkEnd w:id="3826"/>
      <w:bookmarkEnd w:id="3827"/>
      <w:bookmarkEnd w:id="3828"/>
    </w:p>
    <w:p w14:paraId="0A565E26">
      <w:pPr>
        <w:spacing w:line="400" w:lineRule="atLeast"/>
        <w:ind w:left="945" w:hanging="945" w:hangingChars="450"/>
        <w:rPr>
          <w:rFonts w:hint="eastAsia" w:ascii="宋体" w:hAnsi="宋体"/>
          <w:color w:val="auto"/>
          <w:szCs w:val="21"/>
          <w:highlight w:val="none"/>
        </w:rPr>
      </w:pPr>
    </w:p>
    <w:p w14:paraId="59ED8695">
      <w:pPr>
        <w:pStyle w:val="98"/>
        <w:jc w:val="center"/>
        <w:outlineLvl w:val="4"/>
        <w:rPr>
          <w:rFonts w:hint="eastAsia"/>
          <w:color w:val="auto"/>
          <w:szCs w:val="24"/>
          <w:highlight w:val="none"/>
        </w:rPr>
      </w:pPr>
      <w:bookmarkStart w:id="3829" w:name="_Toc426496258"/>
      <w:bookmarkStart w:id="3830" w:name="_Toc519085673"/>
      <w:bookmarkStart w:id="3831" w:name="_Toc9935"/>
      <w:bookmarkStart w:id="3832" w:name="_Toc456173568"/>
      <w:bookmarkStart w:id="3833" w:name="_Toc31404"/>
      <w:r>
        <w:rPr>
          <w:rFonts w:hint="eastAsia"/>
          <w:color w:val="auto"/>
          <w:szCs w:val="24"/>
          <w:highlight w:val="none"/>
        </w:rPr>
        <w:t>1-2项目管理机构主要人员及简历表</w:t>
      </w:r>
      <w:bookmarkEnd w:id="3829"/>
      <w:bookmarkEnd w:id="3830"/>
      <w:bookmarkEnd w:id="3831"/>
      <w:bookmarkEnd w:id="3832"/>
      <w:bookmarkEnd w:id="3833"/>
    </w:p>
    <w:p w14:paraId="1A77E607">
      <w:pPr>
        <w:spacing w:line="400" w:lineRule="atLeast"/>
        <w:ind w:firstLine="630" w:firstLineChars="300"/>
        <w:rPr>
          <w:rFonts w:hint="eastAsia"/>
          <w:color w:val="auto"/>
          <w:szCs w:val="21"/>
          <w:highlight w:val="none"/>
        </w:rPr>
      </w:pPr>
    </w:p>
    <w:p w14:paraId="35A50E73">
      <w:pPr>
        <w:spacing w:line="400" w:lineRule="atLeast"/>
        <w:ind w:left="1365" w:leftChars="300" w:hanging="735" w:hangingChars="350"/>
        <w:rPr>
          <w:rFonts w:hint="eastAsia" w:ascii="宋体" w:hAnsi="宋体"/>
          <w:color w:val="auto"/>
          <w:szCs w:val="21"/>
          <w:highlight w:val="none"/>
        </w:rPr>
      </w:pPr>
      <w:r>
        <w:rPr>
          <w:rFonts w:hint="eastAsia" w:ascii="宋体" w:hAnsi="宋体"/>
          <w:color w:val="auto"/>
          <w:szCs w:val="21"/>
          <w:highlight w:val="none"/>
        </w:rPr>
        <w:t>说明：“项目管理机构主要人员及简历表”见本章 “项目管理机构”---</w:t>
      </w:r>
      <w:r>
        <w:rPr>
          <w:rFonts w:ascii="宋体" w:hAnsi="宋体"/>
          <w:color w:val="auto"/>
          <w:szCs w:val="21"/>
          <w:highlight w:val="none"/>
        </w:rPr>
        <w:t xml:space="preserve"> </w:t>
      </w:r>
      <w:r>
        <w:rPr>
          <w:rFonts w:hint="eastAsia" w:ascii="宋体" w:hAnsi="宋体"/>
          <w:color w:val="auto"/>
          <w:szCs w:val="21"/>
          <w:highlight w:val="none"/>
        </w:rPr>
        <w:t>“项目管理机构主要人员表”。</w:t>
      </w:r>
    </w:p>
    <w:p w14:paraId="2D3EABF2">
      <w:pPr>
        <w:spacing w:line="400" w:lineRule="exact"/>
        <w:rPr>
          <w:rFonts w:hint="eastAsia"/>
          <w:color w:val="auto"/>
          <w:highlight w:val="none"/>
        </w:rPr>
      </w:pPr>
    </w:p>
    <w:p w14:paraId="0E430752">
      <w:pPr>
        <w:spacing w:line="400" w:lineRule="exact"/>
        <w:rPr>
          <w:rFonts w:hint="eastAsia"/>
          <w:color w:val="auto"/>
          <w:highlight w:val="none"/>
        </w:rPr>
      </w:pPr>
    </w:p>
    <w:p w14:paraId="1DD9A126">
      <w:pPr>
        <w:spacing w:line="400" w:lineRule="exact"/>
        <w:rPr>
          <w:rFonts w:hint="eastAsia"/>
          <w:color w:val="auto"/>
          <w:highlight w:val="none"/>
        </w:rPr>
      </w:pPr>
    </w:p>
    <w:p w14:paraId="6B97B0C6">
      <w:pPr>
        <w:spacing w:line="400" w:lineRule="exact"/>
        <w:rPr>
          <w:rFonts w:hint="eastAsia"/>
          <w:color w:val="auto"/>
          <w:highlight w:val="none"/>
        </w:rPr>
      </w:pPr>
    </w:p>
    <w:p w14:paraId="4B9DBF3D">
      <w:pPr>
        <w:spacing w:line="400" w:lineRule="exact"/>
        <w:rPr>
          <w:rFonts w:hint="eastAsia"/>
          <w:color w:val="auto"/>
          <w:highlight w:val="none"/>
        </w:rPr>
      </w:pPr>
    </w:p>
    <w:p w14:paraId="70AD9C0F">
      <w:pPr>
        <w:spacing w:line="400" w:lineRule="exact"/>
        <w:rPr>
          <w:rFonts w:hint="eastAsia"/>
          <w:color w:val="auto"/>
          <w:highlight w:val="none"/>
        </w:rPr>
      </w:pPr>
    </w:p>
    <w:p w14:paraId="0027BB5B">
      <w:pPr>
        <w:spacing w:line="400" w:lineRule="exact"/>
        <w:rPr>
          <w:rFonts w:hint="eastAsia"/>
          <w:color w:val="auto"/>
          <w:highlight w:val="none"/>
        </w:rPr>
      </w:pPr>
    </w:p>
    <w:p w14:paraId="7DBE8B44">
      <w:pPr>
        <w:spacing w:line="400" w:lineRule="exact"/>
        <w:rPr>
          <w:rFonts w:hint="eastAsia"/>
          <w:color w:val="auto"/>
          <w:highlight w:val="none"/>
        </w:rPr>
      </w:pPr>
    </w:p>
    <w:p w14:paraId="6D088709">
      <w:pPr>
        <w:spacing w:line="400" w:lineRule="exact"/>
        <w:rPr>
          <w:rFonts w:hint="eastAsia"/>
          <w:color w:val="auto"/>
          <w:highlight w:val="none"/>
        </w:rPr>
      </w:pPr>
    </w:p>
    <w:p w14:paraId="26F7E786">
      <w:pPr>
        <w:spacing w:line="400" w:lineRule="exact"/>
        <w:rPr>
          <w:rFonts w:hint="eastAsia"/>
          <w:color w:val="auto"/>
          <w:highlight w:val="none"/>
        </w:rPr>
      </w:pPr>
    </w:p>
    <w:p w14:paraId="33A86A62">
      <w:pPr>
        <w:spacing w:line="400" w:lineRule="exact"/>
        <w:rPr>
          <w:rFonts w:hint="eastAsia"/>
          <w:color w:val="auto"/>
          <w:highlight w:val="none"/>
        </w:rPr>
      </w:pPr>
    </w:p>
    <w:p w14:paraId="6133FD98">
      <w:pPr>
        <w:spacing w:line="400" w:lineRule="exact"/>
        <w:rPr>
          <w:rFonts w:hint="eastAsia"/>
          <w:color w:val="auto"/>
          <w:highlight w:val="none"/>
        </w:rPr>
      </w:pPr>
    </w:p>
    <w:p w14:paraId="3F77DF21">
      <w:pPr>
        <w:spacing w:line="400" w:lineRule="exact"/>
        <w:rPr>
          <w:rFonts w:hint="eastAsia"/>
          <w:color w:val="auto"/>
          <w:highlight w:val="none"/>
        </w:rPr>
      </w:pPr>
    </w:p>
    <w:p w14:paraId="52CC709C">
      <w:pPr>
        <w:spacing w:line="400" w:lineRule="exact"/>
        <w:rPr>
          <w:rFonts w:hint="eastAsia"/>
          <w:color w:val="auto"/>
          <w:highlight w:val="none"/>
        </w:rPr>
      </w:pPr>
    </w:p>
    <w:p w14:paraId="05656471">
      <w:pPr>
        <w:spacing w:line="400" w:lineRule="exact"/>
        <w:rPr>
          <w:rFonts w:hint="eastAsia"/>
          <w:color w:val="auto"/>
          <w:highlight w:val="none"/>
        </w:rPr>
      </w:pPr>
    </w:p>
    <w:p w14:paraId="50F0A98E">
      <w:pPr>
        <w:spacing w:line="400" w:lineRule="exact"/>
        <w:rPr>
          <w:rFonts w:hint="eastAsia"/>
          <w:color w:val="auto"/>
          <w:highlight w:val="none"/>
        </w:rPr>
      </w:pPr>
    </w:p>
    <w:p w14:paraId="5C519EEA">
      <w:pPr>
        <w:spacing w:line="400" w:lineRule="exact"/>
        <w:rPr>
          <w:rFonts w:hint="eastAsia"/>
          <w:color w:val="auto"/>
          <w:highlight w:val="none"/>
        </w:rPr>
      </w:pPr>
    </w:p>
    <w:p w14:paraId="3C5A4BF6">
      <w:pPr>
        <w:spacing w:line="400" w:lineRule="exact"/>
        <w:rPr>
          <w:rFonts w:hint="eastAsia"/>
          <w:color w:val="auto"/>
          <w:highlight w:val="none"/>
        </w:rPr>
      </w:pPr>
    </w:p>
    <w:p w14:paraId="6E2B0D8F">
      <w:pPr>
        <w:spacing w:line="400" w:lineRule="exact"/>
        <w:rPr>
          <w:rFonts w:hint="eastAsia"/>
          <w:color w:val="auto"/>
          <w:highlight w:val="none"/>
        </w:rPr>
      </w:pPr>
    </w:p>
    <w:p w14:paraId="2EF5B70B">
      <w:pPr>
        <w:spacing w:line="400" w:lineRule="exact"/>
        <w:rPr>
          <w:rFonts w:hint="eastAsia"/>
          <w:color w:val="auto"/>
          <w:highlight w:val="none"/>
        </w:rPr>
      </w:pPr>
    </w:p>
    <w:p w14:paraId="4620C0CA">
      <w:pPr>
        <w:spacing w:line="400" w:lineRule="exact"/>
        <w:rPr>
          <w:rFonts w:hint="eastAsia"/>
          <w:color w:val="auto"/>
          <w:highlight w:val="none"/>
        </w:rPr>
      </w:pPr>
    </w:p>
    <w:p w14:paraId="7C1F9813">
      <w:pPr>
        <w:spacing w:line="400" w:lineRule="exact"/>
        <w:rPr>
          <w:rFonts w:hint="eastAsia"/>
          <w:color w:val="auto"/>
          <w:highlight w:val="none"/>
        </w:rPr>
      </w:pPr>
    </w:p>
    <w:p w14:paraId="6BE67E32">
      <w:pPr>
        <w:spacing w:line="400" w:lineRule="exact"/>
        <w:rPr>
          <w:rFonts w:hint="eastAsia"/>
          <w:color w:val="auto"/>
          <w:highlight w:val="none"/>
        </w:rPr>
      </w:pPr>
    </w:p>
    <w:p w14:paraId="033F329D">
      <w:pPr>
        <w:spacing w:line="400" w:lineRule="exact"/>
        <w:rPr>
          <w:rFonts w:hint="eastAsia"/>
          <w:color w:val="auto"/>
          <w:highlight w:val="none"/>
        </w:rPr>
      </w:pPr>
    </w:p>
    <w:p w14:paraId="443654E0">
      <w:pPr>
        <w:spacing w:line="400" w:lineRule="exact"/>
        <w:rPr>
          <w:rFonts w:hint="eastAsia"/>
          <w:color w:val="auto"/>
          <w:highlight w:val="none"/>
        </w:rPr>
      </w:pPr>
    </w:p>
    <w:p w14:paraId="3B023DDD">
      <w:pPr>
        <w:spacing w:line="400" w:lineRule="exact"/>
        <w:rPr>
          <w:rFonts w:hint="eastAsia"/>
          <w:color w:val="auto"/>
          <w:highlight w:val="none"/>
        </w:rPr>
      </w:pPr>
    </w:p>
    <w:p w14:paraId="540D7E56">
      <w:pPr>
        <w:spacing w:line="400" w:lineRule="exact"/>
        <w:rPr>
          <w:rFonts w:hint="eastAsia"/>
          <w:color w:val="auto"/>
          <w:highlight w:val="none"/>
        </w:rPr>
      </w:pPr>
    </w:p>
    <w:p w14:paraId="2F20C7F6">
      <w:pPr>
        <w:spacing w:line="400" w:lineRule="exact"/>
        <w:rPr>
          <w:rFonts w:hint="eastAsia"/>
          <w:color w:val="auto"/>
          <w:highlight w:val="none"/>
        </w:rPr>
      </w:pPr>
    </w:p>
    <w:p w14:paraId="583FF52D">
      <w:pPr>
        <w:spacing w:line="400" w:lineRule="exact"/>
        <w:rPr>
          <w:rFonts w:hint="eastAsia"/>
          <w:color w:val="auto"/>
          <w:highlight w:val="none"/>
        </w:rPr>
      </w:pPr>
    </w:p>
    <w:p w14:paraId="57AA8A75">
      <w:pPr>
        <w:spacing w:line="400" w:lineRule="exact"/>
        <w:rPr>
          <w:rFonts w:hint="eastAsia"/>
          <w:color w:val="auto"/>
          <w:highlight w:val="none"/>
        </w:rPr>
      </w:pPr>
    </w:p>
    <w:p w14:paraId="595BA020">
      <w:pPr>
        <w:pStyle w:val="98"/>
        <w:jc w:val="center"/>
        <w:outlineLvl w:val="4"/>
        <w:rPr>
          <w:rFonts w:hint="eastAsia"/>
          <w:color w:val="auto"/>
          <w:szCs w:val="24"/>
          <w:highlight w:val="none"/>
        </w:rPr>
      </w:pPr>
      <w:bookmarkStart w:id="3834" w:name="_Toc519085674"/>
      <w:bookmarkStart w:id="3835" w:name="_Toc456173569"/>
      <w:bookmarkStart w:id="3836" w:name="_Toc426496259"/>
      <w:bookmarkStart w:id="3837" w:name="_Toc12065"/>
      <w:bookmarkStart w:id="3838" w:name="_Toc26417"/>
      <w:r>
        <w:rPr>
          <w:rFonts w:hint="eastAsia"/>
          <w:color w:val="auto"/>
          <w:szCs w:val="24"/>
          <w:highlight w:val="none"/>
        </w:rPr>
        <w:t>1-3</w:t>
      </w:r>
      <w:bookmarkEnd w:id="3834"/>
      <w:bookmarkEnd w:id="3835"/>
      <w:bookmarkEnd w:id="3836"/>
      <w:r>
        <w:rPr>
          <w:rFonts w:hint="eastAsia"/>
          <w:color w:val="auto"/>
          <w:szCs w:val="24"/>
          <w:highlight w:val="none"/>
        </w:rPr>
        <w:t>拟投入主要施工设备、试验和检测仪器设备</w:t>
      </w:r>
      <w:bookmarkEnd w:id="3837"/>
      <w:bookmarkEnd w:id="3838"/>
    </w:p>
    <w:p w14:paraId="7F3063CD">
      <w:pPr>
        <w:spacing w:line="400" w:lineRule="exact"/>
        <w:rPr>
          <w:rFonts w:hint="eastAsia"/>
          <w:color w:val="auto"/>
          <w:highlight w:val="none"/>
        </w:rPr>
      </w:pPr>
    </w:p>
    <w:p w14:paraId="0DBEF8FC">
      <w:pPr>
        <w:spacing w:line="400" w:lineRule="atLeast"/>
        <w:ind w:left="1365" w:leftChars="300" w:hanging="735" w:hangingChars="350"/>
        <w:rPr>
          <w:rFonts w:hint="eastAsia" w:ascii="宋体" w:hAnsi="宋体"/>
          <w:color w:val="auto"/>
          <w:szCs w:val="21"/>
          <w:highlight w:val="none"/>
        </w:rPr>
      </w:pPr>
      <w:r>
        <w:rPr>
          <w:rFonts w:hint="eastAsia" w:ascii="宋体" w:hAnsi="宋体"/>
          <w:color w:val="auto"/>
          <w:szCs w:val="21"/>
          <w:highlight w:val="none"/>
        </w:rPr>
        <w:t>说明：“拟投入主要施工设备情况表”见本章 “承包人实施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w:t>
      </w:r>
      <w:r>
        <w:rPr>
          <w:rFonts w:ascii="宋体" w:hAnsi="宋体"/>
          <w:color w:val="auto"/>
          <w:szCs w:val="21"/>
          <w:highlight w:val="none"/>
        </w:rPr>
        <w:t>拟投入本</w:t>
      </w:r>
      <w:r>
        <w:rPr>
          <w:rFonts w:hint="eastAsia" w:ascii="宋体" w:hAnsi="宋体"/>
          <w:color w:val="auto"/>
          <w:szCs w:val="21"/>
          <w:highlight w:val="none"/>
        </w:rPr>
        <w:t>项目</w:t>
      </w:r>
      <w:r>
        <w:rPr>
          <w:rFonts w:ascii="宋体" w:hAnsi="宋体"/>
          <w:color w:val="auto"/>
          <w:szCs w:val="21"/>
          <w:highlight w:val="none"/>
        </w:rPr>
        <w:t>的主要设备表</w:t>
      </w:r>
      <w:r>
        <w:rPr>
          <w:rFonts w:hint="eastAsia" w:ascii="宋体" w:hAnsi="宋体"/>
          <w:color w:val="auto"/>
          <w:szCs w:val="21"/>
          <w:highlight w:val="none"/>
        </w:rPr>
        <w:t>”</w:t>
      </w:r>
    </w:p>
    <w:p w14:paraId="33C00F4E">
      <w:pPr>
        <w:spacing w:line="400" w:lineRule="exact"/>
        <w:ind w:firstLine="630" w:firstLineChars="300"/>
        <w:rPr>
          <w:rFonts w:hint="eastAsia"/>
          <w:color w:val="auto"/>
          <w:highlight w:val="none"/>
        </w:rPr>
      </w:pPr>
    </w:p>
    <w:p w14:paraId="78FC9616">
      <w:pPr>
        <w:spacing w:line="400" w:lineRule="exact"/>
        <w:ind w:left="1365" w:leftChars="550" w:hanging="210" w:hangingChars="100"/>
        <w:rPr>
          <w:rFonts w:hint="eastAsia"/>
          <w:color w:val="auto"/>
          <w:highlight w:val="none"/>
        </w:rPr>
      </w:pPr>
      <w:bookmarkStart w:id="3839" w:name="_Toc27033"/>
      <w:r>
        <w:rPr>
          <w:rFonts w:hint="eastAsia"/>
          <w:color w:val="auto"/>
          <w:highlight w:val="none"/>
        </w:rPr>
        <w:t>“</w:t>
      </w:r>
      <w:r>
        <w:rPr>
          <w:color w:val="auto"/>
          <w:highlight w:val="none"/>
        </w:rPr>
        <w:t>拟</w:t>
      </w:r>
      <w:r>
        <w:rPr>
          <w:rFonts w:hint="eastAsia"/>
          <w:color w:val="auto"/>
          <w:highlight w:val="none"/>
        </w:rPr>
        <w:t>投入</w:t>
      </w:r>
      <w:r>
        <w:rPr>
          <w:color w:val="auto"/>
          <w:highlight w:val="none"/>
        </w:rPr>
        <w:t>本</w:t>
      </w:r>
      <w:r>
        <w:rPr>
          <w:rFonts w:hint="eastAsia"/>
          <w:color w:val="auto"/>
          <w:highlight w:val="none"/>
        </w:rPr>
        <w:t>项目</w:t>
      </w:r>
      <w:r>
        <w:rPr>
          <w:color w:val="auto"/>
          <w:highlight w:val="none"/>
        </w:rPr>
        <w:t>的</w:t>
      </w:r>
      <w:r>
        <w:rPr>
          <w:rFonts w:hint="eastAsia"/>
          <w:color w:val="auto"/>
          <w:highlight w:val="none"/>
        </w:rPr>
        <w:t>试</w:t>
      </w:r>
      <w:r>
        <w:rPr>
          <w:color w:val="auto"/>
          <w:highlight w:val="none"/>
        </w:rPr>
        <w:t>验和检测仪器设备表</w:t>
      </w:r>
      <w:bookmarkEnd w:id="3839"/>
      <w:r>
        <w:rPr>
          <w:rFonts w:hint="eastAsia"/>
          <w:color w:val="auto"/>
          <w:highlight w:val="none"/>
        </w:rPr>
        <w:t>”</w:t>
      </w:r>
      <w:r>
        <w:rPr>
          <w:rFonts w:hint="eastAsia" w:ascii="宋体" w:hAnsi="宋体"/>
          <w:color w:val="auto"/>
          <w:szCs w:val="21"/>
          <w:highlight w:val="none"/>
        </w:rPr>
        <w:t xml:space="preserve"> 见本章 “承包人实施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w:t>
      </w:r>
      <w:r>
        <w:rPr>
          <w:rFonts w:ascii="宋体" w:hAnsi="宋体"/>
          <w:color w:val="auto"/>
          <w:szCs w:val="21"/>
          <w:highlight w:val="none"/>
        </w:rPr>
        <w:t>拟投入本</w:t>
      </w:r>
      <w:r>
        <w:rPr>
          <w:rFonts w:hint="eastAsia" w:ascii="宋体" w:hAnsi="宋体"/>
          <w:color w:val="auto"/>
          <w:szCs w:val="21"/>
          <w:highlight w:val="none"/>
        </w:rPr>
        <w:t>项目</w:t>
      </w:r>
      <w:r>
        <w:rPr>
          <w:rFonts w:ascii="宋体" w:hAnsi="宋体"/>
          <w:color w:val="auto"/>
          <w:szCs w:val="21"/>
          <w:highlight w:val="none"/>
        </w:rPr>
        <w:t>的主要设备表</w:t>
      </w:r>
      <w:r>
        <w:rPr>
          <w:rFonts w:hint="eastAsia" w:ascii="宋体" w:hAnsi="宋体"/>
          <w:color w:val="auto"/>
          <w:szCs w:val="21"/>
          <w:highlight w:val="none"/>
        </w:rPr>
        <w:t>”</w:t>
      </w:r>
    </w:p>
    <w:p w14:paraId="16F73E81">
      <w:pPr>
        <w:spacing w:line="400" w:lineRule="exact"/>
        <w:rPr>
          <w:rFonts w:hint="eastAsia"/>
          <w:color w:val="auto"/>
          <w:highlight w:val="none"/>
        </w:rPr>
      </w:pPr>
    </w:p>
    <w:p w14:paraId="7447B68E">
      <w:pPr>
        <w:spacing w:line="400" w:lineRule="exact"/>
        <w:rPr>
          <w:rFonts w:hint="eastAsia"/>
          <w:color w:val="auto"/>
          <w:highlight w:val="none"/>
        </w:rPr>
      </w:pPr>
    </w:p>
    <w:p w14:paraId="1974032B">
      <w:pPr>
        <w:spacing w:line="400" w:lineRule="exact"/>
        <w:rPr>
          <w:rFonts w:hint="eastAsia"/>
          <w:color w:val="auto"/>
          <w:highlight w:val="none"/>
        </w:rPr>
      </w:pPr>
    </w:p>
    <w:p w14:paraId="3A031CD6">
      <w:pPr>
        <w:spacing w:line="400" w:lineRule="exact"/>
        <w:rPr>
          <w:rFonts w:hint="eastAsia"/>
          <w:color w:val="auto"/>
          <w:highlight w:val="none"/>
        </w:rPr>
      </w:pPr>
    </w:p>
    <w:p w14:paraId="2B80D82C">
      <w:pPr>
        <w:spacing w:line="400" w:lineRule="exact"/>
        <w:rPr>
          <w:rFonts w:hint="eastAsia"/>
          <w:color w:val="auto"/>
          <w:highlight w:val="none"/>
        </w:rPr>
      </w:pPr>
    </w:p>
    <w:p w14:paraId="295D92B0">
      <w:pPr>
        <w:spacing w:line="400" w:lineRule="exact"/>
        <w:rPr>
          <w:rFonts w:hint="eastAsia"/>
          <w:color w:val="auto"/>
          <w:highlight w:val="none"/>
        </w:rPr>
      </w:pPr>
    </w:p>
    <w:p w14:paraId="06ABD482">
      <w:pPr>
        <w:spacing w:line="400" w:lineRule="exact"/>
        <w:rPr>
          <w:rFonts w:hint="eastAsia"/>
          <w:color w:val="auto"/>
          <w:highlight w:val="none"/>
        </w:rPr>
      </w:pPr>
    </w:p>
    <w:p w14:paraId="7BDEC606">
      <w:pPr>
        <w:spacing w:line="400" w:lineRule="exact"/>
        <w:rPr>
          <w:rFonts w:hint="eastAsia"/>
          <w:color w:val="auto"/>
          <w:highlight w:val="none"/>
        </w:rPr>
      </w:pPr>
    </w:p>
    <w:p w14:paraId="117D2CB9">
      <w:pPr>
        <w:spacing w:line="400" w:lineRule="exact"/>
        <w:rPr>
          <w:rFonts w:hint="eastAsia"/>
          <w:color w:val="auto"/>
          <w:highlight w:val="none"/>
        </w:rPr>
      </w:pPr>
    </w:p>
    <w:p w14:paraId="7BDCF41A">
      <w:pPr>
        <w:spacing w:line="400" w:lineRule="exact"/>
        <w:rPr>
          <w:rFonts w:hint="eastAsia"/>
          <w:color w:val="auto"/>
          <w:highlight w:val="none"/>
        </w:rPr>
      </w:pPr>
    </w:p>
    <w:p w14:paraId="3A04C277">
      <w:pPr>
        <w:spacing w:line="400" w:lineRule="exact"/>
        <w:rPr>
          <w:rFonts w:hint="eastAsia"/>
          <w:color w:val="auto"/>
          <w:highlight w:val="none"/>
        </w:rPr>
      </w:pPr>
    </w:p>
    <w:p w14:paraId="2488133E">
      <w:pPr>
        <w:spacing w:line="400" w:lineRule="exact"/>
        <w:rPr>
          <w:rFonts w:hint="eastAsia"/>
          <w:color w:val="auto"/>
          <w:highlight w:val="none"/>
        </w:rPr>
      </w:pPr>
    </w:p>
    <w:p w14:paraId="453EA754">
      <w:pPr>
        <w:spacing w:line="400" w:lineRule="exact"/>
        <w:rPr>
          <w:rFonts w:hint="eastAsia"/>
          <w:color w:val="auto"/>
          <w:highlight w:val="none"/>
        </w:rPr>
      </w:pPr>
    </w:p>
    <w:p w14:paraId="3D01E486">
      <w:pPr>
        <w:spacing w:line="400" w:lineRule="exact"/>
        <w:rPr>
          <w:rFonts w:hint="eastAsia"/>
          <w:color w:val="auto"/>
          <w:highlight w:val="none"/>
        </w:rPr>
      </w:pPr>
    </w:p>
    <w:p w14:paraId="06391878">
      <w:pPr>
        <w:spacing w:line="400" w:lineRule="exact"/>
        <w:rPr>
          <w:rFonts w:hint="eastAsia"/>
          <w:color w:val="auto"/>
          <w:highlight w:val="none"/>
        </w:rPr>
      </w:pPr>
    </w:p>
    <w:p w14:paraId="3CD254BC">
      <w:pPr>
        <w:spacing w:line="400" w:lineRule="exact"/>
        <w:rPr>
          <w:rFonts w:hint="eastAsia"/>
          <w:color w:val="auto"/>
          <w:highlight w:val="none"/>
        </w:rPr>
      </w:pPr>
    </w:p>
    <w:p w14:paraId="4D3F8BAA">
      <w:pPr>
        <w:spacing w:line="400" w:lineRule="exact"/>
        <w:rPr>
          <w:rFonts w:hint="eastAsia"/>
          <w:color w:val="auto"/>
          <w:highlight w:val="none"/>
        </w:rPr>
      </w:pPr>
    </w:p>
    <w:p w14:paraId="2F64DAD4">
      <w:pPr>
        <w:spacing w:line="400" w:lineRule="exact"/>
        <w:rPr>
          <w:rFonts w:hint="eastAsia"/>
          <w:color w:val="auto"/>
          <w:highlight w:val="none"/>
        </w:rPr>
      </w:pPr>
    </w:p>
    <w:p w14:paraId="5B737279">
      <w:pPr>
        <w:spacing w:line="400" w:lineRule="exact"/>
        <w:rPr>
          <w:rFonts w:hint="eastAsia"/>
          <w:color w:val="auto"/>
          <w:highlight w:val="none"/>
        </w:rPr>
      </w:pPr>
    </w:p>
    <w:p w14:paraId="38855F1B">
      <w:pPr>
        <w:spacing w:line="400" w:lineRule="exact"/>
        <w:rPr>
          <w:rFonts w:hint="eastAsia"/>
          <w:color w:val="auto"/>
          <w:highlight w:val="none"/>
        </w:rPr>
      </w:pPr>
    </w:p>
    <w:p w14:paraId="301615EE">
      <w:pPr>
        <w:spacing w:line="400" w:lineRule="exact"/>
        <w:rPr>
          <w:rFonts w:hint="eastAsia"/>
          <w:color w:val="auto"/>
          <w:highlight w:val="none"/>
        </w:rPr>
      </w:pPr>
    </w:p>
    <w:p w14:paraId="206E442F">
      <w:pPr>
        <w:spacing w:line="400" w:lineRule="exact"/>
        <w:rPr>
          <w:rFonts w:hint="eastAsia"/>
          <w:color w:val="auto"/>
          <w:highlight w:val="none"/>
        </w:rPr>
      </w:pPr>
    </w:p>
    <w:p w14:paraId="0C4AF21E">
      <w:pPr>
        <w:spacing w:line="400" w:lineRule="exact"/>
        <w:rPr>
          <w:rFonts w:hint="eastAsia"/>
          <w:color w:val="auto"/>
          <w:highlight w:val="none"/>
        </w:rPr>
      </w:pPr>
    </w:p>
    <w:p w14:paraId="4F26E87B">
      <w:pPr>
        <w:spacing w:line="400" w:lineRule="exact"/>
        <w:rPr>
          <w:rFonts w:hint="eastAsia"/>
          <w:color w:val="auto"/>
          <w:highlight w:val="none"/>
        </w:rPr>
      </w:pPr>
    </w:p>
    <w:p w14:paraId="1870E97D">
      <w:pPr>
        <w:spacing w:line="400" w:lineRule="exact"/>
        <w:rPr>
          <w:rFonts w:hint="eastAsia"/>
          <w:color w:val="auto"/>
          <w:highlight w:val="none"/>
        </w:rPr>
      </w:pPr>
    </w:p>
    <w:p w14:paraId="2EB14413">
      <w:pPr>
        <w:topLinePunct/>
        <w:spacing w:line="440" w:lineRule="exact"/>
        <w:rPr>
          <w:rFonts w:hint="eastAsia"/>
          <w:color w:val="auto"/>
          <w:sz w:val="20"/>
          <w:highlight w:val="none"/>
        </w:rPr>
      </w:pPr>
    </w:p>
    <w:p w14:paraId="78A9C010">
      <w:pPr>
        <w:pStyle w:val="6"/>
        <w:spacing w:before="159"/>
        <w:jc w:val="center"/>
        <w:rPr>
          <w:rFonts w:hint="eastAsia"/>
          <w:color w:val="auto"/>
          <w:highlight w:val="none"/>
        </w:rPr>
      </w:pPr>
      <w:bookmarkStart w:id="3840" w:name="_Toc152042598"/>
      <w:bookmarkStart w:id="3841" w:name="_Toc519085675"/>
      <w:bookmarkStart w:id="3842" w:name="_Toc11375"/>
      <w:bookmarkStart w:id="3843" w:name="_Toc247527849"/>
      <w:bookmarkStart w:id="3844" w:name="_Toc4946_WPSOffice_Level2"/>
      <w:bookmarkStart w:id="3845" w:name="_Toc247514301"/>
      <w:bookmarkStart w:id="3846" w:name="_Toc144974877"/>
      <w:bookmarkStart w:id="3847" w:name="_Toc152045809"/>
      <w:r>
        <w:rPr>
          <w:color w:val="auto"/>
          <w:highlight w:val="none"/>
        </w:rPr>
        <w:t>（二）近年财务状况</w:t>
      </w:r>
      <w:bookmarkEnd w:id="3840"/>
      <w:bookmarkEnd w:id="3841"/>
      <w:bookmarkEnd w:id="3842"/>
      <w:bookmarkEnd w:id="3843"/>
      <w:bookmarkEnd w:id="3844"/>
      <w:bookmarkEnd w:id="3845"/>
      <w:bookmarkEnd w:id="3846"/>
      <w:bookmarkEnd w:id="3847"/>
    </w:p>
    <w:p w14:paraId="46FA8A20">
      <w:pPr>
        <w:rPr>
          <w:rFonts w:hint="eastAsia"/>
          <w:color w:val="auto"/>
          <w:highlight w:val="none"/>
        </w:rPr>
      </w:pPr>
    </w:p>
    <w:p w14:paraId="6695E5C7">
      <w:pPr>
        <w:pStyle w:val="98"/>
        <w:jc w:val="center"/>
        <w:outlineLvl w:val="4"/>
        <w:rPr>
          <w:rFonts w:hint="eastAsia"/>
          <w:color w:val="auto"/>
          <w:szCs w:val="24"/>
          <w:highlight w:val="none"/>
        </w:rPr>
      </w:pPr>
      <w:bookmarkStart w:id="3848" w:name="_Toc5595"/>
      <w:bookmarkStart w:id="3849" w:name="_Toc519085676"/>
      <w:bookmarkStart w:id="3850" w:name="_Toc426496261"/>
      <w:bookmarkStart w:id="3851" w:name="_Toc18887"/>
      <w:bookmarkStart w:id="3852" w:name="_Toc456173571"/>
      <w:r>
        <w:rPr>
          <w:rFonts w:hint="eastAsia"/>
          <w:color w:val="auto"/>
          <w:szCs w:val="24"/>
          <w:highlight w:val="none"/>
        </w:rPr>
        <w:t>2-1近年财务状况表</w:t>
      </w:r>
      <w:bookmarkEnd w:id="3848"/>
      <w:bookmarkEnd w:id="3849"/>
      <w:bookmarkEnd w:id="3850"/>
      <w:bookmarkEnd w:id="3851"/>
      <w:bookmarkEnd w:id="3852"/>
    </w:p>
    <w:tbl>
      <w:tblPr>
        <w:tblStyle w:val="39"/>
        <w:tblW w:w="84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95"/>
        <w:gridCol w:w="735"/>
        <w:gridCol w:w="1337"/>
        <w:gridCol w:w="1449"/>
        <w:gridCol w:w="1449"/>
        <w:gridCol w:w="1449"/>
      </w:tblGrid>
      <w:tr w14:paraId="39876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9F46C8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名称</w:t>
            </w:r>
          </w:p>
        </w:tc>
        <w:tc>
          <w:tcPr>
            <w:tcW w:w="735" w:type="dxa"/>
            <w:noWrap w:val="0"/>
            <w:vAlign w:val="center"/>
          </w:tcPr>
          <w:p w14:paraId="7C9A4A8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单位</w:t>
            </w:r>
          </w:p>
        </w:tc>
        <w:tc>
          <w:tcPr>
            <w:tcW w:w="1337" w:type="dxa"/>
            <w:noWrap w:val="0"/>
            <w:vAlign w:val="center"/>
          </w:tcPr>
          <w:p w14:paraId="1628CA6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w:t>
            </w: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085551B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w:t>
            </w: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12AE9B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55B80B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近</w:t>
            </w: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年平均值　</w:t>
            </w:r>
          </w:p>
        </w:tc>
      </w:tr>
      <w:tr w14:paraId="1066B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448006C6">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一．注册资金</w:t>
            </w:r>
          </w:p>
        </w:tc>
        <w:tc>
          <w:tcPr>
            <w:tcW w:w="735" w:type="dxa"/>
            <w:noWrap w:val="0"/>
            <w:vAlign w:val="center"/>
          </w:tcPr>
          <w:p w14:paraId="7D94900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631CD59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00B60D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0EBBBC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51EEC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11A1E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72966A0">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二．净资产</w:t>
            </w:r>
          </w:p>
        </w:tc>
        <w:tc>
          <w:tcPr>
            <w:tcW w:w="735" w:type="dxa"/>
            <w:noWrap w:val="0"/>
            <w:vAlign w:val="center"/>
          </w:tcPr>
          <w:p w14:paraId="1351E6B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166EFC1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59371D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3A93A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30F0D8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62D4B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0BCC2B24">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三．总资产</w:t>
            </w:r>
          </w:p>
        </w:tc>
        <w:tc>
          <w:tcPr>
            <w:tcW w:w="735" w:type="dxa"/>
            <w:noWrap w:val="0"/>
            <w:vAlign w:val="center"/>
          </w:tcPr>
          <w:p w14:paraId="7022BE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32B603B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11F40E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D3D7AA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94374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5B4F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C758257">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四．固定资产</w:t>
            </w:r>
          </w:p>
        </w:tc>
        <w:tc>
          <w:tcPr>
            <w:tcW w:w="735" w:type="dxa"/>
            <w:noWrap w:val="0"/>
            <w:vAlign w:val="center"/>
          </w:tcPr>
          <w:p w14:paraId="1954A17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1BD4F53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B49FC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CD2A9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D35BE3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589D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6B47A4DE">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五．流动资产</w:t>
            </w:r>
          </w:p>
        </w:tc>
        <w:tc>
          <w:tcPr>
            <w:tcW w:w="735" w:type="dxa"/>
            <w:noWrap w:val="0"/>
            <w:vAlign w:val="center"/>
          </w:tcPr>
          <w:p w14:paraId="104DC0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0BEEED4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1360FE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EEA3F7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F844D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4463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4E996E4">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六．流动负债</w:t>
            </w:r>
          </w:p>
        </w:tc>
        <w:tc>
          <w:tcPr>
            <w:tcW w:w="735" w:type="dxa"/>
            <w:noWrap w:val="0"/>
            <w:vAlign w:val="center"/>
          </w:tcPr>
          <w:p w14:paraId="185FFD4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7D094E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5A539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F23ED9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91BDF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37A2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BDCE102">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七．负债合计</w:t>
            </w:r>
          </w:p>
        </w:tc>
        <w:tc>
          <w:tcPr>
            <w:tcW w:w="735" w:type="dxa"/>
            <w:noWrap w:val="0"/>
            <w:vAlign w:val="center"/>
          </w:tcPr>
          <w:p w14:paraId="04B50BC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67FEFA1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2C99FB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3D8AA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D525E9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A88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27566FF">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八．营业收入</w:t>
            </w:r>
          </w:p>
        </w:tc>
        <w:tc>
          <w:tcPr>
            <w:tcW w:w="735" w:type="dxa"/>
            <w:noWrap w:val="0"/>
            <w:vAlign w:val="center"/>
          </w:tcPr>
          <w:p w14:paraId="673F325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08A1DEF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5AF5C9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4C5120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20B95F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2BB0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96EAA15">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九．净利润</w:t>
            </w:r>
          </w:p>
        </w:tc>
        <w:tc>
          <w:tcPr>
            <w:tcW w:w="735" w:type="dxa"/>
            <w:noWrap w:val="0"/>
            <w:vAlign w:val="center"/>
          </w:tcPr>
          <w:p w14:paraId="1101178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14676E6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F5F163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705DB0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B4EE6D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44A64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003811CF">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十．现金流量净额</w:t>
            </w:r>
          </w:p>
        </w:tc>
        <w:tc>
          <w:tcPr>
            <w:tcW w:w="735" w:type="dxa"/>
            <w:noWrap w:val="0"/>
            <w:vAlign w:val="center"/>
          </w:tcPr>
          <w:p w14:paraId="147AFD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126B0D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967C85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B08AF4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CE71D2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07DD9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D6C269E">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十一．主要财务指标</w:t>
            </w:r>
          </w:p>
        </w:tc>
        <w:tc>
          <w:tcPr>
            <w:tcW w:w="735" w:type="dxa"/>
            <w:noWrap w:val="0"/>
            <w:vAlign w:val="center"/>
          </w:tcPr>
          <w:p w14:paraId="2E4F788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337" w:type="dxa"/>
            <w:noWrap w:val="0"/>
            <w:vAlign w:val="center"/>
          </w:tcPr>
          <w:p w14:paraId="25CC616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4CB01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D9972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17D041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4B4AF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E3A9C00">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．净资产收益率</w:t>
            </w:r>
          </w:p>
        </w:tc>
        <w:tc>
          <w:tcPr>
            <w:tcW w:w="735" w:type="dxa"/>
            <w:noWrap w:val="0"/>
            <w:vAlign w:val="top"/>
          </w:tcPr>
          <w:p w14:paraId="416D33A8">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1081E0F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2084BF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E75AE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248DE2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208A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679B27C2">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2</w:t>
            </w:r>
            <w:r>
              <w:rPr>
                <w:rFonts w:hint="eastAsia" w:ascii="宋体" w:hAnsi="宋体" w:eastAsia="宋体" w:cs="Times New Roman"/>
                <w:color w:val="auto"/>
                <w:szCs w:val="21"/>
                <w:highlight w:val="none"/>
              </w:rPr>
              <w:t>．总资产报酬率</w:t>
            </w:r>
          </w:p>
        </w:tc>
        <w:tc>
          <w:tcPr>
            <w:tcW w:w="735" w:type="dxa"/>
            <w:noWrap w:val="0"/>
            <w:vAlign w:val="top"/>
          </w:tcPr>
          <w:p w14:paraId="1B9C2A79">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031FDFD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85F23C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DD4C9F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FC907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BF17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8CD3223">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．主营业务利润率</w:t>
            </w:r>
          </w:p>
        </w:tc>
        <w:tc>
          <w:tcPr>
            <w:tcW w:w="735" w:type="dxa"/>
            <w:noWrap w:val="0"/>
            <w:vAlign w:val="top"/>
          </w:tcPr>
          <w:p w14:paraId="630856B6">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5E5A837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8EE33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F4E8DC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ADD565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4F8CB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3D5A824">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4</w:t>
            </w:r>
            <w:r>
              <w:rPr>
                <w:rFonts w:hint="eastAsia" w:ascii="宋体" w:hAnsi="宋体" w:eastAsia="宋体" w:cs="Times New Roman"/>
                <w:color w:val="auto"/>
                <w:szCs w:val="21"/>
                <w:highlight w:val="none"/>
              </w:rPr>
              <w:t>．资产负债率</w:t>
            </w:r>
          </w:p>
        </w:tc>
        <w:tc>
          <w:tcPr>
            <w:tcW w:w="735" w:type="dxa"/>
            <w:noWrap w:val="0"/>
            <w:vAlign w:val="top"/>
          </w:tcPr>
          <w:p w14:paraId="7180A194">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50080F0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73648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984C7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A3D6E5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135E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8701D5C">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5</w:t>
            </w:r>
            <w:r>
              <w:rPr>
                <w:rFonts w:hint="eastAsia" w:ascii="宋体" w:hAnsi="宋体" w:eastAsia="宋体" w:cs="Times New Roman"/>
                <w:color w:val="auto"/>
                <w:szCs w:val="21"/>
                <w:highlight w:val="none"/>
              </w:rPr>
              <w:t>．流动比率</w:t>
            </w:r>
          </w:p>
        </w:tc>
        <w:tc>
          <w:tcPr>
            <w:tcW w:w="735" w:type="dxa"/>
            <w:noWrap w:val="0"/>
            <w:vAlign w:val="top"/>
          </w:tcPr>
          <w:p w14:paraId="4E555703">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034A9B0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4FC80D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2D453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A0CB9B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686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72704EF">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6</w:t>
            </w:r>
            <w:r>
              <w:rPr>
                <w:rFonts w:hint="eastAsia" w:ascii="宋体" w:hAnsi="宋体" w:eastAsia="宋体" w:cs="Times New Roman"/>
                <w:color w:val="auto"/>
                <w:szCs w:val="21"/>
                <w:highlight w:val="none"/>
              </w:rPr>
              <w:t>．速动比率</w:t>
            </w:r>
          </w:p>
        </w:tc>
        <w:tc>
          <w:tcPr>
            <w:tcW w:w="735" w:type="dxa"/>
            <w:noWrap w:val="0"/>
            <w:vAlign w:val="top"/>
          </w:tcPr>
          <w:p w14:paraId="321CAE9E">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225CC1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41A95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247FC9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E60D07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252F185E">
      <w:pPr>
        <w:autoSpaceDE w:val="0"/>
        <w:autoSpaceDN w:val="0"/>
        <w:adjustRightInd w:val="0"/>
        <w:snapToGrid w:val="0"/>
        <w:spacing w:line="325" w:lineRule="exact"/>
        <w:ind w:left="840" w:hanging="840" w:hangingChars="400"/>
        <w:rPr>
          <w:rFonts w:hint="eastAsia"/>
          <w:color w:val="auto"/>
          <w:szCs w:val="21"/>
          <w:highlight w:val="none"/>
        </w:rPr>
      </w:pPr>
    </w:p>
    <w:p w14:paraId="3C905658">
      <w:pPr>
        <w:autoSpaceDE w:val="0"/>
        <w:autoSpaceDN w:val="0"/>
        <w:adjustRightInd w:val="0"/>
        <w:snapToGrid w:val="0"/>
        <w:spacing w:line="325" w:lineRule="exact"/>
        <w:ind w:left="840" w:hanging="840" w:hangingChars="400"/>
        <w:rPr>
          <w:rFonts w:hint="eastAsia" w:ascii="宋体" w:cs="宋体"/>
          <w:color w:val="auto"/>
          <w:kern w:val="0"/>
          <w:szCs w:val="21"/>
          <w:highlight w:val="none"/>
        </w:rPr>
      </w:pPr>
      <w:r>
        <w:rPr>
          <w:rFonts w:hint="eastAsia"/>
          <w:color w:val="auto"/>
          <w:szCs w:val="21"/>
          <w:highlight w:val="none"/>
        </w:rPr>
        <w:t>备注：</w:t>
      </w:r>
      <w:r>
        <w:rPr>
          <w:color w:val="auto"/>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本表后应附近年财务会计报表，包括资产负债表、现金流量表、利润表和财务情况说明书的复印件</w:t>
      </w:r>
      <w:r>
        <w:rPr>
          <w:rFonts w:hint="eastAsia" w:ascii="宋体" w:hAnsi="宋体"/>
          <w:color w:val="auto"/>
          <w:szCs w:val="21"/>
          <w:highlight w:val="none"/>
        </w:rPr>
        <w:t>；具体年份要求见投标人须知前附表。</w:t>
      </w:r>
    </w:p>
    <w:p w14:paraId="2A1CE366">
      <w:pPr>
        <w:autoSpaceDE w:val="0"/>
        <w:autoSpaceDN w:val="0"/>
        <w:adjustRightInd w:val="0"/>
        <w:snapToGrid w:val="0"/>
        <w:spacing w:line="325" w:lineRule="exact"/>
        <w:ind w:left="840" w:hanging="840" w:hangingChars="40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5A624203">
      <w:pPr>
        <w:autoSpaceDE w:val="0"/>
        <w:autoSpaceDN w:val="0"/>
        <w:adjustRightInd w:val="0"/>
        <w:snapToGrid w:val="0"/>
        <w:spacing w:line="325" w:lineRule="exact"/>
        <w:rPr>
          <w:rFonts w:hint="eastAsia"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以联合体形式</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4F5F0360">
      <w:pPr>
        <w:autoSpaceDE w:val="0"/>
        <w:autoSpaceDN w:val="0"/>
        <w:adjustRightInd w:val="0"/>
        <w:snapToGrid w:val="0"/>
        <w:spacing w:line="325" w:lineRule="exact"/>
        <w:rPr>
          <w:rFonts w:hint="eastAsia" w:ascii="宋体" w:cs="宋体"/>
          <w:color w:val="auto"/>
          <w:kern w:val="0"/>
          <w:szCs w:val="21"/>
          <w:highlight w:val="none"/>
        </w:rPr>
      </w:pPr>
    </w:p>
    <w:p w14:paraId="15CB8384">
      <w:pPr>
        <w:autoSpaceDE w:val="0"/>
        <w:autoSpaceDN w:val="0"/>
        <w:adjustRightInd w:val="0"/>
        <w:snapToGrid w:val="0"/>
        <w:spacing w:line="325" w:lineRule="exact"/>
        <w:rPr>
          <w:rFonts w:hint="eastAsia" w:ascii="宋体" w:cs="宋体"/>
          <w:color w:val="auto"/>
          <w:kern w:val="0"/>
          <w:szCs w:val="21"/>
          <w:highlight w:val="none"/>
        </w:rPr>
      </w:pPr>
    </w:p>
    <w:p w14:paraId="37CB5699">
      <w:pPr>
        <w:autoSpaceDE w:val="0"/>
        <w:autoSpaceDN w:val="0"/>
        <w:adjustRightInd w:val="0"/>
        <w:snapToGrid w:val="0"/>
        <w:spacing w:line="325" w:lineRule="exact"/>
        <w:rPr>
          <w:rFonts w:hint="eastAsia" w:ascii="宋体" w:cs="宋体"/>
          <w:color w:val="auto"/>
          <w:kern w:val="0"/>
          <w:szCs w:val="21"/>
          <w:highlight w:val="none"/>
        </w:rPr>
      </w:pPr>
    </w:p>
    <w:p w14:paraId="5397E345">
      <w:pPr>
        <w:pStyle w:val="6"/>
        <w:spacing w:before="159"/>
        <w:jc w:val="center"/>
        <w:rPr>
          <w:color w:val="auto"/>
          <w:highlight w:val="none"/>
        </w:rPr>
      </w:pPr>
      <w:bookmarkStart w:id="3853" w:name="_Toc14818"/>
      <w:bookmarkStart w:id="3854" w:name="_Toc519085678"/>
      <w:bookmarkStart w:id="3855" w:name="_Toc13789_WPSOffice_Level2"/>
      <w:bookmarkStart w:id="3856" w:name="_Toc247514302"/>
      <w:bookmarkStart w:id="3857" w:name="_Toc152042599"/>
      <w:bookmarkStart w:id="3858" w:name="_Toc152045810"/>
      <w:bookmarkStart w:id="3859" w:name="_Toc247527850"/>
      <w:bookmarkStart w:id="3860" w:name="_Toc144974878"/>
      <w:r>
        <w:rPr>
          <w:color w:val="auto"/>
          <w:highlight w:val="none"/>
        </w:rPr>
        <w:t>（三）近年完成的类似项目情况</w:t>
      </w:r>
      <w:bookmarkEnd w:id="3853"/>
      <w:bookmarkEnd w:id="3854"/>
      <w:bookmarkEnd w:id="3855"/>
      <w:bookmarkEnd w:id="3856"/>
      <w:bookmarkEnd w:id="3857"/>
      <w:bookmarkEnd w:id="3858"/>
      <w:bookmarkEnd w:id="3859"/>
      <w:bookmarkEnd w:id="3860"/>
    </w:p>
    <w:p w14:paraId="57AEFCCC">
      <w:pPr>
        <w:jc w:val="center"/>
        <w:rPr>
          <w:rFonts w:hint="eastAsia" w:ascii="黑体" w:hAnsi="黑体" w:eastAsia="黑体"/>
          <w:color w:val="auto"/>
          <w:sz w:val="24"/>
          <w:highlight w:val="none"/>
        </w:rPr>
      </w:pPr>
      <w:bookmarkStart w:id="3861" w:name="_Toc456555782"/>
      <w:bookmarkStart w:id="3862" w:name="_Toc519085679"/>
    </w:p>
    <w:p w14:paraId="7C3E85CE">
      <w:pPr>
        <w:pStyle w:val="98"/>
        <w:jc w:val="center"/>
        <w:outlineLvl w:val="4"/>
        <w:rPr>
          <w:rFonts w:hint="eastAsia"/>
          <w:color w:val="auto"/>
          <w:szCs w:val="24"/>
          <w:highlight w:val="none"/>
        </w:rPr>
      </w:pPr>
      <w:bookmarkStart w:id="3863" w:name="_Toc16348"/>
      <w:bookmarkStart w:id="3864" w:name="_Toc32245"/>
      <w:r>
        <w:rPr>
          <w:rFonts w:hint="eastAsia"/>
          <w:color w:val="auto"/>
          <w:szCs w:val="24"/>
          <w:highlight w:val="none"/>
        </w:rPr>
        <w:t>3-1 近年完成的类似项目汇总表</w:t>
      </w:r>
      <w:bookmarkEnd w:id="3861"/>
      <w:bookmarkEnd w:id="3862"/>
      <w:bookmarkEnd w:id="3863"/>
      <w:bookmarkEnd w:id="3864"/>
    </w:p>
    <w:p w14:paraId="78523C1F">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616A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779B9A8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6102FEB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69E5B94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67B0B30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0C47A94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6779B5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2DBA724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0504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7B852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F8DB2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D538D9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CFFAC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CB395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74742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130468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DAD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99B12C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F23E1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36949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DC3A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14B27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29ECD7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7616A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AD6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C1CA5D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7E517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388E2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49524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144057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970F2D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60F59A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64E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AF0CC4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BC5F3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705ACB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D411E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A6CE8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3EDEB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92A4C5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B4A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25344B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3C5B0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0B47FB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C5C1EB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D3E4A0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505E5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F2A4E3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D5F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32BB29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D0E6AA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16C4F5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5B7FE4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508F8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41F15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CF2E3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E27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6B840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32E079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93C287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BE179F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39B83D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213F4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FA413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F59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F7FA1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902B00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05B19A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F800A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13A2C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4FA6BA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02A0B8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984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06B2F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6A697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1DA73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8927E2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C04BF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17915A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76DA2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7C4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4C225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CE77C3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EB1E45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4A8D0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816C0B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52E77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0051D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47A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CA0EBF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DDDAA9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F1B065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36984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06846D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29144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26B372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6E8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879F33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B7397C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C6BC64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F5C59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E09A1A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83B7BB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643DF6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BBD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7E975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F716D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287E36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A9311E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0B2D2A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44ED9E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8EDB14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B2C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757F6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B994E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C6206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9E8E9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9A3738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C2BBA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7F3B42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968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5A82CD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9DD58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1B393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C2832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138966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C8081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D0826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2EA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F5A881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F7978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2554A3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75222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C1DBAB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4E1DBC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7A952C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62430A68">
      <w:pPr>
        <w:spacing w:line="440" w:lineRule="exact"/>
        <w:ind w:left="720" w:hanging="720" w:hangingChars="300"/>
        <w:rPr>
          <w:rFonts w:hint="eastAsia" w:ascii="黑体" w:hAnsi="宋体" w:eastAsia="黑体"/>
          <w:color w:val="auto"/>
          <w:sz w:val="24"/>
          <w:highlight w:val="none"/>
        </w:rPr>
      </w:pPr>
    </w:p>
    <w:p w14:paraId="097ABAA0">
      <w:pPr>
        <w:spacing w:line="440" w:lineRule="exact"/>
        <w:ind w:left="720" w:hanging="720" w:hangingChars="300"/>
        <w:rPr>
          <w:rFonts w:hint="eastAsia" w:ascii="黑体" w:hAnsi="宋体" w:eastAsia="黑体"/>
          <w:color w:val="auto"/>
          <w:sz w:val="24"/>
          <w:highlight w:val="none"/>
        </w:rPr>
      </w:pPr>
    </w:p>
    <w:p w14:paraId="6FBBAF06">
      <w:pPr>
        <w:spacing w:line="440" w:lineRule="exact"/>
        <w:ind w:left="720" w:hanging="720" w:hangingChars="300"/>
        <w:rPr>
          <w:rFonts w:hint="eastAsia" w:ascii="黑体" w:hAnsi="宋体" w:eastAsia="黑体"/>
          <w:color w:val="auto"/>
          <w:sz w:val="24"/>
          <w:highlight w:val="none"/>
        </w:rPr>
      </w:pPr>
    </w:p>
    <w:p w14:paraId="215D7A22">
      <w:pPr>
        <w:spacing w:line="440" w:lineRule="exact"/>
        <w:ind w:left="720" w:hanging="720" w:hangingChars="300"/>
        <w:rPr>
          <w:rFonts w:hint="eastAsia" w:ascii="黑体" w:hAnsi="宋体" w:eastAsia="黑体"/>
          <w:color w:val="auto"/>
          <w:sz w:val="24"/>
          <w:highlight w:val="none"/>
        </w:rPr>
      </w:pPr>
    </w:p>
    <w:p w14:paraId="2C699985">
      <w:pPr>
        <w:spacing w:line="440" w:lineRule="exact"/>
        <w:ind w:left="720" w:hanging="720" w:hangingChars="300"/>
        <w:rPr>
          <w:rFonts w:hint="eastAsia" w:ascii="黑体" w:hAnsi="宋体" w:eastAsia="黑体"/>
          <w:color w:val="auto"/>
          <w:sz w:val="24"/>
          <w:highlight w:val="none"/>
        </w:rPr>
      </w:pPr>
    </w:p>
    <w:p w14:paraId="0750AB59">
      <w:pPr>
        <w:spacing w:line="440" w:lineRule="exact"/>
        <w:ind w:left="720" w:hanging="720" w:hangingChars="300"/>
        <w:rPr>
          <w:rFonts w:hint="eastAsia" w:ascii="黑体" w:hAnsi="宋体" w:eastAsia="黑体"/>
          <w:color w:val="auto"/>
          <w:sz w:val="24"/>
          <w:highlight w:val="none"/>
        </w:rPr>
      </w:pPr>
    </w:p>
    <w:p w14:paraId="3047C014">
      <w:pPr>
        <w:spacing w:line="440" w:lineRule="exact"/>
        <w:ind w:left="720" w:hanging="720" w:hangingChars="300"/>
        <w:rPr>
          <w:rFonts w:hint="eastAsia" w:ascii="黑体" w:hAnsi="宋体" w:eastAsia="黑体"/>
          <w:color w:val="auto"/>
          <w:sz w:val="24"/>
          <w:highlight w:val="none"/>
        </w:rPr>
      </w:pPr>
      <w:bookmarkStart w:id="3865" w:name="_Toc14155"/>
      <w:bookmarkStart w:id="3866" w:name="_Toc519085680"/>
      <w:bookmarkStart w:id="3867" w:name="_Toc456555783"/>
    </w:p>
    <w:p w14:paraId="5820107C">
      <w:pPr>
        <w:pStyle w:val="98"/>
        <w:jc w:val="center"/>
        <w:outlineLvl w:val="4"/>
        <w:rPr>
          <w:rFonts w:hint="eastAsia"/>
          <w:color w:val="auto"/>
          <w:szCs w:val="24"/>
          <w:highlight w:val="none"/>
        </w:rPr>
      </w:pPr>
      <w:bookmarkStart w:id="3868" w:name="_Toc14532"/>
      <w:r>
        <w:rPr>
          <w:rFonts w:hint="eastAsia"/>
          <w:color w:val="auto"/>
          <w:szCs w:val="24"/>
          <w:highlight w:val="none"/>
        </w:rPr>
        <w:t>3-2 近年完成的类似项目情况表</w:t>
      </w:r>
      <w:bookmarkEnd w:id="3865"/>
      <w:bookmarkEnd w:id="3866"/>
      <w:bookmarkEnd w:id="3867"/>
      <w:bookmarkEnd w:id="3868"/>
    </w:p>
    <w:p w14:paraId="7487D3EB">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3BC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A54161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1CF8511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1CD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3527CE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6E5D02B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7A9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5BA9A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5B8C141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F3B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E535F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4222AC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D8A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EA6086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11EE83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C7F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D7083E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536718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FC2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590D8C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4" w:type="dxa"/>
            <w:noWrap w:val="0"/>
            <w:vAlign w:val="center"/>
          </w:tcPr>
          <w:p w14:paraId="603ECBB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39C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67E895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竣工日期</w:t>
            </w:r>
          </w:p>
        </w:tc>
        <w:tc>
          <w:tcPr>
            <w:tcW w:w="6094" w:type="dxa"/>
            <w:noWrap w:val="0"/>
            <w:vAlign w:val="center"/>
          </w:tcPr>
          <w:p w14:paraId="73FD2AE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FF1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2411" w:type="dxa"/>
            <w:noWrap w:val="0"/>
            <w:vAlign w:val="center"/>
          </w:tcPr>
          <w:p w14:paraId="741DA30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16083B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787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477FA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4" w:type="dxa"/>
            <w:noWrap w:val="0"/>
            <w:vAlign w:val="center"/>
          </w:tcPr>
          <w:p w14:paraId="1AE13E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A44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7377E3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4" w:type="dxa"/>
            <w:noWrap w:val="0"/>
            <w:vAlign w:val="center"/>
          </w:tcPr>
          <w:p w14:paraId="341A938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993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5F0363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4" w:type="dxa"/>
            <w:noWrap w:val="0"/>
            <w:vAlign w:val="center"/>
          </w:tcPr>
          <w:p w14:paraId="4387223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BA2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411" w:type="dxa"/>
            <w:noWrap w:val="0"/>
            <w:vAlign w:val="center"/>
          </w:tcPr>
          <w:p w14:paraId="30CBB7E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51F3CC2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D78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F29BF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6579D7D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52E7229">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61D711E0">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工程接收证书或工程竣工验收证书（或工程竣工验收备案证）（如有）及其他证明材料（如需要）的复印件。其中招标发包的工程应附中标通知书。每张表格只填写一个项目，并标明序号。</w:t>
      </w:r>
    </w:p>
    <w:p w14:paraId="6F2B30B0">
      <w:pPr>
        <w:spacing w:line="440" w:lineRule="exact"/>
        <w:jc w:val="center"/>
        <w:rPr>
          <w:rFonts w:eastAsia="黑体"/>
          <w:color w:val="auto"/>
          <w:sz w:val="23"/>
          <w:szCs w:val="23"/>
          <w:highlight w:val="none"/>
        </w:rPr>
      </w:pPr>
    </w:p>
    <w:p w14:paraId="0C5EE253">
      <w:pPr>
        <w:spacing w:line="440" w:lineRule="exact"/>
        <w:rPr>
          <w:color w:val="auto"/>
          <w:highlight w:val="none"/>
        </w:rPr>
      </w:pPr>
      <w:bookmarkStart w:id="3869" w:name="_Toc152045811"/>
      <w:bookmarkStart w:id="3870" w:name="_Toc247514303"/>
      <w:bookmarkStart w:id="3871" w:name="_Toc247527851"/>
      <w:bookmarkStart w:id="3872" w:name="_Toc144974879"/>
      <w:bookmarkStart w:id="3873" w:name="_Toc152042600"/>
    </w:p>
    <w:p w14:paraId="11C80E57">
      <w:pPr>
        <w:pStyle w:val="2"/>
        <w:rPr>
          <w:color w:val="auto"/>
          <w:highlight w:val="none"/>
        </w:rPr>
      </w:pPr>
    </w:p>
    <w:p w14:paraId="3665F26B">
      <w:pPr>
        <w:pStyle w:val="2"/>
        <w:rPr>
          <w:rFonts w:hint="eastAsia"/>
          <w:color w:val="auto"/>
          <w:highlight w:val="none"/>
        </w:rPr>
      </w:pPr>
    </w:p>
    <w:p w14:paraId="79CF9B43">
      <w:pPr>
        <w:pStyle w:val="98"/>
        <w:jc w:val="center"/>
        <w:outlineLvl w:val="4"/>
        <w:rPr>
          <w:rFonts w:hint="eastAsia"/>
          <w:color w:val="auto"/>
          <w:szCs w:val="24"/>
          <w:highlight w:val="none"/>
        </w:rPr>
      </w:pPr>
      <w:bookmarkStart w:id="3874" w:name="_Toc22053"/>
      <w:bookmarkStart w:id="3875" w:name="_Toc110963822"/>
      <w:bookmarkStart w:id="3876" w:name="_Toc9385_WPSOffice_Level2"/>
      <w:r>
        <w:rPr>
          <w:rFonts w:hint="eastAsia"/>
          <w:color w:val="auto"/>
          <w:szCs w:val="24"/>
          <w:highlight w:val="none"/>
        </w:rPr>
        <w:t>3-3 项目负责人的类似项目汇总表</w:t>
      </w:r>
      <w:bookmarkEnd w:id="3874"/>
      <w:bookmarkEnd w:id="3875"/>
    </w:p>
    <w:p w14:paraId="427A8EBE">
      <w:pPr>
        <w:spacing w:line="440" w:lineRule="exact"/>
        <w:rPr>
          <w:rFonts w:hint="eastAsia" w:ascii="黑体" w:hAnsi="宋体"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419E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0291BE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22BA5A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45A6741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1AA8AF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建设规模</w:t>
            </w:r>
          </w:p>
        </w:tc>
        <w:tc>
          <w:tcPr>
            <w:tcW w:w="1112" w:type="dxa"/>
            <w:noWrap w:val="0"/>
            <w:vAlign w:val="top"/>
          </w:tcPr>
          <w:p w14:paraId="1F892E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合同额（万元）</w:t>
            </w:r>
          </w:p>
        </w:tc>
        <w:tc>
          <w:tcPr>
            <w:tcW w:w="1778" w:type="dxa"/>
            <w:noWrap w:val="0"/>
            <w:vAlign w:val="top"/>
          </w:tcPr>
          <w:p w14:paraId="4FFB71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5CBDBD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项目负责人</w:t>
            </w:r>
          </w:p>
        </w:tc>
      </w:tr>
      <w:tr w14:paraId="1E79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825E9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A3A0B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6F7EA2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FE12F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F3B2BF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03072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C87FC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F0C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47D851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8BBBF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355E1C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C250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F55B3F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AFB564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F7C97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022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61777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6BD26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3F76E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BFA37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733DA5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3BC999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EF3BA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731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10ABA2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61043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4CE367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51333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982C7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5F7C3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75AB76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68A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5F9C31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686389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C0247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ADED1A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49FE2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AF7F4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43758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988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1B4959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DCEC0A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59FB43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1932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E2807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8BD4C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C62829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855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0B5730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4944E9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F01186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6F996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D65029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BB3D95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A1257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F52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7DD4C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49A634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5CD515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B2BFB3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656D4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1D998A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DC52A5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7B8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73DAD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486739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6DBDE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C83592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53CEE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6847A8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3F375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A74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2DB795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F1ADA6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D6A96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127ED3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E3FD2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9201C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BE4995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494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E0B626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F885A3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91BD2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D17C58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0594D7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362476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8761BF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88D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F6C9EC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A4F3E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C7207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3C538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52E9E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E29A2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A71CA9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DD5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303AF0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A6874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958CA8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BF38E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3E311C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5DA4BD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92F0D2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C89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B746FE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9B059B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2E63C8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D3D056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54CB3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AE1AD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93659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223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638411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EC693D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9E08EB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B545F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F1857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6654A4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19D235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D2B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308D6A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B1CD12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5F905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E9F8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64BAC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D55C9A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F354A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3C2B2F4B">
      <w:pPr>
        <w:spacing w:after="319" w:afterLines="100" w:line="400" w:lineRule="exact"/>
        <w:jc w:val="center"/>
        <w:rPr>
          <w:rFonts w:hint="eastAsia" w:ascii="黑体" w:hAnsi="宋体" w:eastAsia="黑体"/>
          <w:color w:val="auto"/>
          <w:sz w:val="27"/>
          <w:szCs w:val="27"/>
          <w:highlight w:val="none"/>
        </w:rPr>
      </w:pPr>
    </w:p>
    <w:p w14:paraId="2AE759D6">
      <w:pPr>
        <w:spacing w:after="319" w:afterLines="100" w:line="400" w:lineRule="exact"/>
        <w:jc w:val="center"/>
        <w:rPr>
          <w:rFonts w:hint="eastAsia" w:ascii="黑体" w:eastAsia="黑体"/>
          <w:b/>
          <w:color w:val="auto"/>
          <w:sz w:val="28"/>
          <w:highlight w:val="none"/>
        </w:rPr>
      </w:pPr>
    </w:p>
    <w:p w14:paraId="79AEF539">
      <w:pPr>
        <w:spacing w:after="319" w:afterLines="100" w:line="400" w:lineRule="exact"/>
        <w:jc w:val="center"/>
        <w:rPr>
          <w:rFonts w:hint="eastAsia" w:ascii="黑体" w:eastAsia="黑体"/>
          <w:b/>
          <w:color w:val="auto"/>
          <w:sz w:val="28"/>
          <w:highlight w:val="none"/>
        </w:rPr>
      </w:pPr>
    </w:p>
    <w:p w14:paraId="5743E2B8">
      <w:pPr>
        <w:spacing w:after="319" w:afterLines="100" w:line="400" w:lineRule="exact"/>
        <w:jc w:val="center"/>
        <w:rPr>
          <w:rFonts w:hint="eastAsia" w:ascii="黑体" w:eastAsia="黑体"/>
          <w:b/>
          <w:color w:val="auto"/>
          <w:sz w:val="28"/>
          <w:highlight w:val="none"/>
        </w:rPr>
      </w:pPr>
    </w:p>
    <w:p w14:paraId="23A0D008">
      <w:pPr>
        <w:spacing w:after="319" w:afterLines="100" w:line="400" w:lineRule="exact"/>
        <w:jc w:val="center"/>
        <w:rPr>
          <w:rFonts w:hint="eastAsia" w:ascii="黑体" w:eastAsia="黑体"/>
          <w:b/>
          <w:color w:val="auto"/>
          <w:sz w:val="28"/>
          <w:highlight w:val="none"/>
        </w:rPr>
      </w:pPr>
    </w:p>
    <w:p w14:paraId="1BA5FBBA">
      <w:pPr>
        <w:pStyle w:val="98"/>
        <w:jc w:val="center"/>
        <w:outlineLvl w:val="4"/>
        <w:rPr>
          <w:rFonts w:hint="eastAsia"/>
          <w:color w:val="auto"/>
          <w:szCs w:val="24"/>
          <w:highlight w:val="none"/>
        </w:rPr>
      </w:pPr>
      <w:bookmarkStart w:id="3877" w:name="_Toc110963823"/>
      <w:bookmarkStart w:id="3878" w:name="_Toc32632"/>
      <w:r>
        <w:rPr>
          <w:rFonts w:hint="eastAsia"/>
          <w:color w:val="auto"/>
          <w:szCs w:val="24"/>
          <w:highlight w:val="none"/>
        </w:rPr>
        <w:t>3-4 项目负责人的类似项目情况表</w:t>
      </w:r>
      <w:bookmarkEnd w:id="3877"/>
      <w:bookmarkEnd w:id="3878"/>
    </w:p>
    <w:p w14:paraId="7E37D66F">
      <w:pPr>
        <w:spacing w:line="400" w:lineRule="exact"/>
        <w:jc w:val="center"/>
        <w:rPr>
          <w:rFonts w:hint="eastAsia" w:ascii="黑体" w:eastAsia="黑体"/>
          <w:b/>
          <w:color w:val="auto"/>
          <w:sz w:val="28"/>
          <w:highlight w:val="none"/>
        </w:rPr>
      </w:pP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452"/>
      </w:tblGrid>
      <w:tr w14:paraId="02D195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51F7F2A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452" w:type="dxa"/>
            <w:noWrap w:val="0"/>
            <w:vAlign w:val="center"/>
          </w:tcPr>
          <w:p w14:paraId="585950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4F93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0A8B3E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452" w:type="dxa"/>
            <w:noWrap w:val="0"/>
            <w:vAlign w:val="center"/>
          </w:tcPr>
          <w:p w14:paraId="22501B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D1837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1BD9B54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452" w:type="dxa"/>
            <w:noWrap w:val="0"/>
            <w:vAlign w:val="center"/>
          </w:tcPr>
          <w:p w14:paraId="38350A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7BAE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5ACD81F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承包人名称</w:t>
            </w:r>
          </w:p>
        </w:tc>
        <w:tc>
          <w:tcPr>
            <w:tcW w:w="6452" w:type="dxa"/>
            <w:noWrap w:val="0"/>
            <w:vAlign w:val="center"/>
          </w:tcPr>
          <w:p w14:paraId="38DE1C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CFE0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22CBCA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合同额（万元）</w:t>
            </w:r>
          </w:p>
        </w:tc>
        <w:tc>
          <w:tcPr>
            <w:tcW w:w="6452" w:type="dxa"/>
            <w:noWrap w:val="0"/>
            <w:vAlign w:val="center"/>
          </w:tcPr>
          <w:p w14:paraId="28449E3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0340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6234AE5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实际开工日期</w:t>
            </w:r>
          </w:p>
        </w:tc>
        <w:tc>
          <w:tcPr>
            <w:tcW w:w="6452" w:type="dxa"/>
            <w:noWrap w:val="0"/>
            <w:vAlign w:val="center"/>
          </w:tcPr>
          <w:p w14:paraId="45CF51E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3A715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21BD399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实际竣工日期</w:t>
            </w:r>
          </w:p>
        </w:tc>
        <w:tc>
          <w:tcPr>
            <w:tcW w:w="6452" w:type="dxa"/>
            <w:noWrap w:val="0"/>
            <w:vAlign w:val="center"/>
          </w:tcPr>
          <w:p w14:paraId="67F2C1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20F9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48DB818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c>
          <w:tcPr>
            <w:tcW w:w="6452" w:type="dxa"/>
            <w:noWrap w:val="0"/>
            <w:vAlign w:val="center"/>
          </w:tcPr>
          <w:p w14:paraId="2710C3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62FE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2268" w:type="dxa"/>
            <w:noWrap w:val="0"/>
            <w:vAlign w:val="center"/>
          </w:tcPr>
          <w:p w14:paraId="23325B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建设规模</w:t>
            </w:r>
          </w:p>
        </w:tc>
        <w:tc>
          <w:tcPr>
            <w:tcW w:w="6452" w:type="dxa"/>
            <w:noWrap w:val="0"/>
            <w:vAlign w:val="center"/>
          </w:tcPr>
          <w:p w14:paraId="604AE6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350D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2268" w:type="dxa"/>
            <w:noWrap w:val="0"/>
            <w:vAlign w:val="center"/>
          </w:tcPr>
          <w:p w14:paraId="00D0C48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承包范围</w:t>
            </w:r>
          </w:p>
        </w:tc>
        <w:tc>
          <w:tcPr>
            <w:tcW w:w="6452" w:type="dxa"/>
            <w:noWrap w:val="0"/>
            <w:vAlign w:val="center"/>
          </w:tcPr>
          <w:p w14:paraId="4F004CA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3F42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2268" w:type="dxa"/>
            <w:noWrap w:val="0"/>
            <w:vAlign w:val="center"/>
          </w:tcPr>
          <w:p w14:paraId="290A75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  注</w:t>
            </w:r>
          </w:p>
        </w:tc>
        <w:tc>
          <w:tcPr>
            <w:tcW w:w="6452" w:type="dxa"/>
            <w:noWrap w:val="0"/>
            <w:vAlign w:val="center"/>
          </w:tcPr>
          <w:p w14:paraId="249C98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2287275">
      <w:pPr>
        <w:autoSpaceDE w:val="0"/>
        <w:autoSpaceDN w:val="0"/>
        <w:adjustRightInd w:val="0"/>
        <w:snapToGrid w:val="0"/>
        <w:spacing w:line="325" w:lineRule="exact"/>
        <w:ind w:left="945" w:hanging="945" w:hangingChars="450"/>
        <w:rPr>
          <w:rFonts w:hint="eastAsia" w:cs="宋体"/>
          <w:color w:val="auto"/>
          <w:kern w:val="0"/>
          <w:szCs w:val="21"/>
          <w:highlight w:val="none"/>
        </w:rPr>
      </w:pPr>
      <w:r>
        <w:rPr>
          <w:rFonts w:hint="eastAsia" w:cs="宋体"/>
          <w:color w:val="auto"/>
          <w:kern w:val="0"/>
          <w:szCs w:val="21"/>
          <w:highlight w:val="none"/>
        </w:rPr>
        <w:t>备注：1．“类似项目</w:t>
      </w:r>
      <w:r>
        <w:rPr>
          <w:rFonts w:cs="宋体"/>
          <w:color w:val="auto"/>
          <w:kern w:val="0"/>
          <w:szCs w:val="21"/>
          <w:highlight w:val="none"/>
        </w:rPr>
        <w:t>”</w:t>
      </w:r>
      <w:r>
        <w:rPr>
          <w:rFonts w:hint="eastAsia" w:ascii="宋体" w:hAnsi="宋体"/>
          <w:color w:val="auto"/>
          <w:highlight w:val="none"/>
        </w:rPr>
        <w:t>限于以项目负责人（项目经理）身份参与的项目于“</w:t>
      </w:r>
      <w:r>
        <w:rPr>
          <w:rFonts w:hint="eastAsia"/>
          <w:color w:val="auto"/>
          <w:highlight w:val="none"/>
        </w:rPr>
        <w:t>（二）项目负责人简历表”</w:t>
      </w:r>
      <w:r>
        <w:rPr>
          <w:rFonts w:hint="eastAsia" w:ascii="宋体" w:hAnsi="宋体"/>
          <w:color w:val="auto"/>
          <w:highlight w:val="none"/>
        </w:rPr>
        <w:t>,详</w:t>
      </w:r>
      <w:r>
        <w:rPr>
          <w:rFonts w:hint="eastAsia" w:cs="宋体"/>
          <w:color w:val="auto"/>
          <w:kern w:val="0"/>
          <w:szCs w:val="21"/>
          <w:highlight w:val="none"/>
        </w:rPr>
        <w:t>见投标人须知前附表第3.5.3项。</w:t>
      </w:r>
    </w:p>
    <w:p w14:paraId="10566A81">
      <w:pPr>
        <w:autoSpaceDE w:val="0"/>
        <w:autoSpaceDN w:val="0"/>
        <w:adjustRightInd w:val="0"/>
        <w:snapToGrid w:val="0"/>
        <w:spacing w:line="325" w:lineRule="exact"/>
        <w:ind w:left="945" w:leftChars="300" w:hanging="315" w:hangingChars="150"/>
        <w:rPr>
          <w:rFonts w:hint="eastAsia" w:cs="宋体"/>
          <w:color w:val="auto"/>
          <w:kern w:val="0"/>
          <w:szCs w:val="21"/>
          <w:highlight w:val="none"/>
        </w:rPr>
      </w:pPr>
      <w:r>
        <w:rPr>
          <w:rFonts w:hint="eastAsia" w:cs="宋体"/>
          <w:color w:val="auto"/>
          <w:kern w:val="0"/>
          <w:szCs w:val="21"/>
          <w:highlight w:val="none"/>
        </w:rPr>
        <w:t>2.  本表后附中标通知书（如有）、合同协议书、工程接收证书或工程竣工验收证书（工程竣工验收备案证）的</w:t>
      </w:r>
      <w:r>
        <w:rPr>
          <w:rFonts w:hint="eastAsia" w:ascii="宋体" w:hAnsi="宋体"/>
          <w:color w:val="auto"/>
          <w:highlight w:val="none"/>
        </w:rPr>
        <w:t>“扫描件”</w:t>
      </w:r>
      <w:r>
        <w:rPr>
          <w:rFonts w:hint="eastAsia" w:cs="宋体"/>
          <w:color w:val="auto"/>
          <w:kern w:val="0"/>
          <w:szCs w:val="21"/>
          <w:highlight w:val="none"/>
        </w:rPr>
        <w:t>，上述证明材料不足以反映“类似项目”</w:t>
      </w:r>
      <w:r>
        <w:rPr>
          <w:rFonts w:hint="eastAsia"/>
          <w:color w:val="auto"/>
          <w:highlight w:val="none"/>
        </w:rPr>
        <w:t xml:space="preserve"> 的工程特征指标时，还应当提供</w:t>
      </w:r>
      <w:r>
        <w:rPr>
          <w:rFonts w:hint="eastAsia" w:cs="宋体"/>
          <w:color w:val="auto"/>
          <w:kern w:val="0"/>
          <w:szCs w:val="21"/>
          <w:highlight w:val="none"/>
        </w:rPr>
        <w:t>其他技术资料的</w:t>
      </w:r>
      <w:r>
        <w:rPr>
          <w:rFonts w:hint="eastAsia" w:ascii="宋体" w:hAnsi="宋体"/>
          <w:color w:val="auto"/>
          <w:highlight w:val="none"/>
        </w:rPr>
        <w:t>“扫描件”</w:t>
      </w:r>
      <w:r>
        <w:rPr>
          <w:rFonts w:hint="eastAsia" w:cs="宋体"/>
          <w:color w:val="auto"/>
          <w:kern w:val="0"/>
          <w:szCs w:val="21"/>
          <w:highlight w:val="none"/>
        </w:rPr>
        <w:t>予以证明。招标发包的工程应附中标通知书。以工程接收证书或工程竣工验收证书（工程竣工验收备案证）颁发时间</w:t>
      </w:r>
      <w:r>
        <w:rPr>
          <w:rFonts w:cs="宋体"/>
          <w:color w:val="auto"/>
          <w:kern w:val="0"/>
          <w:szCs w:val="21"/>
          <w:highlight w:val="none"/>
        </w:rPr>
        <w:t>为准</w:t>
      </w:r>
      <w:r>
        <w:rPr>
          <w:rFonts w:hint="eastAsia" w:cs="宋体"/>
          <w:color w:val="auto"/>
          <w:kern w:val="0"/>
          <w:szCs w:val="21"/>
          <w:highlight w:val="none"/>
        </w:rPr>
        <w:t>。</w:t>
      </w:r>
    </w:p>
    <w:p w14:paraId="10527A4E">
      <w:pPr>
        <w:autoSpaceDE w:val="0"/>
        <w:autoSpaceDN w:val="0"/>
        <w:adjustRightInd w:val="0"/>
        <w:snapToGrid w:val="0"/>
        <w:spacing w:line="325" w:lineRule="exact"/>
        <w:ind w:left="945" w:leftChars="300" w:hanging="315" w:hangingChars="150"/>
        <w:rPr>
          <w:rFonts w:hint="eastAsia" w:cs="宋体"/>
          <w:color w:val="auto"/>
          <w:kern w:val="0"/>
          <w:szCs w:val="21"/>
          <w:highlight w:val="none"/>
        </w:rPr>
      </w:pPr>
      <w:r>
        <w:rPr>
          <w:rFonts w:hint="eastAsia" w:cs="宋体"/>
          <w:color w:val="auto"/>
          <w:kern w:val="0"/>
          <w:szCs w:val="21"/>
          <w:highlight w:val="none"/>
        </w:rPr>
        <w:t>3．每张表格只填写一个项目。</w:t>
      </w:r>
    </w:p>
    <w:p w14:paraId="4FEE62D7">
      <w:pPr>
        <w:pStyle w:val="6"/>
        <w:spacing w:before="159"/>
        <w:jc w:val="center"/>
        <w:rPr>
          <w:color w:val="auto"/>
          <w:highlight w:val="none"/>
        </w:rPr>
      </w:pPr>
      <w:r>
        <w:rPr>
          <w:color w:val="auto"/>
          <w:highlight w:val="none"/>
        </w:rPr>
        <w:t>（四）近年完成的类似</w:t>
      </w:r>
      <w:r>
        <w:rPr>
          <w:rFonts w:hint="eastAsia"/>
          <w:color w:val="auto"/>
          <w:highlight w:val="none"/>
        </w:rPr>
        <w:t>设计</w:t>
      </w:r>
      <w:r>
        <w:rPr>
          <w:color w:val="auto"/>
          <w:highlight w:val="none"/>
        </w:rPr>
        <w:t>项目情况</w:t>
      </w:r>
      <w:bookmarkEnd w:id="3876"/>
    </w:p>
    <w:p w14:paraId="2363171E">
      <w:pPr>
        <w:jc w:val="center"/>
        <w:rPr>
          <w:rFonts w:hint="eastAsia" w:ascii="黑体" w:hAnsi="黑体" w:eastAsia="黑体"/>
          <w:color w:val="auto"/>
          <w:sz w:val="24"/>
          <w:highlight w:val="none"/>
        </w:rPr>
      </w:pPr>
    </w:p>
    <w:p w14:paraId="32BA70A8">
      <w:pPr>
        <w:pStyle w:val="98"/>
        <w:jc w:val="center"/>
        <w:outlineLvl w:val="4"/>
        <w:rPr>
          <w:rFonts w:hint="eastAsia"/>
          <w:color w:val="auto"/>
          <w:szCs w:val="24"/>
          <w:highlight w:val="none"/>
        </w:rPr>
      </w:pPr>
      <w:bookmarkStart w:id="3879" w:name="_Toc6279"/>
      <w:bookmarkStart w:id="3880" w:name="_Toc22551"/>
      <w:r>
        <w:rPr>
          <w:rFonts w:hint="eastAsia"/>
          <w:color w:val="auto"/>
          <w:szCs w:val="24"/>
          <w:highlight w:val="none"/>
        </w:rPr>
        <w:t>4-1 近年完成的类似设计项目汇总表</w:t>
      </w:r>
      <w:bookmarkEnd w:id="3879"/>
      <w:bookmarkEnd w:id="3880"/>
    </w:p>
    <w:p w14:paraId="46A3740E">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607A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5ED9F9E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773D59D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43AB5A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236C750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561B91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1780DF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开、完成日期</w:t>
            </w:r>
          </w:p>
        </w:tc>
        <w:tc>
          <w:tcPr>
            <w:tcW w:w="1080" w:type="dxa"/>
            <w:noWrap w:val="0"/>
            <w:vAlign w:val="top"/>
          </w:tcPr>
          <w:p w14:paraId="606C9AB5">
            <w:pPr>
              <w:keepNext w:val="0"/>
              <w:keepLines w:val="0"/>
              <w:suppressLineNumbers w:val="0"/>
              <w:topLinePunct/>
              <w:spacing w:before="0" w:beforeAutospacing="0" w:after="0" w:afterAutospacing="0" w:line="400" w:lineRule="atLeas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w:t>
            </w:r>
          </w:p>
          <w:p w14:paraId="1D8D64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负责人</w:t>
            </w:r>
          </w:p>
        </w:tc>
      </w:tr>
      <w:tr w14:paraId="6C0C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027D3E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D4199B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931EB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00E01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40B35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F0E10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0F3FA0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C3F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4A706D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F8FB48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4DF4CC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3F6DDA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8AFB0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EC3428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BF3D19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F5A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3679CA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9E353F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3EE8A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95B079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C2FF5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77E0F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507F6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F08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5D9DA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5A45F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7012B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7B7EF5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2206F6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D5CCC6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03C6E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DD5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55E90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7E7AB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82601B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3A339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3A02A3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2DD158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34CDF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4EE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CAAA7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7D1A7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0B319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5983A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2E312C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31B22E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186CCF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5A5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B4663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174D9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E16440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0BA732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3BCA2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C1CB3F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5151C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04D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4F9B9E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AC6E4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52809B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A14F8E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D2100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7692E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714C61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EA8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D9C9E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722602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BCA919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8E39F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6EAB5C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D606D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21813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E2F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377AC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981AE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B4BDFA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49E10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C032DF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EFEA5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0FA45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825E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55A5EC0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BE40B6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A13332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71C4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5DC61C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185259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D685F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DC3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058FBE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4A9DAA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72A58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1F5890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FB1EFA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A94D0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F307D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841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5B15C7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E92BB9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7F788A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D19D2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81710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8C49E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1D27B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652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4A19E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2867E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CC90A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513BD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846555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95B3D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CBE87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821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985A3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490F7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3F2980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22C7B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B8539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1522E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7FCA31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091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D7A6A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1E5882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EF9FE7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3C25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F8C6AC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6F0B2E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87982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3F4A2DB4">
      <w:pPr>
        <w:spacing w:line="440" w:lineRule="exact"/>
        <w:ind w:left="720" w:hanging="720" w:hangingChars="300"/>
        <w:rPr>
          <w:ins w:id="0" w:author="鸵鸵" w:date="2025-09-19T09:28:41Z"/>
          <w:rFonts w:hint="eastAsia" w:ascii="黑体" w:hAnsi="宋体" w:eastAsia="黑体"/>
          <w:color w:val="auto"/>
          <w:sz w:val="24"/>
          <w:highlight w:val="none"/>
        </w:rPr>
      </w:pPr>
    </w:p>
    <w:p w14:paraId="543E95AF">
      <w:pPr>
        <w:spacing w:line="440" w:lineRule="exact"/>
        <w:ind w:left="720" w:hanging="720" w:hangingChars="300"/>
        <w:rPr>
          <w:rFonts w:hint="eastAsia" w:ascii="黑体" w:hAnsi="宋体" w:eastAsia="黑体"/>
          <w:color w:val="auto"/>
          <w:sz w:val="24"/>
          <w:highlight w:val="none"/>
        </w:rPr>
      </w:pPr>
    </w:p>
    <w:p w14:paraId="6BF16A44">
      <w:pPr>
        <w:spacing w:line="440" w:lineRule="exact"/>
        <w:ind w:left="720" w:hanging="720" w:hangingChars="300"/>
        <w:rPr>
          <w:rFonts w:ascii="黑体" w:hAnsi="宋体" w:eastAsia="黑体"/>
          <w:color w:val="auto"/>
          <w:sz w:val="24"/>
          <w:highlight w:val="none"/>
        </w:rPr>
      </w:pPr>
    </w:p>
    <w:p w14:paraId="49767A76">
      <w:pPr>
        <w:pStyle w:val="2"/>
        <w:rPr>
          <w:rFonts w:hint="eastAsia"/>
          <w:color w:val="auto"/>
          <w:highlight w:val="none"/>
        </w:rPr>
      </w:pPr>
    </w:p>
    <w:p w14:paraId="353B1A51">
      <w:pPr>
        <w:spacing w:line="440" w:lineRule="exact"/>
        <w:ind w:left="720" w:hanging="720" w:hangingChars="300"/>
        <w:rPr>
          <w:rFonts w:hint="eastAsia" w:ascii="黑体" w:hAnsi="宋体" w:eastAsia="黑体"/>
          <w:color w:val="auto"/>
          <w:sz w:val="24"/>
          <w:highlight w:val="none"/>
        </w:rPr>
      </w:pPr>
    </w:p>
    <w:p w14:paraId="2C33D4F9">
      <w:pPr>
        <w:pStyle w:val="98"/>
        <w:jc w:val="center"/>
        <w:outlineLvl w:val="4"/>
        <w:rPr>
          <w:rFonts w:hint="eastAsia"/>
          <w:color w:val="auto"/>
          <w:szCs w:val="24"/>
          <w:highlight w:val="none"/>
        </w:rPr>
      </w:pPr>
      <w:bookmarkStart w:id="3881" w:name="_Toc16722"/>
      <w:bookmarkStart w:id="3882" w:name="_Toc3305"/>
      <w:r>
        <w:rPr>
          <w:rFonts w:hint="eastAsia"/>
          <w:color w:val="auto"/>
          <w:szCs w:val="24"/>
          <w:highlight w:val="none"/>
        </w:rPr>
        <w:t>4-2 近年完成的类似设计项目情况表</w:t>
      </w:r>
      <w:bookmarkEnd w:id="3881"/>
      <w:bookmarkEnd w:id="3882"/>
    </w:p>
    <w:p w14:paraId="1017566D">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53A7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3E051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1CF3FDF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06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59356C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00BF27A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627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DAC74E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56ED46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F43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9CE3E6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3AFCD32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4C0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1078CF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2912EF7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C9D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F50D28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4E020F3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559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632D09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合同签订时间</w:t>
            </w:r>
          </w:p>
        </w:tc>
        <w:tc>
          <w:tcPr>
            <w:tcW w:w="6094" w:type="dxa"/>
            <w:noWrap w:val="0"/>
            <w:vAlign w:val="center"/>
          </w:tcPr>
          <w:p w14:paraId="0D6C0B7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118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C4EA2C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开始设计时间</w:t>
            </w:r>
          </w:p>
        </w:tc>
        <w:tc>
          <w:tcPr>
            <w:tcW w:w="6094" w:type="dxa"/>
            <w:noWrap w:val="0"/>
            <w:vAlign w:val="center"/>
          </w:tcPr>
          <w:p w14:paraId="66CF5CD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27E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FC5743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完成设计时间</w:t>
            </w:r>
          </w:p>
        </w:tc>
        <w:tc>
          <w:tcPr>
            <w:tcW w:w="6094" w:type="dxa"/>
            <w:noWrap w:val="0"/>
            <w:vAlign w:val="center"/>
          </w:tcPr>
          <w:p w14:paraId="2097731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34B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625AC3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0006043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E54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55251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c>
          <w:tcPr>
            <w:tcW w:w="6094" w:type="dxa"/>
            <w:noWrap w:val="0"/>
            <w:vAlign w:val="center"/>
          </w:tcPr>
          <w:p w14:paraId="616B439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6FB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755E62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获奖情况</w:t>
            </w:r>
          </w:p>
        </w:tc>
        <w:tc>
          <w:tcPr>
            <w:tcW w:w="6094" w:type="dxa"/>
            <w:noWrap w:val="0"/>
            <w:vAlign w:val="center"/>
          </w:tcPr>
          <w:p w14:paraId="3C926E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47C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2411" w:type="dxa"/>
            <w:noWrap w:val="0"/>
            <w:vAlign w:val="center"/>
          </w:tcPr>
          <w:p w14:paraId="1B327D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42CC9A6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3A0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EA1494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30071DC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05DEFB8D">
      <w:pPr>
        <w:spacing w:line="440" w:lineRule="exact"/>
        <w:ind w:left="630" w:hanging="630" w:hangingChars="300"/>
        <w:rPr>
          <w:rFonts w:hint="eastAsia" w:ascii="黑体" w:hAnsi="宋体" w:eastAsia="黑体"/>
          <w:color w:val="auto"/>
          <w:szCs w:val="21"/>
          <w:highlight w:val="none"/>
        </w:rPr>
      </w:pPr>
    </w:p>
    <w:p w14:paraId="6C54845E">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．“类似设计项目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4CAA9ADB">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．本表后附中标通知书（如有）、合同协议书及其他证明材料（如业主证明）、获奖文件（如有）的复印件。其中招标发包的工程应附中标通知书。每张表格只填写一个项目，并标明序号。</w:t>
      </w:r>
    </w:p>
    <w:p w14:paraId="37A99D7A">
      <w:pPr>
        <w:spacing w:line="440" w:lineRule="exact"/>
        <w:ind w:left="945" w:leftChars="350" w:hanging="210" w:hangingChars="100"/>
        <w:rPr>
          <w:rFonts w:hint="eastAsia" w:ascii="宋体" w:hAnsi="宋体"/>
          <w:color w:val="auto"/>
          <w:szCs w:val="21"/>
          <w:highlight w:val="none"/>
        </w:rPr>
      </w:pPr>
    </w:p>
    <w:p w14:paraId="634E8347">
      <w:pPr>
        <w:spacing w:line="440" w:lineRule="exact"/>
        <w:rPr>
          <w:rFonts w:hint="eastAsia"/>
          <w:color w:val="auto"/>
          <w:highlight w:val="none"/>
        </w:rPr>
      </w:pPr>
    </w:p>
    <w:p w14:paraId="1C17FD25">
      <w:pPr>
        <w:pStyle w:val="6"/>
        <w:spacing w:before="159"/>
        <w:jc w:val="center"/>
        <w:rPr>
          <w:color w:val="auto"/>
          <w:highlight w:val="none"/>
        </w:rPr>
      </w:pPr>
      <w:bookmarkStart w:id="3883" w:name="_Toc9326_WPSOffice_Level2"/>
      <w:bookmarkStart w:id="3884" w:name="_Toc519085681"/>
      <w:r>
        <w:rPr>
          <w:color w:val="auto"/>
          <w:highlight w:val="none"/>
        </w:rPr>
        <w:t>（五）近年完成的类似</w:t>
      </w:r>
      <w:r>
        <w:rPr>
          <w:rFonts w:hint="eastAsia"/>
          <w:color w:val="auto"/>
          <w:highlight w:val="none"/>
        </w:rPr>
        <w:t>施工</w:t>
      </w:r>
      <w:r>
        <w:rPr>
          <w:color w:val="auto"/>
          <w:highlight w:val="none"/>
        </w:rPr>
        <w:t>项目情况</w:t>
      </w:r>
      <w:bookmarkEnd w:id="3883"/>
    </w:p>
    <w:p w14:paraId="68CDAE02">
      <w:pPr>
        <w:pStyle w:val="98"/>
        <w:jc w:val="center"/>
        <w:outlineLvl w:val="4"/>
        <w:rPr>
          <w:rFonts w:hint="eastAsia"/>
          <w:color w:val="auto"/>
          <w:szCs w:val="24"/>
          <w:highlight w:val="none"/>
        </w:rPr>
      </w:pPr>
      <w:bookmarkStart w:id="3885" w:name="_Toc22699"/>
      <w:bookmarkStart w:id="3886" w:name="_Toc10132"/>
      <w:r>
        <w:rPr>
          <w:rFonts w:hint="eastAsia"/>
          <w:color w:val="auto"/>
          <w:szCs w:val="24"/>
          <w:highlight w:val="none"/>
        </w:rPr>
        <w:t>5-1 近年完成的类似施工项目汇总表</w:t>
      </w:r>
      <w:bookmarkEnd w:id="3885"/>
      <w:bookmarkEnd w:id="3886"/>
    </w:p>
    <w:p w14:paraId="3C6E0E15">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0575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4EAB83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3BE93FD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6F8C099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30314C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1E000C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5446BE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64700BC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15D0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B3414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357890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8F97F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F0D0E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FED0B4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F08B5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9939B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13C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D50DA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A0486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CE032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38F61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59D5A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A1D97F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0F82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FF1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87FB6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EF9AD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9FDBA7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A5496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2C7173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293FE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4C6F64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D0B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BF0B9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7DBC5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7D2035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4C880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26F6A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789FB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5499C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3AD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6C635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B00B4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8EF25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6A345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12B4B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412AC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E4D7EA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C40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4C641B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C10038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69EF6D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10CC2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399024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BEC66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C0AA09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8E8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1C976A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98082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6B4104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F7CA0E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DC9B0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B944C0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5346D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4BA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80FA5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B852D3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165FC1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C8E394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4606F5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499E1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550B1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25C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18A20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65E06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2F47D0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6F3AC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F69F23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F3A93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DA375C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BD1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7E9A3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542DA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1E941A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663F7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F3754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28BDF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2296A9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32C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6504E9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36BAF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EECEAC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37444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3D51E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D38E12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C083B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6F7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7E22AD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72B52C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86B3D4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8584E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E4C708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24CB65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A7B79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049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11F6D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ACAF6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1D62DE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7EF748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D0B46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7FC10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2D10EB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182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97B27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A4061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B61A3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0A175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A008C7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C77764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4C5CC8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B0B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2292F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4AA24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A1B94A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3DBC12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230BC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F9200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D5336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4B9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BF02FB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BBAFB0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F5A1FC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ED044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A13344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08427E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DCDCA1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2FE2579E">
      <w:pPr>
        <w:spacing w:line="440" w:lineRule="exact"/>
        <w:ind w:left="720" w:hanging="720" w:hangingChars="300"/>
        <w:rPr>
          <w:rFonts w:hint="eastAsia" w:ascii="黑体" w:hAnsi="宋体" w:eastAsia="黑体"/>
          <w:color w:val="auto"/>
          <w:sz w:val="24"/>
          <w:highlight w:val="none"/>
        </w:rPr>
      </w:pPr>
    </w:p>
    <w:p w14:paraId="1C2B4860">
      <w:pPr>
        <w:spacing w:line="440" w:lineRule="exact"/>
        <w:ind w:left="720" w:hanging="720" w:hangingChars="300"/>
        <w:rPr>
          <w:rFonts w:hint="eastAsia" w:ascii="黑体" w:hAnsi="宋体" w:eastAsia="黑体"/>
          <w:color w:val="auto"/>
          <w:sz w:val="24"/>
          <w:highlight w:val="none"/>
        </w:rPr>
      </w:pPr>
    </w:p>
    <w:p w14:paraId="04370524">
      <w:pPr>
        <w:spacing w:line="440" w:lineRule="exact"/>
        <w:ind w:left="720" w:hanging="720" w:hangingChars="300"/>
        <w:rPr>
          <w:rFonts w:hint="eastAsia" w:ascii="黑体" w:hAnsi="宋体" w:eastAsia="黑体"/>
          <w:color w:val="auto"/>
          <w:sz w:val="24"/>
          <w:highlight w:val="none"/>
        </w:rPr>
      </w:pPr>
    </w:p>
    <w:p w14:paraId="683873B8">
      <w:pPr>
        <w:spacing w:line="440" w:lineRule="exact"/>
        <w:ind w:left="720" w:hanging="720" w:hangingChars="300"/>
        <w:rPr>
          <w:rFonts w:hint="eastAsia" w:ascii="黑体" w:hAnsi="宋体" w:eastAsia="黑体"/>
          <w:color w:val="auto"/>
          <w:sz w:val="24"/>
          <w:highlight w:val="none"/>
        </w:rPr>
      </w:pPr>
    </w:p>
    <w:p w14:paraId="5FC5B2A4">
      <w:pPr>
        <w:spacing w:line="440" w:lineRule="exact"/>
        <w:ind w:left="720" w:hanging="720" w:hangingChars="300"/>
        <w:rPr>
          <w:rFonts w:hint="eastAsia" w:ascii="黑体" w:hAnsi="宋体" w:eastAsia="黑体"/>
          <w:color w:val="auto"/>
          <w:sz w:val="24"/>
          <w:highlight w:val="none"/>
        </w:rPr>
      </w:pPr>
    </w:p>
    <w:p w14:paraId="3E873061">
      <w:pPr>
        <w:spacing w:line="440" w:lineRule="exact"/>
        <w:ind w:left="720" w:hanging="720" w:hangingChars="300"/>
        <w:rPr>
          <w:rFonts w:hint="eastAsia" w:ascii="黑体" w:hAnsi="宋体" w:eastAsia="黑体"/>
          <w:color w:val="auto"/>
          <w:sz w:val="24"/>
          <w:highlight w:val="none"/>
        </w:rPr>
      </w:pPr>
    </w:p>
    <w:p w14:paraId="108EC092">
      <w:pPr>
        <w:spacing w:line="440" w:lineRule="exact"/>
        <w:ind w:left="720" w:hanging="720" w:hangingChars="300"/>
        <w:rPr>
          <w:rFonts w:hint="eastAsia" w:ascii="黑体" w:hAnsi="宋体" w:eastAsia="黑体"/>
          <w:color w:val="auto"/>
          <w:sz w:val="24"/>
          <w:highlight w:val="none"/>
        </w:rPr>
      </w:pPr>
    </w:p>
    <w:p w14:paraId="0EA07B57">
      <w:pPr>
        <w:pStyle w:val="98"/>
        <w:jc w:val="center"/>
        <w:outlineLvl w:val="4"/>
        <w:rPr>
          <w:rFonts w:hint="eastAsia"/>
          <w:color w:val="auto"/>
          <w:szCs w:val="24"/>
          <w:highlight w:val="none"/>
        </w:rPr>
      </w:pPr>
      <w:bookmarkStart w:id="3887" w:name="_Toc12603"/>
      <w:bookmarkStart w:id="3888" w:name="_Toc6710"/>
      <w:r>
        <w:rPr>
          <w:rFonts w:hint="eastAsia"/>
          <w:color w:val="auto"/>
          <w:szCs w:val="24"/>
          <w:highlight w:val="none"/>
        </w:rPr>
        <w:t>5-2 近年完成的类似施工项目情况表</w:t>
      </w:r>
      <w:bookmarkEnd w:id="3887"/>
      <w:bookmarkEnd w:id="3888"/>
    </w:p>
    <w:p w14:paraId="27A05507">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13B3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B50132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264521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560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99FBFD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27FF5AA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3F8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354C39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4C659AC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512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118917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41ABACB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F06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BA4F10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41B1FC5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570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DB9B4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15C56BA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027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A3BC66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4" w:type="dxa"/>
            <w:noWrap w:val="0"/>
            <w:vAlign w:val="center"/>
          </w:tcPr>
          <w:p w14:paraId="6BA7978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DB8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5165F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竣工日期</w:t>
            </w:r>
          </w:p>
        </w:tc>
        <w:tc>
          <w:tcPr>
            <w:tcW w:w="6094" w:type="dxa"/>
            <w:noWrap w:val="0"/>
            <w:vAlign w:val="center"/>
          </w:tcPr>
          <w:p w14:paraId="2817D33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3C4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637571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3FC75BA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8C5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EEC4A4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4" w:type="dxa"/>
            <w:noWrap w:val="0"/>
            <w:vAlign w:val="center"/>
          </w:tcPr>
          <w:p w14:paraId="4BEE42A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188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BBE3E1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4" w:type="dxa"/>
            <w:noWrap w:val="0"/>
            <w:vAlign w:val="center"/>
          </w:tcPr>
          <w:p w14:paraId="539A69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3C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4E649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4" w:type="dxa"/>
            <w:noWrap w:val="0"/>
            <w:vAlign w:val="center"/>
          </w:tcPr>
          <w:p w14:paraId="578C322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A30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411" w:type="dxa"/>
            <w:noWrap w:val="0"/>
            <w:vAlign w:val="center"/>
          </w:tcPr>
          <w:p w14:paraId="13A4C61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5DD3D5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E37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1D4670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68D1FEB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5F714282">
      <w:pPr>
        <w:spacing w:line="440" w:lineRule="exact"/>
        <w:ind w:left="630" w:hanging="630" w:hangingChars="300"/>
        <w:rPr>
          <w:rFonts w:hint="eastAsia" w:ascii="黑体" w:hAnsi="宋体" w:eastAsia="黑体"/>
          <w:color w:val="auto"/>
          <w:szCs w:val="21"/>
          <w:highlight w:val="none"/>
        </w:rPr>
      </w:pPr>
    </w:p>
    <w:p w14:paraId="00A16B0C">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．“类似施工项目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1E39FCDA">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工程接收证书或工程竣工验收证书（或工程竣工验收备案证）（如有）及其他证明材料（如需要）的复印件。其中招标发包的工程应附中标通知书。每张表格只填写一个项目，并标明序号。</w:t>
      </w:r>
    </w:p>
    <w:p w14:paraId="08F89EA6">
      <w:pPr>
        <w:rPr>
          <w:rFonts w:hint="eastAsia"/>
          <w:color w:val="auto"/>
          <w:highlight w:val="none"/>
        </w:rPr>
      </w:pPr>
    </w:p>
    <w:p w14:paraId="7B567BE3">
      <w:pPr>
        <w:rPr>
          <w:rFonts w:hint="eastAsia"/>
          <w:color w:val="auto"/>
          <w:highlight w:val="none"/>
        </w:rPr>
      </w:pPr>
    </w:p>
    <w:p w14:paraId="194AD927">
      <w:pPr>
        <w:rPr>
          <w:rFonts w:hint="eastAsia"/>
          <w:color w:val="auto"/>
          <w:highlight w:val="none"/>
        </w:rPr>
      </w:pPr>
    </w:p>
    <w:p w14:paraId="71478C98">
      <w:pPr>
        <w:pStyle w:val="6"/>
        <w:spacing w:before="159"/>
        <w:jc w:val="center"/>
        <w:rPr>
          <w:color w:val="auto"/>
          <w:highlight w:val="none"/>
        </w:rPr>
      </w:pPr>
      <w:bookmarkStart w:id="3889" w:name="_Toc4692_WPSOffice_Level2"/>
      <w:bookmarkStart w:id="3890" w:name="_Toc8778"/>
      <w:r>
        <w:rPr>
          <w:color w:val="auto"/>
          <w:highlight w:val="none"/>
        </w:rPr>
        <w:t>（六）正在</w:t>
      </w:r>
      <w:r>
        <w:rPr>
          <w:rFonts w:hint="eastAsia"/>
          <w:color w:val="auto"/>
          <w:highlight w:val="none"/>
        </w:rPr>
        <w:t>实施</w:t>
      </w:r>
      <w:r>
        <w:rPr>
          <w:color w:val="auto"/>
          <w:highlight w:val="none"/>
        </w:rPr>
        <w:t>的和新承接的项目情况</w:t>
      </w:r>
      <w:bookmarkEnd w:id="3869"/>
      <w:bookmarkEnd w:id="3870"/>
      <w:bookmarkEnd w:id="3871"/>
      <w:bookmarkEnd w:id="3872"/>
      <w:bookmarkEnd w:id="3873"/>
      <w:bookmarkEnd w:id="3884"/>
      <w:bookmarkEnd w:id="3889"/>
      <w:bookmarkEnd w:id="3890"/>
    </w:p>
    <w:p w14:paraId="062FE5B4">
      <w:pPr>
        <w:jc w:val="center"/>
        <w:rPr>
          <w:rFonts w:hint="eastAsia" w:ascii="黑体" w:hAnsi="黑体" w:eastAsia="黑体"/>
          <w:color w:val="auto"/>
          <w:sz w:val="24"/>
          <w:highlight w:val="none"/>
        </w:rPr>
      </w:pPr>
      <w:bookmarkStart w:id="3891" w:name="_Toc519085682"/>
      <w:bookmarkStart w:id="3892" w:name="_Toc456555785"/>
    </w:p>
    <w:p w14:paraId="759EC2E8">
      <w:pPr>
        <w:pStyle w:val="98"/>
        <w:jc w:val="center"/>
        <w:outlineLvl w:val="4"/>
        <w:rPr>
          <w:rFonts w:hint="eastAsia"/>
          <w:color w:val="auto"/>
          <w:szCs w:val="24"/>
          <w:highlight w:val="none"/>
        </w:rPr>
      </w:pPr>
      <w:bookmarkStart w:id="3893" w:name="_Toc31936"/>
      <w:bookmarkStart w:id="3894" w:name="_Toc8704"/>
      <w:r>
        <w:rPr>
          <w:rFonts w:hint="eastAsia"/>
          <w:color w:val="auto"/>
          <w:szCs w:val="24"/>
          <w:highlight w:val="none"/>
        </w:rPr>
        <w:t>6-1正在实施的和新承接的项目汇总表</w:t>
      </w:r>
      <w:bookmarkEnd w:id="3891"/>
      <w:bookmarkEnd w:id="3892"/>
      <w:bookmarkEnd w:id="3893"/>
      <w:bookmarkEnd w:id="3894"/>
    </w:p>
    <w:p w14:paraId="7B8F4237">
      <w:pPr>
        <w:jc w:val="center"/>
        <w:rPr>
          <w:rFonts w:hint="eastAsia" w:ascii="黑体" w:hAnsi="宋体" w:eastAsia="黑体"/>
          <w:b/>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5D68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0" w:type="dxa"/>
            <w:noWrap w:val="0"/>
            <w:vAlign w:val="top"/>
          </w:tcPr>
          <w:p w14:paraId="26CCF8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08B5055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3C3F03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6017DB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423B8A1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428F4FC4">
            <w:pPr>
              <w:keepNext w:val="0"/>
              <w:keepLines w:val="0"/>
              <w:suppressLineNumbers w:val="0"/>
              <w:topLinePunct/>
              <w:spacing w:before="0" w:beforeAutospacing="0" w:after="0" w:afterAutospacing="0" w:line="400" w:lineRule="atLeas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计划开、竣</w:t>
            </w:r>
          </w:p>
          <w:p w14:paraId="59B23D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工日期</w:t>
            </w:r>
          </w:p>
        </w:tc>
        <w:tc>
          <w:tcPr>
            <w:tcW w:w="1080" w:type="dxa"/>
            <w:noWrap w:val="0"/>
            <w:vAlign w:val="top"/>
          </w:tcPr>
          <w:p w14:paraId="7859AA1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5083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3190D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4A1D6E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A966A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037DD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57D0C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F207D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8C14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688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5DC99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C69FE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365E94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574E8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9DC3B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87EFD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CD801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412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90C555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414C80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9BD4B9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9A4673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16B0F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B176DF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40991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C79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33F072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F7BA3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BC1D1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250D7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47EA84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1E24E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E4C8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6FD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CF24D7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E5927A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34F674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F78394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6C9F8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B50E58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8DF692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D95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5FE041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06E4D1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7309C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670CE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E3CFC7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4A867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2B7C4D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89F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6F10E31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493E70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D10634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76BF5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D2286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44882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97C3D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0A7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3FA2D01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CEDEF9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CE6066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0290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3016F5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6B6BF8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767493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5BB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4A6C11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1D83D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8EED56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D62D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29B421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C1DE64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AEA8D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0E1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5C623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C66C6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469F6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ED2B54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499EA4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717901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535A16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AC8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6A2339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78EB7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0D0E3B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198BF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62A117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B4141F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CA564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751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49DD47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470CD0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E40688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CAB2F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6C873B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FDE368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5DF40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85A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EBA71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5547F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DC5432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6F4E8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82664A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BE9500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9A770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A89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1041AF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3BB774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7442E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8F0E4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E9489C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42C5A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B9D5B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82F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DA6DD9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4E502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4ED46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B4DC1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8665D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5A2EE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EA6113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E17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E07B6D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FB0B5E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CB8FE9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D669E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BFF329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B41604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07DE27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5419A519">
      <w:pPr>
        <w:spacing w:before="159" w:beforeLines="50" w:after="159" w:afterLines="50" w:line="440" w:lineRule="exact"/>
        <w:rPr>
          <w:rFonts w:hint="eastAsia" w:ascii="黑体" w:hAnsi="宋体" w:eastAsia="黑体"/>
          <w:color w:val="auto"/>
          <w:sz w:val="24"/>
          <w:highlight w:val="none"/>
        </w:rPr>
      </w:pPr>
    </w:p>
    <w:p w14:paraId="09E66628">
      <w:pPr>
        <w:spacing w:before="159" w:beforeLines="50" w:after="159" w:afterLines="50" w:line="440" w:lineRule="exact"/>
        <w:rPr>
          <w:rFonts w:hint="eastAsia" w:ascii="黑体" w:hAnsi="宋体" w:eastAsia="黑体"/>
          <w:color w:val="auto"/>
          <w:sz w:val="24"/>
          <w:highlight w:val="none"/>
        </w:rPr>
      </w:pPr>
    </w:p>
    <w:p w14:paraId="55C88A25">
      <w:pPr>
        <w:spacing w:before="159" w:beforeLines="50" w:after="159" w:afterLines="50" w:line="440" w:lineRule="exact"/>
        <w:rPr>
          <w:rFonts w:hint="eastAsia" w:ascii="黑体" w:hAnsi="宋体" w:eastAsia="黑体"/>
          <w:color w:val="auto"/>
          <w:sz w:val="24"/>
          <w:highlight w:val="none"/>
        </w:rPr>
      </w:pPr>
    </w:p>
    <w:p w14:paraId="70C948F6">
      <w:pPr>
        <w:spacing w:before="159" w:beforeLines="50" w:after="159" w:afterLines="50" w:line="440" w:lineRule="exact"/>
        <w:rPr>
          <w:rFonts w:hint="eastAsia" w:ascii="黑体" w:hAnsi="宋体" w:eastAsia="黑体"/>
          <w:color w:val="auto"/>
          <w:sz w:val="24"/>
          <w:highlight w:val="none"/>
        </w:rPr>
      </w:pPr>
    </w:p>
    <w:p w14:paraId="28B9C571">
      <w:pPr>
        <w:spacing w:before="159" w:beforeLines="50" w:after="159" w:afterLines="50" w:line="440" w:lineRule="exact"/>
        <w:jc w:val="center"/>
        <w:rPr>
          <w:rFonts w:hint="eastAsia" w:ascii="黑体" w:hAnsi="宋体" w:eastAsia="黑体"/>
          <w:color w:val="auto"/>
          <w:sz w:val="24"/>
          <w:highlight w:val="none"/>
        </w:rPr>
      </w:pPr>
    </w:p>
    <w:p w14:paraId="6EA5EAD8">
      <w:pPr>
        <w:pStyle w:val="98"/>
        <w:jc w:val="center"/>
        <w:outlineLvl w:val="4"/>
        <w:rPr>
          <w:rFonts w:hint="eastAsia"/>
          <w:color w:val="auto"/>
          <w:szCs w:val="24"/>
          <w:highlight w:val="none"/>
        </w:rPr>
      </w:pPr>
      <w:bookmarkStart w:id="3895" w:name="_Toc519085683"/>
      <w:bookmarkStart w:id="3896" w:name="_Toc26064"/>
      <w:bookmarkStart w:id="3897" w:name="_Toc456555786"/>
      <w:bookmarkStart w:id="3898" w:name="_Toc5743"/>
      <w:r>
        <w:rPr>
          <w:rFonts w:hint="eastAsia"/>
          <w:color w:val="auto"/>
          <w:szCs w:val="24"/>
          <w:highlight w:val="none"/>
        </w:rPr>
        <w:t>6-2 正在实施的和新承接的项目情况表</w:t>
      </w:r>
      <w:bookmarkEnd w:id="3895"/>
      <w:bookmarkEnd w:id="3896"/>
      <w:bookmarkEnd w:id="3897"/>
      <w:bookmarkEnd w:id="3898"/>
    </w:p>
    <w:p w14:paraId="51893D15">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EBE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41CB4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5" w:type="dxa"/>
            <w:noWrap w:val="0"/>
            <w:vAlign w:val="center"/>
          </w:tcPr>
          <w:p w14:paraId="6AD06DF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A72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E0450B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5" w:type="dxa"/>
            <w:noWrap w:val="0"/>
            <w:vAlign w:val="center"/>
          </w:tcPr>
          <w:p w14:paraId="585360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D71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3F0D8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5" w:type="dxa"/>
            <w:noWrap w:val="0"/>
            <w:vAlign w:val="center"/>
          </w:tcPr>
          <w:p w14:paraId="0E3B15B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8FD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45E50D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5" w:type="dxa"/>
            <w:noWrap w:val="0"/>
            <w:vAlign w:val="center"/>
          </w:tcPr>
          <w:p w14:paraId="39B3FED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44E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7FAA4A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发包人电话</w:t>
            </w:r>
          </w:p>
        </w:tc>
        <w:tc>
          <w:tcPr>
            <w:tcW w:w="6095" w:type="dxa"/>
            <w:noWrap w:val="0"/>
            <w:vAlign w:val="center"/>
          </w:tcPr>
          <w:p w14:paraId="76F493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E7B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EF93A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w:t>
            </w:r>
          </w:p>
        </w:tc>
        <w:tc>
          <w:tcPr>
            <w:tcW w:w="6095" w:type="dxa"/>
            <w:noWrap w:val="0"/>
            <w:vAlign w:val="center"/>
          </w:tcPr>
          <w:p w14:paraId="75884E1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9F4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A982E8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5" w:type="dxa"/>
            <w:noWrap w:val="0"/>
            <w:vAlign w:val="center"/>
          </w:tcPr>
          <w:p w14:paraId="60D026A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1F1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A13F21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计划竣工日期</w:t>
            </w:r>
          </w:p>
        </w:tc>
        <w:tc>
          <w:tcPr>
            <w:tcW w:w="6095" w:type="dxa"/>
            <w:noWrap w:val="0"/>
            <w:vAlign w:val="center"/>
          </w:tcPr>
          <w:p w14:paraId="50042DA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541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9BABA1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5" w:type="dxa"/>
            <w:noWrap w:val="0"/>
            <w:vAlign w:val="center"/>
          </w:tcPr>
          <w:p w14:paraId="68D1E36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94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A6AAC2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5" w:type="dxa"/>
            <w:noWrap w:val="0"/>
            <w:vAlign w:val="center"/>
          </w:tcPr>
          <w:p w14:paraId="2A238F7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553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E692DB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5" w:type="dxa"/>
            <w:noWrap w:val="0"/>
            <w:vAlign w:val="center"/>
          </w:tcPr>
          <w:p w14:paraId="686EE8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CF4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003B7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5" w:type="dxa"/>
            <w:noWrap w:val="0"/>
            <w:vAlign w:val="center"/>
          </w:tcPr>
          <w:p w14:paraId="0CE8EB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0F6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29D36E1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5" w:type="dxa"/>
            <w:noWrap w:val="0"/>
            <w:vAlign w:val="center"/>
          </w:tcPr>
          <w:p w14:paraId="683BBA3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788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C9544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5" w:type="dxa"/>
            <w:noWrap w:val="0"/>
            <w:vAlign w:val="center"/>
          </w:tcPr>
          <w:p w14:paraId="2D9001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273B79C">
      <w:pPr>
        <w:spacing w:line="440" w:lineRule="exact"/>
        <w:ind w:left="630" w:hanging="630" w:hangingChars="300"/>
        <w:rPr>
          <w:rFonts w:hint="eastAsia" w:ascii="宋体" w:hAnsi="宋体"/>
          <w:color w:val="auto"/>
          <w:szCs w:val="21"/>
          <w:highlight w:val="none"/>
        </w:rPr>
      </w:pPr>
    </w:p>
    <w:p w14:paraId="26D0BF21">
      <w:pPr>
        <w:spacing w:line="440" w:lineRule="exact"/>
        <w:ind w:left="630" w:hanging="630" w:hangingChars="300"/>
        <w:rPr>
          <w:rFonts w:ascii="宋体" w:hAnsi="宋体"/>
          <w:color w:val="auto"/>
          <w:szCs w:val="21"/>
          <w:highlight w:val="none"/>
        </w:rPr>
      </w:pPr>
      <w:bookmarkStart w:id="3899" w:name="_Toc519085684"/>
      <w:bookmarkStart w:id="3900" w:name="_Toc456555787"/>
      <w:r>
        <w:rPr>
          <w:rFonts w:hint="eastAsia" w:ascii="宋体" w:hAnsi="宋体"/>
          <w:color w:val="auto"/>
          <w:szCs w:val="21"/>
          <w:highlight w:val="none"/>
        </w:rPr>
        <w:t>备注：本表后</w:t>
      </w:r>
      <w:r>
        <w:rPr>
          <w:rFonts w:hint="eastAsia"/>
          <w:color w:val="auto"/>
          <w:highlight w:val="none"/>
        </w:rPr>
        <w:t>应附中标通知书和（或）合同协议书复印件。每张表格只填写一个项目，并标明序号。</w:t>
      </w:r>
    </w:p>
    <w:p w14:paraId="3B03B2C4">
      <w:pPr>
        <w:pStyle w:val="6"/>
        <w:spacing w:before="159"/>
        <w:jc w:val="center"/>
        <w:rPr>
          <w:rFonts w:hint="eastAsia"/>
          <w:color w:val="auto"/>
          <w:highlight w:val="none"/>
        </w:rPr>
      </w:pPr>
      <w:bookmarkStart w:id="3901" w:name="_Toc10046"/>
      <w:bookmarkStart w:id="3902" w:name="_Toc19441_WPSOffice_Level2"/>
      <w:r>
        <w:rPr>
          <w:rFonts w:hint="eastAsia"/>
          <w:color w:val="auto"/>
          <w:highlight w:val="none"/>
        </w:rPr>
        <w:t>（七）企业信誉情况</w:t>
      </w:r>
      <w:bookmarkEnd w:id="3899"/>
      <w:bookmarkEnd w:id="3900"/>
      <w:bookmarkEnd w:id="3901"/>
      <w:bookmarkEnd w:id="3902"/>
    </w:p>
    <w:p w14:paraId="0C6EB380">
      <w:pPr>
        <w:jc w:val="center"/>
        <w:rPr>
          <w:rFonts w:hint="eastAsia" w:ascii="黑体" w:hAnsi="宋体" w:eastAsia="黑体"/>
          <w:b/>
          <w:color w:val="auto"/>
          <w:sz w:val="24"/>
          <w:highlight w:val="none"/>
        </w:rPr>
      </w:pPr>
    </w:p>
    <w:p w14:paraId="61CE8F78">
      <w:pPr>
        <w:jc w:val="center"/>
        <w:rPr>
          <w:rFonts w:hint="eastAsia" w:ascii="黑体" w:hAnsi="宋体" w:eastAsia="黑体"/>
          <w:b/>
          <w:color w:val="auto"/>
          <w:sz w:val="24"/>
          <w:highlight w:val="none"/>
        </w:rPr>
      </w:pPr>
    </w:p>
    <w:p w14:paraId="71C6BE56">
      <w:pPr>
        <w:pStyle w:val="98"/>
        <w:jc w:val="center"/>
        <w:outlineLvl w:val="4"/>
        <w:rPr>
          <w:rFonts w:hint="eastAsia"/>
          <w:color w:val="auto"/>
          <w:szCs w:val="24"/>
          <w:highlight w:val="none"/>
        </w:rPr>
      </w:pPr>
      <w:bookmarkStart w:id="3903" w:name="_Toc519085685"/>
      <w:bookmarkStart w:id="3904" w:name="_Toc456555788"/>
      <w:bookmarkStart w:id="3905" w:name="_Toc9739"/>
      <w:bookmarkStart w:id="3906" w:name="_Toc13487"/>
      <w:r>
        <w:rPr>
          <w:rFonts w:hint="eastAsia"/>
          <w:color w:val="auto"/>
          <w:szCs w:val="24"/>
          <w:highlight w:val="none"/>
        </w:rPr>
        <w:t>7-1 企业信誉声明</w:t>
      </w:r>
      <w:bookmarkEnd w:id="3903"/>
      <w:bookmarkEnd w:id="3904"/>
      <w:bookmarkEnd w:id="3905"/>
      <w:bookmarkEnd w:id="3906"/>
    </w:p>
    <w:p w14:paraId="64B1019C">
      <w:pPr>
        <w:rPr>
          <w:rFonts w:hint="eastAsia" w:ascii="宋体" w:hAnsi="宋体"/>
          <w:color w:val="auto"/>
          <w:highlight w:val="none"/>
          <w:u w:val="single"/>
        </w:rPr>
      </w:pPr>
    </w:p>
    <w:p w14:paraId="0FA3962D">
      <w:pPr>
        <w:rPr>
          <w:rFonts w:hint="eastAsia" w:ascii="宋体" w:hAnsi="宋体"/>
          <w:color w:val="auto"/>
          <w:highlight w:val="none"/>
          <w:u w:val="single"/>
        </w:rPr>
      </w:pPr>
    </w:p>
    <w:p w14:paraId="080EF652">
      <w:pPr>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6AA71307">
      <w:pPr>
        <w:rPr>
          <w:rFonts w:hint="eastAsia" w:ascii="宋体" w:hAnsi="宋体"/>
          <w:color w:val="auto"/>
          <w:highlight w:val="none"/>
        </w:rPr>
      </w:pPr>
    </w:p>
    <w:p w14:paraId="0D43DFBC">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我方在此声明，</w:t>
      </w:r>
      <w:r>
        <w:rPr>
          <w:rFonts w:hint="eastAsia" w:ascii="宋体" w:hAnsi="宋体"/>
          <w:color w:val="auto"/>
          <w:highlight w:val="none"/>
        </w:rPr>
        <w:t>截止本招标项目投标截止时间，我方处于</w:t>
      </w:r>
      <w:r>
        <w:rPr>
          <w:rFonts w:hint="eastAsia" w:ascii="宋体" w:hAnsi="宋体"/>
          <w:color w:val="auto"/>
          <w:szCs w:val="21"/>
          <w:highlight w:val="none"/>
        </w:rPr>
        <w:t>正常的经营状态，不存在下列任何一种情形。</w:t>
      </w:r>
    </w:p>
    <w:p w14:paraId="1B9C9E75">
      <w:pPr>
        <w:spacing w:line="400" w:lineRule="exact"/>
        <w:ind w:firstLine="420" w:firstLineChars="200"/>
        <w:rPr>
          <w:color w:val="auto"/>
          <w:highlight w:val="none"/>
        </w:rPr>
      </w:pPr>
      <w:r>
        <w:rPr>
          <w:color w:val="auto"/>
          <w:highlight w:val="none"/>
        </w:rPr>
        <w:t>1.</w:t>
      </w:r>
      <w:r>
        <w:rPr>
          <w:rFonts w:hint="eastAsia"/>
          <w:color w:val="auto"/>
          <w:highlight w:val="none"/>
        </w:rPr>
        <w:t>被依法暂停或取消投标资格；</w:t>
      </w:r>
    </w:p>
    <w:p w14:paraId="297DA93D">
      <w:pPr>
        <w:spacing w:line="400" w:lineRule="exact"/>
        <w:ind w:firstLine="420" w:firstLineChars="200"/>
        <w:rPr>
          <w:color w:val="auto"/>
          <w:highlight w:val="none"/>
        </w:rPr>
      </w:pPr>
      <w:r>
        <w:rPr>
          <w:color w:val="auto"/>
          <w:highlight w:val="none"/>
        </w:rPr>
        <w:t>2.</w:t>
      </w:r>
      <w:r>
        <w:rPr>
          <w:rFonts w:hint="eastAsia"/>
          <w:color w:val="auto"/>
          <w:highlight w:val="none"/>
        </w:rPr>
        <w:t>被责令停产停业、暂扣或者吊销许可证、暂扣或者吊销执照；</w:t>
      </w:r>
      <w:r>
        <w:rPr>
          <w:color w:val="auto"/>
          <w:highlight w:val="none"/>
        </w:rPr>
        <w:t xml:space="preserve"> </w:t>
      </w:r>
    </w:p>
    <w:p w14:paraId="6A13BD9E">
      <w:pPr>
        <w:spacing w:line="400" w:lineRule="exact"/>
        <w:ind w:firstLine="420" w:firstLineChars="200"/>
        <w:rPr>
          <w:color w:val="auto"/>
          <w:highlight w:val="none"/>
        </w:rPr>
      </w:pPr>
      <w:r>
        <w:rPr>
          <w:color w:val="auto"/>
          <w:highlight w:val="none"/>
        </w:rPr>
        <w:t>3.</w:t>
      </w:r>
      <w:r>
        <w:rPr>
          <w:rFonts w:hint="eastAsia"/>
          <w:color w:val="auto"/>
          <w:highlight w:val="none"/>
        </w:rPr>
        <w:t>进入清算程序，或被宣告破产，或其他丧失履约能力的情形；</w:t>
      </w:r>
    </w:p>
    <w:p w14:paraId="511E4A2D">
      <w:pPr>
        <w:spacing w:line="400" w:lineRule="exact"/>
        <w:ind w:firstLine="420" w:firstLineChars="200"/>
        <w:rPr>
          <w:color w:val="auto"/>
          <w:highlight w:val="none"/>
        </w:rPr>
      </w:pPr>
      <w:r>
        <w:rPr>
          <w:color w:val="auto"/>
          <w:highlight w:val="none"/>
        </w:rPr>
        <w:t>4.</w:t>
      </w:r>
      <w:r>
        <w:rPr>
          <w:rFonts w:hint="eastAsia"/>
          <w:color w:val="auto"/>
          <w:highlight w:val="none"/>
        </w:rPr>
        <w:t>在最近三年内发生重大工程质量问题；</w:t>
      </w:r>
    </w:p>
    <w:p w14:paraId="14BA19C5">
      <w:pPr>
        <w:spacing w:line="400" w:lineRule="exact"/>
        <w:ind w:firstLine="420" w:firstLineChars="200"/>
        <w:rPr>
          <w:color w:val="auto"/>
          <w:highlight w:val="none"/>
        </w:rPr>
      </w:pPr>
      <w:r>
        <w:rPr>
          <w:color w:val="auto"/>
          <w:highlight w:val="none"/>
        </w:rPr>
        <w:t>5.</w:t>
      </w:r>
      <w:r>
        <w:rPr>
          <w:rFonts w:hint="eastAsia"/>
          <w:color w:val="auto"/>
          <w:highlight w:val="none"/>
        </w:rPr>
        <w:t>被工商行政管理部门在“国家企业信用信息公示系统”（</w:t>
      </w:r>
      <w:r>
        <w:rPr>
          <w:color w:val="auto"/>
          <w:highlight w:val="none"/>
        </w:rPr>
        <w:t xml:space="preserve"> www.gsxt.gov.cn</w:t>
      </w:r>
      <w:r>
        <w:rPr>
          <w:rFonts w:hint="eastAsia"/>
          <w:color w:val="auto"/>
          <w:highlight w:val="none"/>
        </w:rPr>
        <w:t>）中列入严重违法失信企业名单；</w:t>
      </w:r>
    </w:p>
    <w:p w14:paraId="188C3389">
      <w:pPr>
        <w:spacing w:line="400" w:lineRule="exact"/>
        <w:ind w:firstLine="420" w:firstLineChars="200"/>
        <w:rPr>
          <w:color w:val="auto"/>
          <w:highlight w:val="none"/>
        </w:rPr>
      </w:pPr>
      <w:r>
        <w:rPr>
          <w:color w:val="auto"/>
          <w:highlight w:val="none"/>
        </w:rPr>
        <w:t>6.</w:t>
      </w:r>
      <w:r>
        <w:rPr>
          <w:rFonts w:hint="eastAsia"/>
          <w:color w:val="auto"/>
          <w:highlight w:val="none"/>
        </w:rPr>
        <w:t>被最高人民法院在</w:t>
      </w:r>
      <w:r>
        <w:rPr>
          <w:color w:val="auto"/>
          <w:highlight w:val="none"/>
        </w:rPr>
        <w:t>“</w:t>
      </w:r>
      <w:r>
        <w:rPr>
          <w:rFonts w:hint="eastAsia"/>
          <w:color w:val="auto"/>
          <w:highlight w:val="none"/>
        </w:rPr>
        <w:t>信用中国</w:t>
      </w:r>
      <w:r>
        <w:rPr>
          <w:color w:val="auto"/>
          <w:highlight w:val="none"/>
        </w:rPr>
        <w:t>”</w:t>
      </w:r>
      <w:r>
        <w:rPr>
          <w:rFonts w:hint="eastAsia"/>
          <w:color w:val="auto"/>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43"/>
          <w:color w:val="auto"/>
          <w:highlight w:val="none"/>
        </w:rPr>
        <w:t>www.creditchina.gov.cn</w:t>
      </w:r>
      <w:r>
        <w:rPr>
          <w:color w:val="auto"/>
          <w:highlight w:val="none"/>
        </w:rPr>
        <w:fldChar w:fldCharType="end"/>
      </w:r>
      <w:r>
        <w:rPr>
          <w:rFonts w:hint="eastAsia"/>
          <w:color w:val="auto"/>
          <w:highlight w:val="none"/>
        </w:rPr>
        <w:t>）列入失信被执行人名单；</w:t>
      </w:r>
    </w:p>
    <w:p w14:paraId="5D64A011">
      <w:pPr>
        <w:spacing w:line="400" w:lineRule="exact"/>
        <w:ind w:firstLine="420" w:firstLineChars="200"/>
        <w:rPr>
          <w:color w:val="auto"/>
          <w:highlight w:val="none"/>
        </w:rPr>
      </w:pPr>
      <w:r>
        <w:rPr>
          <w:color w:val="auto"/>
          <w:highlight w:val="none"/>
        </w:rPr>
        <w:t>7.</w:t>
      </w:r>
      <w:r>
        <w:rPr>
          <w:rFonts w:hint="eastAsia"/>
          <w:color w:val="auto"/>
          <w:highlight w:val="none"/>
        </w:rPr>
        <w:t>在近三年内投标人或其法定代表人、拟委任的项目负责人有行贿犯罪行为；</w:t>
      </w:r>
    </w:p>
    <w:p w14:paraId="67BCAEFF">
      <w:pPr>
        <w:spacing w:line="440" w:lineRule="exact"/>
        <w:ind w:firstLine="420" w:firstLineChars="200"/>
        <w:rPr>
          <w:rFonts w:hint="eastAsia" w:ascii="宋体" w:hAnsi="宋体"/>
          <w:color w:val="auto"/>
          <w:szCs w:val="21"/>
          <w:highlight w:val="none"/>
        </w:rPr>
      </w:pPr>
      <w:r>
        <w:rPr>
          <w:color w:val="auto"/>
          <w:highlight w:val="none"/>
        </w:rPr>
        <w:t>8.</w:t>
      </w:r>
      <w:r>
        <w:rPr>
          <w:rFonts w:hint="eastAsia"/>
          <w:color w:val="auto"/>
          <w:highlight w:val="none"/>
        </w:rPr>
        <w:t>法律法规或投标（申请）人须知前附表第</w:t>
      </w:r>
      <w:r>
        <w:rPr>
          <w:color w:val="auto"/>
          <w:highlight w:val="none"/>
        </w:rPr>
        <w:t>1.4.3</w:t>
      </w:r>
      <w:r>
        <w:rPr>
          <w:rFonts w:hint="eastAsia"/>
          <w:color w:val="auto"/>
          <w:highlight w:val="none"/>
        </w:rPr>
        <w:t>（</w:t>
      </w:r>
      <w:r>
        <w:rPr>
          <w:color w:val="auto"/>
          <w:highlight w:val="none"/>
        </w:rPr>
        <w:t>19</w:t>
      </w:r>
      <w:r>
        <w:rPr>
          <w:rFonts w:hint="eastAsia"/>
          <w:color w:val="auto"/>
          <w:highlight w:val="none"/>
        </w:rPr>
        <w:t>）目规定的其他情形。</w:t>
      </w:r>
    </w:p>
    <w:p w14:paraId="707A9A03">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我方保证上述信息的真实和准确，并愿意承担因我方就此弄虚作假所引起的一切法律后果。</w:t>
      </w:r>
    </w:p>
    <w:p w14:paraId="3E2EF0B8">
      <w:pPr>
        <w:spacing w:line="440" w:lineRule="exact"/>
        <w:ind w:firstLine="420" w:firstLineChars="200"/>
        <w:rPr>
          <w:rFonts w:hint="eastAsia" w:ascii="宋体" w:hAnsi="宋体"/>
          <w:color w:val="auto"/>
          <w:szCs w:val="21"/>
          <w:highlight w:val="none"/>
        </w:rPr>
      </w:pPr>
    </w:p>
    <w:p w14:paraId="27F5B8CA">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724F90CF">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504B03B0">
      <w:pPr>
        <w:spacing w:line="440" w:lineRule="exact"/>
        <w:ind w:firstLine="420" w:firstLineChars="200"/>
        <w:rPr>
          <w:rFonts w:hint="eastAsia" w:ascii="宋体" w:hAnsi="宋体"/>
          <w:color w:val="auto"/>
          <w:szCs w:val="21"/>
          <w:highlight w:val="none"/>
        </w:rPr>
      </w:pPr>
    </w:p>
    <w:p w14:paraId="38A8A2D0">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678BED3E">
      <w:pPr>
        <w:spacing w:line="440" w:lineRule="exact"/>
        <w:rPr>
          <w:rFonts w:hint="eastAsia" w:ascii="宋体" w:hAnsi="宋体"/>
          <w:color w:val="auto"/>
          <w:szCs w:val="21"/>
          <w:highlight w:val="none"/>
        </w:rPr>
      </w:pPr>
    </w:p>
    <w:p w14:paraId="069BA8B2">
      <w:pPr>
        <w:spacing w:line="440" w:lineRule="exact"/>
        <w:rPr>
          <w:rFonts w:hint="eastAsia" w:ascii="宋体" w:hAnsi="宋体"/>
          <w:color w:val="auto"/>
          <w:szCs w:val="21"/>
          <w:highlight w:val="none"/>
        </w:rPr>
      </w:pPr>
    </w:p>
    <w:p w14:paraId="5D85E0EB">
      <w:pPr>
        <w:pStyle w:val="17"/>
        <w:widowControl/>
        <w:autoSpaceDE w:val="0"/>
        <w:autoSpaceDN w:val="0"/>
        <w:snapToGrid w:val="0"/>
        <w:spacing w:before="120" w:after="0" w:line="360" w:lineRule="atLeast"/>
        <w:ind w:left="630" w:leftChars="0" w:hanging="630" w:hangingChars="300"/>
        <w:textAlignment w:val="bottom"/>
        <w:rPr>
          <w:rFonts w:hint="eastAsia" w:ascii="宋体" w:hAnsi="宋体"/>
          <w:color w:val="auto"/>
          <w:highlight w:val="none"/>
        </w:rPr>
      </w:pPr>
      <w:r>
        <w:rPr>
          <w:rFonts w:hint="eastAsia"/>
          <w:color w:val="auto"/>
          <w:highlight w:val="none"/>
        </w:rPr>
        <w:t>备注：投标人应针对第二章“投标（申请）人须知”第1.4.1项的要求，在此对其信誉情况做出说明。</w:t>
      </w:r>
      <w:r>
        <w:rPr>
          <w:rFonts w:hint="eastAsia" w:ascii="宋体" w:hAnsi="宋体"/>
          <w:color w:val="auto"/>
          <w:highlight w:val="none"/>
        </w:rPr>
        <w:t>如上格式文件所示。</w:t>
      </w:r>
      <w:r>
        <w:rPr>
          <w:rFonts w:hint="eastAsia" w:ascii="宋体" w:hAnsi="宋体"/>
          <w:color w:val="auto"/>
          <w:szCs w:val="21"/>
          <w:highlight w:val="none"/>
        </w:rPr>
        <w:t>联合体投标的，联合体各成员单位均应按要求</w:t>
      </w:r>
      <w:r>
        <w:rPr>
          <w:rFonts w:hint="eastAsia"/>
          <w:color w:val="auto"/>
          <w:highlight w:val="none"/>
        </w:rPr>
        <w:t>做出说明</w:t>
      </w:r>
      <w:r>
        <w:rPr>
          <w:rFonts w:hint="eastAsia" w:ascii="宋体" w:hAnsi="宋体"/>
          <w:color w:val="auto"/>
          <w:szCs w:val="21"/>
          <w:highlight w:val="none"/>
        </w:rPr>
        <w:t>。</w:t>
      </w:r>
    </w:p>
    <w:p w14:paraId="6BDE4DF9">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54FD90D8">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57A49482">
      <w:pPr>
        <w:pStyle w:val="98"/>
        <w:jc w:val="center"/>
        <w:outlineLvl w:val="4"/>
        <w:rPr>
          <w:color w:val="auto"/>
          <w:highlight w:val="none"/>
        </w:rPr>
      </w:pPr>
      <w:bookmarkStart w:id="3907" w:name="_Toc519484337"/>
      <w:bookmarkStart w:id="3908" w:name="_Toc13543"/>
      <w:bookmarkStart w:id="3909" w:name="_Toc519264330"/>
      <w:bookmarkStart w:id="3910" w:name="_Toc10954"/>
      <w:r>
        <w:rPr>
          <w:rFonts w:hint="eastAsia"/>
          <w:color w:val="auto"/>
          <w:szCs w:val="24"/>
          <w:highlight w:val="none"/>
        </w:rPr>
        <w:t>7</w:t>
      </w:r>
      <w:r>
        <w:rPr>
          <w:color w:val="auto"/>
          <w:szCs w:val="24"/>
          <w:highlight w:val="none"/>
        </w:rPr>
        <w:t xml:space="preserve">-2 </w:t>
      </w:r>
      <w:r>
        <w:rPr>
          <w:rFonts w:hint="eastAsia"/>
          <w:color w:val="auto"/>
          <w:szCs w:val="21"/>
          <w:highlight w:val="none"/>
        </w:rPr>
        <w:t>严重违法失信企业</w:t>
      </w:r>
      <w:r>
        <w:rPr>
          <w:rFonts w:hint="eastAsia"/>
          <w:color w:val="auto"/>
          <w:szCs w:val="24"/>
          <w:highlight w:val="none"/>
        </w:rPr>
        <w:t>查询结果</w:t>
      </w:r>
      <w:bookmarkEnd w:id="3907"/>
      <w:bookmarkEnd w:id="3908"/>
      <w:bookmarkEnd w:id="3909"/>
      <w:bookmarkEnd w:id="3910"/>
    </w:p>
    <w:p w14:paraId="5B146692">
      <w:pPr>
        <w:spacing w:line="400" w:lineRule="atLeast"/>
        <w:ind w:left="840" w:hanging="840" w:hangingChars="400"/>
        <w:rPr>
          <w:color w:val="auto"/>
          <w:szCs w:val="21"/>
          <w:highlight w:val="none"/>
        </w:rPr>
      </w:pP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5BE3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14:paraId="5BCF48FC">
            <w:pPr>
              <w:keepNext w:val="0"/>
              <w:keepLines w:val="0"/>
              <w:suppressLineNumbers w:val="0"/>
              <w:spacing w:before="0" w:beforeAutospacing="0" w:after="0" w:afterAutospacing="0" w:line="400" w:lineRule="atLeast"/>
              <w:ind w:left="630" w:right="0" w:hanging="630" w:hangingChars="300"/>
              <w:rPr>
                <w:rFonts w:ascii="Calibri" w:hAnsi="Calibri" w:eastAsia="宋体" w:cs="Times New Roman"/>
                <w:color w:val="auto"/>
                <w:szCs w:val="21"/>
                <w:highlight w:val="none"/>
              </w:rPr>
            </w:pPr>
          </w:p>
        </w:tc>
      </w:tr>
    </w:tbl>
    <w:p w14:paraId="36E74194">
      <w:pPr>
        <w:spacing w:line="440" w:lineRule="exact"/>
        <w:ind w:left="840" w:hanging="840" w:hangingChars="400"/>
        <w:rPr>
          <w:color w:val="auto"/>
          <w:szCs w:val="21"/>
          <w:highlight w:val="none"/>
        </w:rPr>
      </w:pPr>
    </w:p>
    <w:p w14:paraId="3763A7F6">
      <w:pPr>
        <w:spacing w:line="440" w:lineRule="exact"/>
        <w:ind w:left="840" w:hanging="840" w:hangingChars="400"/>
        <w:rPr>
          <w:color w:val="auto"/>
          <w:szCs w:val="21"/>
          <w:highlight w:val="none"/>
        </w:rPr>
      </w:pPr>
    </w:p>
    <w:p w14:paraId="07F30EF1">
      <w:pPr>
        <w:spacing w:line="440" w:lineRule="exact"/>
        <w:ind w:left="840" w:hanging="840" w:hangingChars="400"/>
        <w:rPr>
          <w:color w:val="auto"/>
          <w:szCs w:val="21"/>
          <w:highlight w:val="none"/>
        </w:rPr>
      </w:pPr>
    </w:p>
    <w:p w14:paraId="383A1B6F">
      <w:pPr>
        <w:spacing w:line="440" w:lineRule="exact"/>
        <w:ind w:left="840" w:hanging="840" w:hangingChars="400"/>
        <w:rPr>
          <w:rFonts w:hint="eastAsia"/>
          <w:color w:val="auto"/>
          <w:szCs w:val="21"/>
          <w:highlight w:val="none"/>
        </w:rPr>
      </w:pPr>
      <w:r>
        <w:rPr>
          <w:rFonts w:hint="eastAsia"/>
          <w:color w:val="auto"/>
          <w:szCs w:val="21"/>
          <w:highlight w:val="none"/>
        </w:rPr>
        <w:t>备注：</w:t>
      </w:r>
      <w:r>
        <w:rPr>
          <w:color w:val="auto"/>
          <w:szCs w:val="21"/>
          <w:highlight w:val="none"/>
        </w:rPr>
        <w:t xml:space="preserve">1. </w:t>
      </w:r>
      <w:r>
        <w:rPr>
          <w:rFonts w:hint="eastAsia"/>
          <w:color w:val="auto"/>
          <w:szCs w:val="21"/>
          <w:highlight w:val="none"/>
        </w:rPr>
        <w:t>投标人自行通过“国家企业信用信息公示系统”（</w:t>
      </w:r>
      <w:r>
        <w:rPr>
          <w:color w:val="auto"/>
          <w:szCs w:val="21"/>
          <w:highlight w:val="none"/>
        </w:rPr>
        <w:fldChar w:fldCharType="begin"/>
      </w:r>
      <w:r>
        <w:rPr>
          <w:color w:val="auto"/>
          <w:szCs w:val="21"/>
          <w:highlight w:val="none"/>
        </w:rPr>
        <w:instrText xml:space="preserve"> </w:instrText>
      </w:r>
      <w:r>
        <w:rPr>
          <w:rFonts w:hint="eastAsia"/>
          <w:color w:val="auto"/>
          <w:szCs w:val="21"/>
          <w:highlight w:val="none"/>
        </w:rPr>
        <w:instrText xml:space="preserve">HYPERLINK "http://www.gsxt.gov.cn）查询本单位是否"</w:instrText>
      </w:r>
      <w:r>
        <w:rPr>
          <w:color w:val="auto"/>
          <w:szCs w:val="21"/>
          <w:highlight w:val="none"/>
        </w:rPr>
        <w:instrText xml:space="preserve"> </w:instrText>
      </w:r>
      <w:r>
        <w:rPr>
          <w:color w:val="auto"/>
          <w:szCs w:val="21"/>
          <w:highlight w:val="none"/>
        </w:rPr>
        <w:fldChar w:fldCharType="separate"/>
      </w:r>
      <w:r>
        <w:rPr>
          <w:rStyle w:val="43"/>
          <w:color w:val="auto"/>
          <w:highlight w:val="none"/>
        </w:rPr>
        <w:t>www.gsxt.gov.cn</w:t>
      </w:r>
      <w:r>
        <w:rPr>
          <w:rStyle w:val="43"/>
          <w:rFonts w:hint="eastAsia"/>
          <w:color w:val="auto"/>
          <w:highlight w:val="none"/>
        </w:rPr>
        <w:t>）查询本单位是否</w:t>
      </w:r>
      <w:r>
        <w:rPr>
          <w:color w:val="auto"/>
          <w:szCs w:val="21"/>
          <w:highlight w:val="none"/>
        </w:rPr>
        <w:fldChar w:fldCharType="end"/>
      </w:r>
      <w:r>
        <w:rPr>
          <w:rFonts w:hint="eastAsia"/>
          <w:color w:val="auto"/>
          <w:szCs w:val="21"/>
          <w:highlight w:val="none"/>
        </w:rPr>
        <w:t>被列为严重违法失信企业，并将查询结果“截图”附在本表中。</w:t>
      </w:r>
    </w:p>
    <w:p w14:paraId="5DCB934B">
      <w:pPr>
        <w:spacing w:line="440" w:lineRule="exact"/>
        <w:ind w:left="840" w:leftChars="300" w:hanging="210" w:hangingChars="100"/>
        <w:rPr>
          <w:color w:val="auto"/>
          <w:szCs w:val="21"/>
          <w:highlight w:val="none"/>
        </w:rPr>
      </w:pPr>
      <w:r>
        <w:rPr>
          <w:color w:val="auto"/>
          <w:szCs w:val="21"/>
          <w:highlight w:val="none"/>
        </w:rPr>
        <w:t xml:space="preserve">2. </w:t>
      </w:r>
      <w:r>
        <w:rPr>
          <w:rFonts w:hint="eastAsia"/>
          <w:color w:val="auto"/>
          <w:szCs w:val="21"/>
          <w:highlight w:val="none"/>
        </w:rPr>
        <w:t>联合体投标的，应当对所有联合体成员进行查询。</w:t>
      </w:r>
    </w:p>
    <w:p w14:paraId="2CBB95B0">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1317ED7E">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35C9EFC6">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08A54757">
      <w:pPr>
        <w:spacing w:line="400" w:lineRule="atLeast"/>
        <w:ind w:left="630" w:leftChars="300"/>
        <w:rPr>
          <w:rFonts w:hint="eastAsia"/>
          <w:color w:val="auto"/>
          <w:szCs w:val="21"/>
          <w:highlight w:val="none"/>
        </w:rPr>
      </w:pPr>
    </w:p>
    <w:p w14:paraId="389528F8">
      <w:pPr>
        <w:spacing w:line="400" w:lineRule="atLeast"/>
        <w:ind w:left="630" w:leftChars="300"/>
        <w:rPr>
          <w:rFonts w:hint="eastAsia"/>
          <w:color w:val="auto"/>
          <w:szCs w:val="21"/>
          <w:highlight w:val="none"/>
        </w:rPr>
      </w:pPr>
    </w:p>
    <w:p w14:paraId="4CDEEE01">
      <w:pPr>
        <w:pStyle w:val="98"/>
        <w:jc w:val="center"/>
        <w:outlineLvl w:val="4"/>
        <w:rPr>
          <w:rFonts w:hint="eastAsia"/>
          <w:color w:val="auto"/>
          <w:szCs w:val="24"/>
          <w:highlight w:val="none"/>
        </w:rPr>
      </w:pPr>
      <w:bookmarkStart w:id="3911" w:name="_Toc519085688"/>
      <w:bookmarkStart w:id="3912" w:name="_Toc467365539"/>
      <w:bookmarkStart w:id="3913" w:name="_Toc469078802"/>
      <w:r>
        <w:rPr>
          <w:rFonts w:hint="eastAsia"/>
          <w:color w:val="auto"/>
          <w:szCs w:val="24"/>
          <w:highlight w:val="none"/>
        </w:rPr>
        <w:br w:type="page"/>
      </w:r>
      <w:bookmarkStart w:id="3914" w:name="_Toc20845"/>
      <w:bookmarkStart w:id="3915" w:name="_Toc16949"/>
      <w:r>
        <w:rPr>
          <w:rFonts w:hint="eastAsia"/>
          <w:color w:val="auto"/>
          <w:szCs w:val="24"/>
          <w:highlight w:val="none"/>
        </w:rPr>
        <w:t>7-3 失信被执行人</w:t>
      </w:r>
      <w:r>
        <w:rPr>
          <w:color w:val="auto"/>
          <w:szCs w:val="24"/>
          <w:highlight w:val="none"/>
        </w:rPr>
        <w:t>查询结果</w:t>
      </w:r>
      <w:bookmarkEnd w:id="3911"/>
      <w:bookmarkEnd w:id="3912"/>
      <w:bookmarkEnd w:id="3913"/>
      <w:bookmarkEnd w:id="3914"/>
      <w:bookmarkEnd w:id="3915"/>
    </w:p>
    <w:p w14:paraId="06E36692">
      <w:pPr>
        <w:spacing w:line="400" w:lineRule="atLeast"/>
        <w:rPr>
          <w:rFonts w:hint="eastAsia"/>
          <w:color w:val="auto"/>
          <w:szCs w:val="21"/>
          <w:highlight w:val="none"/>
        </w:rPr>
      </w:pPr>
    </w:p>
    <w:p w14:paraId="74B5E43E">
      <w:pPr>
        <w:spacing w:line="400" w:lineRule="atLeast"/>
        <w:rPr>
          <w:rFonts w:hint="eastAsia"/>
          <w:color w:val="auto"/>
          <w:szCs w:val="21"/>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2D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8522" w:type="dxa"/>
            <w:noWrap w:val="0"/>
            <w:vAlign w:val="top"/>
          </w:tcPr>
          <w:p w14:paraId="2AA70D17">
            <w:pPr>
              <w:keepNext w:val="0"/>
              <w:keepLines w:val="0"/>
              <w:suppressLineNumbers w:val="0"/>
              <w:spacing w:before="0" w:beforeAutospacing="0" w:after="0" w:afterAutospacing="0" w:line="400" w:lineRule="atLeast"/>
              <w:ind w:left="630" w:right="0" w:hanging="630" w:hangingChars="300"/>
              <w:rPr>
                <w:rFonts w:hint="eastAsia" w:ascii="Calibri" w:hAnsi="Calibri" w:eastAsia="宋体" w:cs="Times New Roman"/>
                <w:color w:val="auto"/>
                <w:szCs w:val="21"/>
                <w:highlight w:val="none"/>
              </w:rPr>
            </w:pPr>
          </w:p>
        </w:tc>
      </w:tr>
    </w:tbl>
    <w:p w14:paraId="6B90DA0A">
      <w:pPr>
        <w:spacing w:line="400" w:lineRule="atLeast"/>
        <w:ind w:left="630" w:hanging="630" w:hangingChars="300"/>
        <w:rPr>
          <w:rFonts w:hint="eastAsia"/>
          <w:color w:val="auto"/>
          <w:szCs w:val="21"/>
          <w:highlight w:val="none"/>
        </w:rPr>
      </w:pPr>
    </w:p>
    <w:p w14:paraId="41F12D33">
      <w:pPr>
        <w:spacing w:line="400" w:lineRule="atLeast"/>
        <w:ind w:left="840" w:hanging="840" w:hangingChars="400"/>
        <w:rPr>
          <w:rFonts w:hint="eastAsia"/>
          <w:color w:val="auto"/>
          <w:szCs w:val="21"/>
          <w:highlight w:val="none"/>
        </w:rPr>
      </w:pPr>
      <w:r>
        <w:rPr>
          <w:rFonts w:hint="eastAsia"/>
          <w:color w:val="auto"/>
          <w:szCs w:val="21"/>
          <w:highlight w:val="none"/>
        </w:rPr>
        <w:t xml:space="preserve">备注：1. </w:t>
      </w:r>
      <w:r>
        <w:rPr>
          <w:color w:val="auto"/>
          <w:szCs w:val="21"/>
          <w:highlight w:val="none"/>
        </w:rPr>
        <w:t>投标</w:t>
      </w:r>
      <w:r>
        <w:rPr>
          <w:rFonts w:hint="eastAsia"/>
          <w:color w:val="auto"/>
          <w:szCs w:val="21"/>
          <w:highlight w:val="none"/>
        </w:rPr>
        <w:t>人根据《关于在招标投标活动中对失信被执行人实施联合惩戒的通知》（</w:t>
      </w:r>
      <w:r>
        <w:rPr>
          <w:color w:val="auto"/>
          <w:szCs w:val="21"/>
          <w:highlight w:val="none"/>
        </w:rPr>
        <w:t>法〔2016〕285号</w:t>
      </w:r>
      <w:r>
        <w:rPr>
          <w:rFonts w:hint="eastAsia"/>
          <w:color w:val="auto"/>
          <w:szCs w:val="21"/>
          <w:highlight w:val="none"/>
        </w:rPr>
        <w:t>）的规定，自行</w:t>
      </w:r>
      <w:r>
        <w:rPr>
          <w:color w:val="auto"/>
          <w:szCs w:val="21"/>
          <w:highlight w:val="none"/>
        </w:rPr>
        <w:t>通过“信用中国”网站（www.creditchina.gov.cn）查询</w:t>
      </w:r>
      <w:r>
        <w:rPr>
          <w:rFonts w:hint="eastAsia"/>
          <w:color w:val="auto"/>
          <w:szCs w:val="21"/>
          <w:highlight w:val="none"/>
        </w:rPr>
        <w:t>投标人</w:t>
      </w:r>
      <w:r>
        <w:rPr>
          <w:color w:val="auto"/>
          <w:szCs w:val="21"/>
          <w:highlight w:val="none"/>
        </w:rPr>
        <w:t>是否为失信被执行人</w:t>
      </w:r>
      <w:r>
        <w:rPr>
          <w:rFonts w:hint="eastAsia"/>
          <w:color w:val="auto"/>
          <w:szCs w:val="21"/>
          <w:highlight w:val="none"/>
        </w:rPr>
        <w:t>，并将查询结果“截图”附在本表中。</w:t>
      </w:r>
      <w:bookmarkStart w:id="3916" w:name="_Toc23425"/>
      <w:bookmarkStart w:id="3917" w:name="_Toc3981269"/>
    </w:p>
    <w:p w14:paraId="2E0B2D32">
      <w:pPr>
        <w:spacing w:line="400" w:lineRule="atLeast"/>
        <w:ind w:left="840" w:leftChars="300" w:hanging="210" w:hangingChars="100"/>
        <w:rPr>
          <w:rFonts w:ascii="宋体" w:hAnsi="宋体"/>
          <w:color w:val="auto"/>
          <w:szCs w:val="21"/>
          <w:highlight w:val="none"/>
        </w:rPr>
      </w:pPr>
      <w:r>
        <w:rPr>
          <w:rFonts w:hint="eastAsia" w:ascii="宋体" w:hAnsi="宋体"/>
          <w:color w:val="auto"/>
          <w:szCs w:val="21"/>
          <w:highlight w:val="none"/>
        </w:rPr>
        <w:t>2. 联合体投标的，应当对所有联合体成员进行查询。</w:t>
      </w:r>
      <w:bookmarkEnd w:id="3916"/>
      <w:bookmarkEnd w:id="3917"/>
    </w:p>
    <w:p w14:paraId="0F0B0883">
      <w:pPr>
        <w:spacing w:line="400" w:lineRule="atLeast"/>
        <w:ind w:left="630" w:leftChars="300"/>
        <w:jc w:val="center"/>
        <w:rPr>
          <w:rFonts w:hint="eastAsia"/>
          <w:color w:val="auto"/>
          <w:szCs w:val="21"/>
          <w:highlight w:val="none"/>
        </w:rPr>
      </w:pPr>
    </w:p>
    <w:p w14:paraId="071C6D54">
      <w:pPr>
        <w:spacing w:line="400" w:lineRule="atLeast"/>
        <w:ind w:left="630" w:leftChars="300"/>
        <w:jc w:val="center"/>
        <w:rPr>
          <w:rFonts w:hint="eastAsia"/>
          <w:color w:val="auto"/>
          <w:szCs w:val="21"/>
          <w:highlight w:val="none"/>
        </w:rPr>
      </w:pPr>
    </w:p>
    <w:p w14:paraId="723C6E8E">
      <w:pPr>
        <w:spacing w:line="400" w:lineRule="atLeast"/>
        <w:ind w:left="630" w:leftChars="300"/>
        <w:jc w:val="center"/>
        <w:rPr>
          <w:rFonts w:hint="eastAsia"/>
          <w:color w:val="auto"/>
          <w:szCs w:val="21"/>
          <w:highlight w:val="none"/>
        </w:rPr>
      </w:pPr>
    </w:p>
    <w:p w14:paraId="540125C3">
      <w:pPr>
        <w:spacing w:line="400" w:lineRule="atLeast"/>
        <w:ind w:left="630" w:leftChars="300"/>
        <w:jc w:val="center"/>
        <w:rPr>
          <w:rFonts w:hint="eastAsia"/>
          <w:color w:val="auto"/>
          <w:szCs w:val="21"/>
          <w:highlight w:val="none"/>
        </w:rPr>
      </w:pPr>
    </w:p>
    <w:p w14:paraId="32563345">
      <w:pPr>
        <w:spacing w:line="400" w:lineRule="atLeast"/>
        <w:ind w:left="630" w:leftChars="300"/>
        <w:jc w:val="center"/>
        <w:rPr>
          <w:rFonts w:hint="eastAsia"/>
          <w:color w:val="auto"/>
          <w:szCs w:val="21"/>
          <w:highlight w:val="none"/>
        </w:rPr>
      </w:pPr>
    </w:p>
    <w:p w14:paraId="05728957">
      <w:pPr>
        <w:spacing w:line="400" w:lineRule="atLeast"/>
        <w:ind w:left="630" w:leftChars="300"/>
        <w:jc w:val="center"/>
        <w:rPr>
          <w:rFonts w:hint="eastAsia"/>
          <w:color w:val="auto"/>
          <w:szCs w:val="21"/>
          <w:highlight w:val="none"/>
        </w:rPr>
      </w:pPr>
    </w:p>
    <w:p w14:paraId="798E171F">
      <w:pPr>
        <w:spacing w:line="400" w:lineRule="atLeast"/>
        <w:ind w:left="630" w:leftChars="300"/>
        <w:jc w:val="center"/>
        <w:rPr>
          <w:rFonts w:hint="eastAsia"/>
          <w:color w:val="auto"/>
          <w:szCs w:val="21"/>
          <w:highlight w:val="none"/>
        </w:rPr>
      </w:pPr>
    </w:p>
    <w:p w14:paraId="612A6469">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2F3591AE">
      <w:pPr>
        <w:pStyle w:val="98"/>
        <w:jc w:val="center"/>
        <w:outlineLvl w:val="4"/>
        <w:rPr>
          <w:rFonts w:hint="eastAsia"/>
          <w:color w:val="auto"/>
          <w:szCs w:val="24"/>
          <w:highlight w:val="none"/>
        </w:rPr>
      </w:pPr>
      <w:bookmarkStart w:id="3918" w:name="_Toc6899"/>
      <w:bookmarkStart w:id="3919" w:name="_Toc3597"/>
      <w:bookmarkStart w:id="3920" w:name="_Toc21478"/>
      <w:bookmarkStart w:id="3921" w:name="_Toc19597"/>
      <w:bookmarkStart w:id="3922" w:name="_Toc28569"/>
      <w:bookmarkStart w:id="3923" w:name="_Toc456555789"/>
      <w:bookmarkStart w:id="3924" w:name="_Toc519085687"/>
      <w:bookmarkStart w:id="3925" w:name="_Toc456173584"/>
      <w:r>
        <w:rPr>
          <w:rFonts w:hint="eastAsia"/>
          <w:color w:val="auto"/>
          <w:szCs w:val="24"/>
          <w:highlight w:val="none"/>
        </w:rPr>
        <w:t>7-4无行贿犯罪行为的声明</w:t>
      </w:r>
      <w:bookmarkEnd w:id="3918"/>
      <w:bookmarkEnd w:id="3919"/>
      <w:bookmarkEnd w:id="3920"/>
      <w:bookmarkEnd w:id="3921"/>
      <w:bookmarkEnd w:id="3922"/>
    </w:p>
    <w:p w14:paraId="40BAA608">
      <w:pPr>
        <w:spacing w:line="400" w:lineRule="exact"/>
        <w:rPr>
          <w:rFonts w:hint="eastAsia" w:ascii="Arial" w:hAnsi="Arial" w:eastAsia="黑体"/>
          <w:color w:val="auto"/>
          <w:szCs w:val="21"/>
          <w:highlight w:val="none"/>
        </w:rPr>
      </w:pPr>
    </w:p>
    <w:p w14:paraId="0F74929B">
      <w:pPr>
        <w:spacing w:line="400" w:lineRule="atLeast"/>
        <w:ind w:left="630" w:hanging="630" w:hangingChars="300"/>
        <w:rPr>
          <w:rFonts w:hint="eastAsia"/>
          <w:color w:val="auto"/>
          <w:szCs w:val="21"/>
          <w:highlight w:val="none"/>
        </w:rPr>
      </w:pPr>
    </w:p>
    <w:p w14:paraId="2B7AFC78">
      <w:pPr>
        <w:spacing w:line="400" w:lineRule="exact"/>
        <w:rPr>
          <w:rFonts w:hint="eastAsia"/>
          <w:color w:val="auto"/>
          <w:highlight w:val="none"/>
        </w:rPr>
      </w:pPr>
      <w:r>
        <w:rPr>
          <w:rFonts w:hint="eastAsia"/>
          <w:color w:val="auto"/>
          <w:highlight w:val="none"/>
          <w:u w:val="single"/>
        </w:rPr>
        <w:t xml:space="preserve">                </w:t>
      </w:r>
      <w:r>
        <w:rPr>
          <w:rFonts w:hint="eastAsia"/>
          <w:color w:val="auto"/>
          <w:highlight w:val="none"/>
        </w:rPr>
        <w:t>（招标人名称）</w:t>
      </w:r>
      <w:r>
        <w:rPr>
          <w:color w:val="auto"/>
          <w:highlight w:val="none"/>
        </w:rPr>
        <w:t>：</w:t>
      </w:r>
    </w:p>
    <w:p w14:paraId="2B128E4D">
      <w:pPr>
        <w:spacing w:line="400" w:lineRule="exact"/>
        <w:rPr>
          <w:rFonts w:hint="eastAsia"/>
          <w:color w:val="auto"/>
          <w:highlight w:val="none"/>
        </w:rPr>
      </w:pPr>
    </w:p>
    <w:p w14:paraId="0010605C">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我方在此声明，截止本招标项目投标截止时间，我单位、法定代表人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（姓名） 、拟委任的项目负责人</w:t>
      </w:r>
      <w:r>
        <w:rPr>
          <w:rFonts w:hint="eastAsia" w:ascii="宋体" w:hAnsi="宋体"/>
          <w:color w:val="auto"/>
          <w:szCs w:val="21"/>
          <w:highlight w:val="none"/>
          <w:u w:val="single"/>
        </w:rPr>
        <w:t xml:space="preserve">        </w:t>
      </w:r>
      <w:r>
        <w:rPr>
          <w:rFonts w:hint="eastAsia" w:ascii="宋体" w:hAnsi="宋体"/>
          <w:color w:val="auto"/>
          <w:szCs w:val="21"/>
          <w:highlight w:val="none"/>
        </w:rPr>
        <w:t>（姓名）在近三年内（</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日至</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日）不曾有人民法院生效判决、裁定认定的行贿犯罪行为。</w:t>
      </w:r>
    </w:p>
    <w:p w14:paraId="1C21E2B1">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我方对上述声明的真实性负责。如有虚假，将依法承担相应责任。</w:t>
      </w:r>
    </w:p>
    <w:p w14:paraId="48BF33A4">
      <w:pPr>
        <w:snapToGrid w:val="0"/>
        <w:spacing w:line="520" w:lineRule="exact"/>
        <w:ind w:firstLine="2775" w:firstLineChars="771"/>
        <w:rPr>
          <w:rStyle w:val="75"/>
          <w:rFonts w:hAnsi="宋体"/>
          <w:color w:val="auto"/>
          <w:sz w:val="36"/>
          <w:highlight w:val="none"/>
        </w:rPr>
      </w:pPr>
    </w:p>
    <w:p w14:paraId="321DFBB3">
      <w:pPr>
        <w:spacing w:line="400" w:lineRule="exact"/>
        <w:ind w:firstLine="480" w:firstLineChars="200"/>
        <w:jc w:val="right"/>
        <w:rPr>
          <w:color w:val="auto"/>
          <w:highlight w:val="none"/>
        </w:rPr>
      </w:pPr>
      <w:r>
        <w:rPr>
          <w:rFonts w:hint="eastAsia" w:ascii="宋体" w:hAnsi="宋体"/>
          <w:color w:val="auto"/>
          <w:sz w:val="24"/>
          <w:highlight w:val="none"/>
        </w:rPr>
        <w:t xml:space="preserve">     </w:t>
      </w:r>
      <w:r>
        <w:rPr>
          <w:rFonts w:hint="eastAsia"/>
          <w:color w:val="auto"/>
          <w:highlight w:val="none"/>
        </w:rPr>
        <w:t xml:space="preserve">  投标人</w:t>
      </w:r>
      <w:r>
        <w:rPr>
          <w:color w:val="auto"/>
          <w:highlight w:val="none"/>
        </w:rPr>
        <w:t>：________________（盖单位章）</w:t>
      </w:r>
    </w:p>
    <w:p w14:paraId="56CB3D8D">
      <w:pPr>
        <w:wordWrap w:val="0"/>
        <w:spacing w:line="400" w:lineRule="exact"/>
        <w:ind w:firstLine="420" w:firstLineChars="200"/>
        <w:jc w:val="right"/>
        <w:rPr>
          <w:rFonts w:hint="eastAsia"/>
          <w:color w:val="auto"/>
          <w:highlight w:val="none"/>
        </w:rPr>
      </w:pPr>
      <w:r>
        <w:rPr>
          <w:rFonts w:hint="eastAsia"/>
          <w:color w:val="auto"/>
          <w:highlight w:val="none"/>
        </w:rPr>
        <w:t xml:space="preserve">   </w:t>
      </w:r>
    </w:p>
    <w:p w14:paraId="3ABB3348">
      <w:pPr>
        <w:spacing w:line="400" w:lineRule="exact"/>
        <w:ind w:firstLine="420" w:firstLineChars="200"/>
        <w:jc w:val="right"/>
        <w:rPr>
          <w:color w:val="auto"/>
          <w:highlight w:val="none"/>
        </w:rPr>
      </w:pPr>
      <w:r>
        <w:rPr>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（签字）</w:t>
      </w:r>
    </w:p>
    <w:p w14:paraId="1CA19339">
      <w:pPr>
        <w:spacing w:line="400" w:lineRule="exact"/>
        <w:ind w:firstLine="420" w:firstLineChars="200"/>
        <w:jc w:val="right"/>
        <w:rPr>
          <w:rFonts w:hint="eastAsia"/>
          <w:color w:val="auto"/>
          <w:highlight w:val="none"/>
        </w:rPr>
      </w:pPr>
    </w:p>
    <w:p w14:paraId="414DE9F5">
      <w:pPr>
        <w:spacing w:line="400" w:lineRule="exact"/>
        <w:ind w:firstLine="420" w:firstLineChars="200"/>
        <w:jc w:val="right"/>
        <w:rPr>
          <w:rFonts w:hint="eastAsia"/>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6DF34769">
      <w:pPr>
        <w:spacing w:line="400" w:lineRule="atLeast"/>
        <w:ind w:left="630" w:hanging="630" w:hangingChars="300"/>
        <w:rPr>
          <w:rFonts w:hint="eastAsia"/>
          <w:color w:val="auto"/>
          <w:szCs w:val="21"/>
          <w:highlight w:val="none"/>
        </w:rPr>
      </w:pPr>
    </w:p>
    <w:p w14:paraId="145BED1D">
      <w:pPr>
        <w:spacing w:line="400" w:lineRule="atLeast"/>
        <w:ind w:left="630" w:hanging="630" w:hangingChars="300"/>
        <w:rPr>
          <w:rFonts w:hint="eastAsia"/>
          <w:color w:val="auto"/>
          <w:szCs w:val="21"/>
          <w:highlight w:val="none"/>
        </w:rPr>
      </w:pPr>
    </w:p>
    <w:p w14:paraId="5D7061F4">
      <w:pPr>
        <w:spacing w:line="400" w:lineRule="atLeast"/>
        <w:ind w:left="630" w:hanging="630" w:hangingChars="300"/>
        <w:rPr>
          <w:rFonts w:hint="eastAsia"/>
          <w:color w:val="auto"/>
          <w:szCs w:val="21"/>
          <w:highlight w:val="none"/>
        </w:rPr>
      </w:pPr>
    </w:p>
    <w:p w14:paraId="025258F8">
      <w:pPr>
        <w:spacing w:line="400" w:lineRule="atLeast"/>
        <w:ind w:left="630" w:hanging="630" w:hangingChars="300"/>
        <w:rPr>
          <w:rFonts w:hint="eastAsia"/>
          <w:color w:val="auto"/>
          <w:szCs w:val="21"/>
          <w:highlight w:val="none"/>
        </w:rPr>
      </w:pPr>
    </w:p>
    <w:p w14:paraId="1AA9AF40">
      <w:pPr>
        <w:spacing w:line="400" w:lineRule="atLeast"/>
        <w:ind w:left="630" w:hanging="630" w:hangingChars="300"/>
        <w:rPr>
          <w:rFonts w:hint="eastAsia"/>
          <w:color w:val="auto"/>
          <w:szCs w:val="21"/>
          <w:highlight w:val="none"/>
        </w:rPr>
      </w:pPr>
    </w:p>
    <w:p w14:paraId="7220F8F6">
      <w:pPr>
        <w:spacing w:line="400" w:lineRule="atLeast"/>
        <w:ind w:left="630" w:hanging="630" w:hangingChars="300"/>
        <w:rPr>
          <w:rFonts w:hint="eastAsia"/>
          <w:color w:val="auto"/>
          <w:szCs w:val="21"/>
          <w:highlight w:val="none"/>
        </w:rPr>
      </w:pPr>
    </w:p>
    <w:p w14:paraId="5D4531A2">
      <w:pPr>
        <w:spacing w:line="440" w:lineRule="exact"/>
        <w:ind w:left="840" w:leftChars="200" w:hanging="420" w:hangingChars="200"/>
        <w:rPr>
          <w:rFonts w:hint="eastAsia"/>
          <w:color w:val="auto"/>
          <w:highlight w:val="none"/>
        </w:rPr>
      </w:pPr>
      <w:bookmarkStart w:id="3926" w:name="_Toc3981271"/>
      <w:r>
        <w:rPr>
          <w:rFonts w:hint="eastAsia" w:ascii="宋体" w:hAnsi="宋体"/>
          <w:color w:val="auto"/>
          <w:szCs w:val="21"/>
          <w:highlight w:val="none"/>
        </w:rPr>
        <w:t>备注：</w:t>
      </w:r>
      <w:r>
        <w:rPr>
          <w:rFonts w:hint="eastAsia"/>
          <w:color w:val="auto"/>
          <w:highlight w:val="none"/>
        </w:rPr>
        <w:t>1. 采用资格后审方式的，近3年是指从投标截止日往前推算的3年，如投标截止日为2014年2月1日，则近3年是指2011年2月1日至2014年1月31日。</w:t>
      </w:r>
      <w:bookmarkEnd w:id="3926"/>
    </w:p>
    <w:p w14:paraId="245C4D00">
      <w:pPr>
        <w:ind w:left="840" w:leftChars="400"/>
        <w:rPr>
          <w:rFonts w:hint="eastAsia"/>
          <w:color w:val="auto"/>
          <w:highlight w:val="none"/>
        </w:rPr>
      </w:pPr>
      <w:bookmarkStart w:id="3927" w:name="_Toc3981272"/>
      <w:r>
        <w:rPr>
          <w:rFonts w:hint="eastAsia"/>
          <w:color w:val="auto"/>
          <w:highlight w:val="none"/>
        </w:rPr>
        <w:t>采用资格预审方式的， 近3年是指从申请截止日往前推算3年至投标截止日的前一日，例如申请截止日为2014年2月1日，投标截止日为2014年3月5日，则近3年是指2011年2月1日至2014年3月4日。</w:t>
      </w:r>
      <w:bookmarkEnd w:id="3927"/>
    </w:p>
    <w:p w14:paraId="29AE82D7">
      <w:pPr>
        <w:ind w:firstLine="840" w:firstLineChars="400"/>
        <w:rPr>
          <w:rFonts w:hint="eastAsia"/>
          <w:color w:val="auto"/>
          <w:highlight w:val="none"/>
        </w:rPr>
      </w:pPr>
      <w:bookmarkStart w:id="3928" w:name="_Toc3981273"/>
      <w:bookmarkStart w:id="3929" w:name="_Toc13322"/>
      <w:r>
        <w:rPr>
          <w:rFonts w:hint="eastAsia"/>
          <w:color w:val="auto"/>
          <w:highlight w:val="none"/>
        </w:rPr>
        <w:t>2.  联合体投标的，联合体各成员单位均应按要求做出声明。</w:t>
      </w:r>
      <w:bookmarkEnd w:id="3928"/>
      <w:bookmarkEnd w:id="3929"/>
    </w:p>
    <w:bookmarkEnd w:id="3923"/>
    <w:bookmarkEnd w:id="3924"/>
    <w:bookmarkEnd w:id="3925"/>
    <w:p w14:paraId="652A4DD7">
      <w:pPr>
        <w:rPr>
          <w:rFonts w:hint="eastAsia"/>
          <w:color w:val="auto"/>
          <w:highlight w:val="none"/>
        </w:rPr>
      </w:pPr>
    </w:p>
    <w:p w14:paraId="51F86597">
      <w:pPr>
        <w:pStyle w:val="98"/>
        <w:jc w:val="center"/>
        <w:outlineLvl w:val="4"/>
        <w:rPr>
          <w:rFonts w:hint="eastAsia"/>
          <w:color w:val="auto"/>
          <w:szCs w:val="24"/>
          <w:highlight w:val="none"/>
        </w:rPr>
      </w:pPr>
      <w:bookmarkStart w:id="3930" w:name="_Toc456555790"/>
      <w:bookmarkStart w:id="3931" w:name="_Toc519085689"/>
      <w:r>
        <w:rPr>
          <w:rFonts w:hint="eastAsia"/>
          <w:color w:val="auto"/>
          <w:szCs w:val="24"/>
          <w:highlight w:val="none"/>
        </w:rPr>
        <w:br w:type="page"/>
      </w:r>
      <w:bookmarkStart w:id="3932" w:name="_Toc12810"/>
      <w:bookmarkStart w:id="3933" w:name="_Toc10739"/>
      <w:r>
        <w:rPr>
          <w:rFonts w:hint="eastAsia"/>
          <w:color w:val="auto"/>
          <w:szCs w:val="24"/>
          <w:highlight w:val="none"/>
        </w:rPr>
        <w:t>7-5 近年发生的诉讼和仲裁情况</w:t>
      </w:r>
      <w:bookmarkEnd w:id="3930"/>
      <w:bookmarkEnd w:id="3931"/>
      <w:bookmarkEnd w:id="3932"/>
      <w:bookmarkEnd w:id="3933"/>
    </w:p>
    <w:p w14:paraId="4642CA44">
      <w:pPr>
        <w:spacing w:before="159" w:beforeLines="50" w:after="319" w:afterLines="100" w:line="440" w:lineRule="exact"/>
        <w:rPr>
          <w:rFonts w:hint="eastAsia" w:ascii="黑体" w:hAnsi="宋体" w:eastAsia="黑体"/>
          <w:color w:val="auto"/>
          <w:sz w:val="24"/>
          <w:highlight w:val="none"/>
        </w:rPr>
      </w:pPr>
    </w:p>
    <w:tbl>
      <w:tblPr>
        <w:tblStyle w:val="3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4"/>
        <w:gridCol w:w="954"/>
        <w:gridCol w:w="1260"/>
        <w:gridCol w:w="3600"/>
        <w:gridCol w:w="1952"/>
      </w:tblGrid>
      <w:tr w14:paraId="6AC7D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6FAAF3B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类别</w:t>
            </w:r>
          </w:p>
        </w:tc>
        <w:tc>
          <w:tcPr>
            <w:tcW w:w="954" w:type="dxa"/>
            <w:noWrap w:val="0"/>
            <w:vAlign w:val="center"/>
          </w:tcPr>
          <w:p w14:paraId="6EE80F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1260" w:type="dxa"/>
            <w:noWrap w:val="0"/>
            <w:vAlign w:val="center"/>
          </w:tcPr>
          <w:p w14:paraId="3CDF3F6A">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发生时间</w:t>
            </w:r>
          </w:p>
        </w:tc>
        <w:tc>
          <w:tcPr>
            <w:tcW w:w="3600" w:type="dxa"/>
            <w:noWrap w:val="0"/>
            <w:vAlign w:val="center"/>
          </w:tcPr>
          <w:p w14:paraId="3FFFEA60">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情况简介</w:t>
            </w:r>
          </w:p>
        </w:tc>
        <w:tc>
          <w:tcPr>
            <w:tcW w:w="1952" w:type="dxa"/>
            <w:noWrap w:val="0"/>
            <w:vAlign w:val="center"/>
          </w:tcPr>
          <w:p w14:paraId="34E592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证明材料索引</w:t>
            </w:r>
          </w:p>
        </w:tc>
      </w:tr>
      <w:tr w14:paraId="6D101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4BE7BDA1">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诉</w:t>
            </w:r>
          </w:p>
          <w:p w14:paraId="488E6E13">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讼</w:t>
            </w:r>
          </w:p>
          <w:p w14:paraId="4F1A5C0A">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情</w:t>
            </w:r>
          </w:p>
          <w:p w14:paraId="142115FF">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况</w:t>
            </w:r>
          </w:p>
        </w:tc>
        <w:tc>
          <w:tcPr>
            <w:tcW w:w="954" w:type="dxa"/>
            <w:noWrap w:val="0"/>
            <w:vAlign w:val="center"/>
          </w:tcPr>
          <w:p w14:paraId="77A5BDB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7E985A8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69E1FA9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4E73C3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D2F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9B450A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34755C1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45F303C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78599ED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64332E5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F44F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12018E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658701E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0C3A24A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566532F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6F6894E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5855E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50905C0D">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仲</w:t>
            </w:r>
          </w:p>
          <w:p w14:paraId="6DE635C1">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裁</w:t>
            </w:r>
          </w:p>
          <w:p w14:paraId="3AF84887">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情</w:t>
            </w:r>
          </w:p>
          <w:p w14:paraId="3E054146">
            <w:pPr>
              <w:keepNext w:val="0"/>
              <w:keepLines w:val="0"/>
              <w:suppressLineNumbers w:val="0"/>
              <w:spacing w:before="0" w:beforeAutospacing="0" w:after="0" w:afterAutospacing="0" w:line="240" w:lineRule="exact"/>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况</w:t>
            </w:r>
          </w:p>
        </w:tc>
        <w:tc>
          <w:tcPr>
            <w:tcW w:w="954" w:type="dxa"/>
            <w:noWrap w:val="0"/>
            <w:vAlign w:val="center"/>
          </w:tcPr>
          <w:p w14:paraId="271B734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6D2BC0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318A230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782E25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555D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1C9DEA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52FE26E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7431ACB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04CA8AF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6E35CC4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7B8E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569C1C1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5FA2E13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4E09D6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6C0080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6ED80C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41A92DD7">
      <w:pPr>
        <w:spacing w:line="400" w:lineRule="exact"/>
        <w:ind w:left="945" w:hanging="945" w:hangingChars="450"/>
        <w:rPr>
          <w:rFonts w:hint="eastAsia" w:ascii="黑体" w:hAnsi="宋体" w:eastAsia="黑体"/>
          <w:color w:val="auto"/>
          <w:szCs w:val="21"/>
          <w:highlight w:val="none"/>
        </w:rPr>
      </w:pPr>
    </w:p>
    <w:p w14:paraId="2E4BF1B0">
      <w:pPr>
        <w:spacing w:line="400" w:lineRule="exact"/>
        <w:ind w:left="945" w:hanging="945" w:hangingChars="450"/>
        <w:rPr>
          <w:rFonts w:hint="eastAsia" w:ascii="黑体" w:hAnsi="宋体" w:eastAsia="黑体"/>
          <w:color w:val="auto"/>
          <w:szCs w:val="21"/>
          <w:highlight w:val="none"/>
        </w:rPr>
      </w:pPr>
    </w:p>
    <w:p w14:paraId="1127422B">
      <w:pPr>
        <w:spacing w:line="400" w:lineRule="exact"/>
        <w:ind w:left="945" w:hanging="945" w:hangingChars="45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eastAsia="黑体"/>
          <w:color w:val="auto"/>
          <w:szCs w:val="21"/>
          <w:highlight w:val="none"/>
        </w:rPr>
        <w:t>1</w:t>
      </w:r>
      <w:r>
        <w:rPr>
          <w:rFonts w:hint="eastAsia" w:ascii="黑体" w:hAnsi="宋体" w:eastAsia="黑体"/>
          <w:color w:val="auto"/>
          <w:szCs w:val="21"/>
          <w:highlight w:val="none"/>
        </w:rPr>
        <w:t xml:space="preserve">. </w:t>
      </w:r>
      <w:r>
        <w:rPr>
          <w:rFonts w:hint="eastAsia" w:ascii="宋体" w:hAnsi="宋体"/>
          <w:color w:val="auto"/>
          <w:szCs w:val="21"/>
          <w:highlight w:val="none"/>
        </w:rPr>
        <w:t>近年发生的诉讼和仲裁情况仅限于投标人败诉的，且与签订或履行工程合同有关的案件，不包括调解结案以及未终审判决的诉讼或未裁决的仲裁。附法院或仲裁机构作出的判</w:t>
      </w:r>
      <w:r>
        <w:rPr>
          <w:rFonts w:hint="eastAsia"/>
          <w:color w:val="auto"/>
          <w:szCs w:val="21"/>
          <w:highlight w:val="none"/>
        </w:rPr>
        <w:t>决或裁决等有关法律文书的复印件。</w:t>
      </w:r>
      <w:r>
        <w:rPr>
          <w:rFonts w:hint="eastAsia" w:ascii="宋体" w:hAnsi="宋体"/>
          <w:color w:val="auto"/>
          <w:szCs w:val="21"/>
          <w:highlight w:val="none"/>
        </w:rPr>
        <w:t>具体年份要求见投标须知前附表。</w:t>
      </w:r>
    </w:p>
    <w:p w14:paraId="1C42DBEB">
      <w:pPr>
        <w:spacing w:line="400" w:lineRule="exact"/>
        <w:ind w:firstLine="1050" w:firstLineChars="500"/>
        <w:rPr>
          <w:rFonts w:hint="eastAsia" w:ascii="宋体" w:hAnsi="宋体"/>
          <w:color w:val="auto"/>
          <w:szCs w:val="21"/>
          <w:highlight w:val="none"/>
        </w:rPr>
      </w:pPr>
      <w:r>
        <w:rPr>
          <w:rFonts w:hint="eastAsia"/>
          <w:color w:val="auto"/>
          <w:szCs w:val="21"/>
          <w:highlight w:val="none"/>
        </w:rPr>
        <w:t>2. 投标人应当如实填报</w:t>
      </w:r>
      <w:r>
        <w:rPr>
          <w:rFonts w:hint="eastAsia" w:ascii="宋体" w:hAnsi="宋体"/>
          <w:color w:val="auto"/>
          <w:szCs w:val="21"/>
          <w:highlight w:val="none"/>
        </w:rPr>
        <w:t>相关情况</w:t>
      </w:r>
      <w:r>
        <w:rPr>
          <w:rFonts w:hint="eastAsia"/>
          <w:color w:val="auto"/>
          <w:szCs w:val="21"/>
          <w:highlight w:val="none"/>
        </w:rPr>
        <w:t>，</w:t>
      </w:r>
      <w:r>
        <w:rPr>
          <w:rFonts w:hint="eastAsia" w:ascii="宋体" w:hAnsi="宋体"/>
          <w:color w:val="auto"/>
          <w:szCs w:val="21"/>
          <w:highlight w:val="none"/>
        </w:rPr>
        <w:t>没有相关情况应明确填“无”。</w:t>
      </w:r>
    </w:p>
    <w:p w14:paraId="1D8EB623">
      <w:pPr>
        <w:tabs>
          <w:tab w:val="left" w:pos="5265"/>
        </w:tabs>
        <w:spacing w:line="440" w:lineRule="exact"/>
        <w:ind w:left="945" w:leftChars="300" w:hanging="315" w:hangingChars="150"/>
        <w:rPr>
          <w:rFonts w:hint="eastAsia" w:ascii="黑体" w:hAnsi="宋体" w:eastAsia="黑体"/>
          <w:color w:val="auto"/>
          <w:sz w:val="24"/>
          <w:highlight w:val="none"/>
        </w:rPr>
      </w:pPr>
      <w:r>
        <w:rPr>
          <w:rFonts w:ascii="宋体" w:hAnsi="宋体"/>
          <w:color w:val="auto"/>
          <w:szCs w:val="21"/>
          <w:highlight w:val="none"/>
        </w:rPr>
        <w:tab/>
      </w:r>
      <w:r>
        <w:rPr>
          <w:rFonts w:ascii="宋体" w:hAnsi="宋体"/>
          <w:color w:val="auto"/>
          <w:szCs w:val="21"/>
          <w:highlight w:val="none"/>
        </w:rPr>
        <w:tab/>
      </w:r>
    </w:p>
    <w:p w14:paraId="5EAC4D64">
      <w:pPr>
        <w:pStyle w:val="17"/>
        <w:spacing w:after="0" w:line="400" w:lineRule="atLeast"/>
        <w:ind w:left="0" w:leftChars="0"/>
        <w:jc w:val="center"/>
        <w:rPr>
          <w:rFonts w:hint="eastAsia" w:ascii="黑体" w:hAnsi="宋体" w:eastAsia="黑体"/>
          <w:color w:val="auto"/>
          <w:sz w:val="24"/>
          <w:highlight w:val="none"/>
        </w:rPr>
      </w:pPr>
    </w:p>
    <w:p w14:paraId="61CDF002">
      <w:pPr>
        <w:pStyle w:val="98"/>
        <w:jc w:val="center"/>
        <w:outlineLvl w:val="4"/>
        <w:rPr>
          <w:rFonts w:hint="eastAsia"/>
          <w:color w:val="auto"/>
          <w:szCs w:val="24"/>
          <w:highlight w:val="none"/>
        </w:rPr>
      </w:pPr>
      <w:bookmarkStart w:id="3934" w:name="_Toc519085690"/>
      <w:bookmarkStart w:id="3935" w:name="_Toc456555791"/>
      <w:bookmarkStart w:id="3936" w:name="_Toc30142"/>
      <w:bookmarkStart w:id="3937" w:name="_Toc11266"/>
      <w:r>
        <w:rPr>
          <w:rFonts w:hint="eastAsia"/>
          <w:color w:val="auto"/>
          <w:szCs w:val="24"/>
          <w:highlight w:val="none"/>
        </w:rPr>
        <w:t>7-6 近年投标人工程获质量奖项</w:t>
      </w:r>
      <w:r>
        <w:rPr>
          <w:color w:val="auto"/>
          <w:szCs w:val="24"/>
          <w:highlight w:val="none"/>
        </w:rPr>
        <w:t>情况表</w:t>
      </w:r>
      <w:bookmarkEnd w:id="3934"/>
      <w:bookmarkEnd w:id="3935"/>
      <w:bookmarkEnd w:id="3936"/>
      <w:bookmarkEnd w:id="3937"/>
    </w:p>
    <w:p w14:paraId="4FC92161">
      <w:pPr>
        <w:pStyle w:val="17"/>
        <w:spacing w:after="0" w:line="400" w:lineRule="atLeast"/>
        <w:ind w:left="0" w:leftChars="0"/>
        <w:jc w:val="center"/>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402"/>
        <w:gridCol w:w="1800"/>
        <w:gridCol w:w="1440"/>
        <w:gridCol w:w="2160"/>
      </w:tblGrid>
      <w:tr w14:paraId="1B92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ED50D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2402" w:type="dxa"/>
            <w:noWrap w:val="0"/>
            <w:vAlign w:val="top"/>
          </w:tcPr>
          <w:p w14:paraId="6B334FE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800" w:type="dxa"/>
            <w:noWrap w:val="0"/>
            <w:vAlign w:val="top"/>
          </w:tcPr>
          <w:p w14:paraId="32E750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c>
          <w:tcPr>
            <w:tcW w:w="1440" w:type="dxa"/>
            <w:noWrap w:val="0"/>
            <w:vAlign w:val="top"/>
          </w:tcPr>
          <w:p w14:paraId="0D7930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2160" w:type="dxa"/>
            <w:noWrap w:val="0"/>
            <w:vAlign w:val="top"/>
          </w:tcPr>
          <w:p w14:paraId="579405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r>
      <w:tr w14:paraId="7E76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64D835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4BB136B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333FA5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AF2566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97AE82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353B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8EF37C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BCAC65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4BCF11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97986D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7C8260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18A1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FAE080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5221000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F82DBF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BA6221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8D5BFD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3721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CBC45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D69CD6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4C30BD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6121ED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B0A1EB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4B0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C20AB4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074E83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6FC529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3088C0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B1A284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EA7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54A329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0B8D4BD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C72B00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2783FAA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AF4669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32D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4F646A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48F67EE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99FC6A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0082B5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971F2B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849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43A7F9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EBDEA8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0E2E67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136DEF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5AE5C4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DB5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35EEB4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012652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6DD900A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550B956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B9DF1A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05AD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7C890B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40E5589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E817D7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D1A4FF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847F97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10CC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A94962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725A4B7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ADAB64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21087B3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D51B87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6035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C94623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F73EAC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C9CF8B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8221FC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E8E85E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638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98BC44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68D6C1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2D3561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D020D5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634486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bl>
    <w:p w14:paraId="0BB4B9CA">
      <w:pPr>
        <w:pStyle w:val="20"/>
        <w:rPr>
          <w:rFonts w:hint="eastAsia" w:ascii="Times New Roman" w:hAnsi="Times New Roman" w:eastAsia="黑体"/>
          <w:color w:val="auto"/>
          <w:sz w:val="24"/>
          <w:szCs w:val="24"/>
          <w:highlight w:val="none"/>
        </w:rPr>
      </w:pPr>
    </w:p>
    <w:p w14:paraId="2CE2BFB4">
      <w:pPr>
        <w:spacing w:line="400" w:lineRule="atLeast"/>
        <w:ind w:left="945" w:hanging="945" w:hangingChars="450"/>
        <w:rPr>
          <w:rFonts w:hint="eastAsia"/>
          <w:color w:val="auto"/>
          <w:highlight w:val="none"/>
        </w:rPr>
      </w:pPr>
    </w:p>
    <w:p w14:paraId="68F6970E">
      <w:pPr>
        <w:spacing w:line="400" w:lineRule="atLeast"/>
        <w:ind w:left="945" w:hanging="945" w:hangingChars="45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本表后应附</w:t>
      </w:r>
      <w:r>
        <w:rPr>
          <w:color w:val="auto"/>
          <w:szCs w:val="21"/>
          <w:highlight w:val="none"/>
        </w:rPr>
        <w:t>中标通知书</w:t>
      </w:r>
      <w:r>
        <w:rPr>
          <w:rFonts w:hint="eastAsia"/>
          <w:color w:val="auto"/>
          <w:szCs w:val="21"/>
          <w:highlight w:val="none"/>
        </w:rPr>
        <w:t>（如有）、</w:t>
      </w:r>
      <w:r>
        <w:rPr>
          <w:color w:val="auto"/>
          <w:szCs w:val="21"/>
          <w:highlight w:val="none"/>
        </w:rPr>
        <w:t>合同协议书、</w:t>
      </w:r>
      <w:r>
        <w:rPr>
          <w:rFonts w:hint="eastAsia"/>
          <w:color w:val="auto"/>
          <w:szCs w:val="21"/>
          <w:highlight w:val="none"/>
        </w:rPr>
        <w:t>工程接收证书或工程竣工验收证书（工</w:t>
      </w:r>
    </w:p>
    <w:p w14:paraId="4344E9E8">
      <w:pPr>
        <w:spacing w:line="400" w:lineRule="atLeast"/>
        <w:ind w:left="945" w:leftChars="300" w:hanging="315" w:hangingChars="150"/>
        <w:rPr>
          <w:rFonts w:hint="eastAsia"/>
          <w:color w:val="auto"/>
          <w:szCs w:val="21"/>
          <w:highlight w:val="none"/>
        </w:rPr>
      </w:pPr>
      <w:r>
        <w:rPr>
          <w:rFonts w:hint="eastAsia"/>
          <w:color w:val="auto"/>
          <w:szCs w:val="21"/>
          <w:highlight w:val="none"/>
        </w:rPr>
        <w:t>程竣工验收备案证）、表彰文件、颁奖机构颁发的获奖证书及其他证明材料等复印件。</w:t>
      </w:r>
    </w:p>
    <w:p w14:paraId="46C47358">
      <w:pPr>
        <w:spacing w:line="400" w:lineRule="atLeast"/>
        <w:ind w:left="630" w:leftChars="300"/>
        <w:rPr>
          <w:rFonts w:hint="eastAsia"/>
          <w:color w:val="auto"/>
          <w:szCs w:val="21"/>
          <w:highlight w:val="none"/>
        </w:rPr>
      </w:pPr>
    </w:p>
    <w:p w14:paraId="6F0CCC5D">
      <w:pPr>
        <w:spacing w:line="440" w:lineRule="exact"/>
        <w:rPr>
          <w:rFonts w:hint="eastAsia" w:ascii="宋体" w:hAnsi="宋体"/>
          <w:color w:val="auto"/>
          <w:szCs w:val="21"/>
          <w:highlight w:val="none"/>
        </w:rPr>
      </w:pPr>
    </w:p>
    <w:p w14:paraId="3E66EEC2">
      <w:pPr>
        <w:spacing w:line="440" w:lineRule="exact"/>
        <w:rPr>
          <w:rFonts w:hint="eastAsia" w:ascii="宋体" w:hAnsi="宋体"/>
          <w:color w:val="auto"/>
          <w:szCs w:val="21"/>
          <w:highlight w:val="none"/>
        </w:rPr>
      </w:pPr>
    </w:p>
    <w:p w14:paraId="06CDAD1C">
      <w:pPr>
        <w:spacing w:line="440" w:lineRule="exact"/>
        <w:rPr>
          <w:rFonts w:hint="eastAsia" w:ascii="宋体" w:hAnsi="宋体"/>
          <w:color w:val="auto"/>
          <w:szCs w:val="21"/>
          <w:highlight w:val="none"/>
        </w:rPr>
      </w:pPr>
    </w:p>
    <w:p w14:paraId="49676680">
      <w:pPr>
        <w:spacing w:line="440" w:lineRule="exact"/>
        <w:rPr>
          <w:rFonts w:hint="eastAsia" w:ascii="宋体" w:hAnsi="宋体"/>
          <w:color w:val="auto"/>
          <w:szCs w:val="21"/>
          <w:highlight w:val="none"/>
        </w:rPr>
      </w:pPr>
    </w:p>
    <w:p w14:paraId="6CB22C43">
      <w:pPr>
        <w:spacing w:line="440" w:lineRule="exact"/>
        <w:rPr>
          <w:rFonts w:hint="eastAsia" w:ascii="宋体" w:hAnsi="宋体"/>
          <w:color w:val="auto"/>
          <w:szCs w:val="21"/>
          <w:highlight w:val="none"/>
        </w:rPr>
      </w:pPr>
    </w:p>
    <w:p w14:paraId="46CA06BC">
      <w:pPr>
        <w:pStyle w:val="98"/>
        <w:jc w:val="center"/>
        <w:outlineLvl w:val="4"/>
        <w:rPr>
          <w:rFonts w:hint="eastAsia"/>
          <w:color w:val="auto"/>
          <w:szCs w:val="24"/>
          <w:highlight w:val="none"/>
        </w:rPr>
      </w:pPr>
      <w:bookmarkStart w:id="3938" w:name="_Toc26734"/>
      <w:bookmarkStart w:id="3939" w:name="_Toc519085691"/>
      <w:bookmarkStart w:id="3940" w:name="_Toc9195"/>
      <w:bookmarkStart w:id="3941" w:name="_Toc456555792"/>
      <w:r>
        <w:rPr>
          <w:rFonts w:hint="eastAsia"/>
          <w:color w:val="auto"/>
          <w:szCs w:val="24"/>
          <w:highlight w:val="none"/>
        </w:rPr>
        <w:t>7-7 近年项目负责人已完工程获质量奖项</w:t>
      </w:r>
      <w:r>
        <w:rPr>
          <w:color w:val="auto"/>
          <w:szCs w:val="24"/>
          <w:highlight w:val="none"/>
        </w:rPr>
        <w:t>情况表</w:t>
      </w:r>
      <w:bookmarkEnd w:id="3938"/>
      <w:bookmarkEnd w:id="3939"/>
      <w:bookmarkEnd w:id="3940"/>
      <w:bookmarkEnd w:id="3941"/>
    </w:p>
    <w:p w14:paraId="614A66C5">
      <w:pPr>
        <w:pStyle w:val="17"/>
        <w:spacing w:after="0" w:line="400" w:lineRule="atLeast"/>
        <w:ind w:left="0" w:leftChars="0"/>
        <w:jc w:val="center"/>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402"/>
        <w:gridCol w:w="1800"/>
        <w:gridCol w:w="1440"/>
        <w:gridCol w:w="2160"/>
      </w:tblGrid>
      <w:tr w14:paraId="7019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425ED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2402" w:type="dxa"/>
            <w:noWrap w:val="0"/>
            <w:vAlign w:val="top"/>
          </w:tcPr>
          <w:p w14:paraId="2E3C19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800" w:type="dxa"/>
            <w:noWrap w:val="0"/>
            <w:vAlign w:val="top"/>
          </w:tcPr>
          <w:p w14:paraId="11553CD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c>
          <w:tcPr>
            <w:tcW w:w="1440" w:type="dxa"/>
            <w:noWrap w:val="0"/>
            <w:vAlign w:val="top"/>
          </w:tcPr>
          <w:p w14:paraId="75F55A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2160" w:type="dxa"/>
            <w:noWrap w:val="0"/>
            <w:vAlign w:val="top"/>
          </w:tcPr>
          <w:p w14:paraId="4F30A6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r>
      <w:tr w14:paraId="4BBF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355A1B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C8CAD8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87648F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ABA9A8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348706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A7A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50EB49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05FF1F4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793F62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536D6A3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66C4CA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4C2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57C0C4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06C9907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66C55C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BB2CB7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302DF9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E9D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7575F8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0F41F5F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F8547D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7FE524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E54EF2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6FA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41F411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61E846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0A2F70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12E3DC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0E11C51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F9F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51D62D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E72E80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28ADDA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E2CEC5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64C8C3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F4F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46998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43605A1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883634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21965E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A3BBBE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E3B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F9AFD4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783CB46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20B322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248C5B5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BEB944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48C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B61D3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625ED7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FEF5F0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48F029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DEABAE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C1A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076DD4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E57CAB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6DDF47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707A75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FE2908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949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C4D5F9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538A9FB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ABCEDB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E61145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02E66F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DB0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5793C3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571E57E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74533C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054CD4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C530F5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572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A16F97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5698A2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2CC249F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790D9B8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F1795F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bl>
    <w:p w14:paraId="7B0FD607">
      <w:pPr>
        <w:pStyle w:val="20"/>
        <w:rPr>
          <w:rFonts w:hint="eastAsia" w:ascii="Times New Roman" w:hAnsi="Times New Roman" w:eastAsia="黑体"/>
          <w:color w:val="auto"/>
          <w:sz w:val="24"/>
          <w:szCs w:val="24"/>
          <w:highlight w:val="none"/>
        </w:rPr>
      </w:pPr>
    </w:p>
    <w:p w14:paraId="56177873">
      <w:pPr>
        <w:spacing w:line="400" w:lineRule="atLeast"/>
        <w:ind w:left="945" w:hanging="945" w:hangingChars="45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 xml:space="preserve"> 本表后应附</w:t>
      </w:r>
      <w:r>
        <w:rPr>
          <w:color w:val="auto"/>
          <w:szCs w:val="21"/>
          <w:highlight w:val="none"/>
        </w:rPr>
        <w:t>中标通知书</w:t>
      </w:r>
      <w:r>
        <w:rPr>
          <w:rFonts w:hint="eastAsia"/>
          <w:color w:val="auto"/>
          <w:szCs w:val="21"/>
          <w:highlight w:val="none"/>
        </w:rPr>
        <w:t>（如有）、</w:t>
      </w:r>
      <w:r>
        <w:rPr>
          <w:color w:val="auto"/>
          <w:szCs w:val="21"/>
          <w:highlight w:val="none"/>
        </w:rPr>
        <w:t>合同协议书、</w:t>
      </w:r>
      <w:r>
        <w:rPr>
          <w:rFonts w:hint="eastAsia"/>
          <w:color w:val="auto"/>
          <w:szCs w:val="21"/>
          <w:highlight w:val="none"/>
        </w:rPr>
        <w:t>工程接收证书或工程竣工验收证书（工程竣工验收备案证）、表彰文件、颁奖机构颁发的获奖证书及其他证明材料等复印件。</w:t>
      </w:r>
    </w:p>
    <w:p w14:paraId="5E090AF7">
      <w:pPr>
        <w:spacing w:line="440" w:lineRule="exact"/>
        <w:rPr>
          <w:rFonts w:hint="eastAsia" w:ascii="宋体" w:hAnsi="宋体"/>
          <w:color w:val="auto"/>
          <w:szCs w:val="21"/>
          <w:highlight w:val="none"/>
        </w:rPr>
      </w:pPr>
    </w:p>
    <w:p w14:paraId="4C6C7E06">
      <w:pPr>
        <w:spacing w:line="440" w:lineRule="exact"/>
        <w:rPr>
          <w:rFonts w:hint="eastAsia" w:ascii="宋体" w:hAnsi="宋体"/>
          <w:color w:val="auto"/>
          <w:szCs w:val="21"/>
          <w:highlight w:val="none"/>
        </w:rPr>
      </w:pPr>
    </w:p>
    <w:p w14:paraId="2E9DD728">
      <w:pPr>
        <w:spacing w:line="440" w:lineRule="exact"/>
        <w:rPr>
          <w:rFonts w:hint="eastAsia" w:ascii="宋体" w:hAnsi="宋体"/>
          <w:color w:val="auto"/>
          <w:szCs w:val="21"/>
          <w:highlight w:val="none"/>
        </w:rPr>
      </w:pPr>
    </w:p>
    <w:p w14:paraId="56EB0D02">
      <w:pPr>
        <w:spacing w:line="440" w:lineRule="exact"/>
        <w:rPr>
          <w:rFonts w:hint="eastAsia" w:ascii="宋体" w:hAnsi="宋体"/>
          <w:color w:val="auto"/>
          <w:szCs w:val="21"/>
          <w:highlight w:val="none"/>
        </w:rPr>
      </w:pPr>
    </w:p>
    <w:p w14:paraId="4E90738A">
      <w:pPr>
        <w:spacing w:line="440" w:lineRule="exact"/>
        <w:rPr>
          <w:rFonts w:hint="eastAsia" w:ascii="宋体" w:hAnsi="宋体"/>
          <w:color w:val="auto"/>
          <w:szCs w:val="21"/>
          <w:highlight w:val="none"/>
        </w:rPr>
      </w:pPr>
    </w:p>
    <w:p w14:paraId="186664F6">
      <w:pPr>
        <w:rPr>
          <w:rFonts w:hint="eastAsia"/>
          <w:color w:val="auto"/>
          <w:highlight w:val="none"/>
        </w:rPr>
      </w:pPr>
      <w:r>
        <w:rPr>
          <w:color w:val="auto"/>
          <w:highlight w:val="none"/>
        </w:rPr>
        <w:br w:type="page"/>
      </w:r>
    </w:p>
    <w:p w14:paraId="1B8BD791">
      <w:pPr>
        <w:pStyle w:val="90"/>
        <w:spacing w:before="63"/>
        <w:rPr>
          <w:rFonts w:hint="eastAsia"/>
          <w:color w:val="auto"/>
          <w:sz w:val="28"/>
          <w:szCs w:val="28"/>
          <w:highlight w:val="none"/>
        </w:rPr>
      </w:pPr>
      <w:bookmarkStart w:id="3942" w:name="_Toc519085692"/>
      <w:bookmarkStart w:id="3943" w:name="_Toc3492"/>
      <w:bookmarkStart w:id="3944" w:name="_Toc12533"/>
      <w:bookmarkStart w:id="3945" w:name="_Toc271821942"/>
      <w:bookmarkStart w:id="3946" w:name="_Toc24258"/>
      <w:bookmarkStart w:id="3947" w:name="_Toc29791_WPSOffice_Level1"/>
      <w:bookmarkStart w:id="3948" w:name="_Toc13558"/>
      <w:bookmarkStart w:id="3949" w:name="_Toc10638"/>
      <w:bookmarkStart w:id="3950" w:name="_Toc10584"/>
      <w:r>
        <w:rPr>
          <w:rFonts w:hint="eastAsia"/>
          <w:color w:val="auto"/>
          <w:sz w:val="28"/>
          <w:szCs w:val="28"/>
          <w:highlight w:val="none"/>
        </w:rPr>
        <w:t>十二、其他资料</w:t>
      </w:r>
      <w:bookmarkEnd w:id="3942"/>
      <w:bookmarkEnd w:id="3943"/>
      <w:bookmarkEnd w:id="3944"/>
      <w:bookmarkEnd w:id="3945"/>
      <w:bookmarkEnd w:id="3946"/>
      <w:bookmarkEnd w:id="3947"/>
      <w:bookmarkEnd w:id="3948"/>
      <w:bookmarkEnd w:id="3949"/>
      <w:bookmarkEnd w:id="3950"/>
    </w:p>
    <w:p w14:paraId="18137360">
      <w:pPr>
        <w:spacing w:line="400" w:lineRule="exact"/>
        <w:rPr>
          <w:color w:val="auto"/>
          <w:highlight w:val="none"/>
        </w:rPr>
      </w:pPr>
    </w:p>
    <w:p w14:paraId="62214891">
      <w:pPr>
        <w:pStyle w:val="6"/>
        <w:spacing w:before="159"/>
        <w:jc w:val="center"/>
        <w:rPr>
          <w:rFonts w:hint="eastAsia"/>
          <w:color w:val="auto"/>
          <w:highlight w:val="none"/>
        </w:rPr>
      </w:pPr>
      <w:bookmarkStart w:id="3951" w:name="_Toc168475924"/>
      <w:bookmarkStart w:id="3952" w:name="_Toc168476327"/>
      <w:bookmarkStart w:id="3953" w:name="_Toc23330"/>
      <w:bookmarkStart w:id="3954" w:name="_Toc221952073"/>
      <w:bookmarkStart w:id="3955" w:name="_Toc519085656"/>
      <w:bookmarkStart w:id="3956" w:name="_Toc456173551"/>
      <w:bookmarkStart w:id="3957" w:name="_Toc24490_WPSOffice_Level2"/>
      <w:bookmarkStart w:id="3958" w:name="_Toc144974865"/>
      <w:r>
        <w:rPr>
          <w:rFonts w:hint="eastAsia"/>
          <w:color w:val="auto"/>
          <w:highlight w:val="none"/>
          <w:lang w:eastAsia="zh-CN"/>
        </w:rPr>
        <w:t>（</w:t>
      </w:r>
      <w:r>
        <w:rPr>
          <w:rFonts w:hint="eastAsia"/>
          <w:color w:val="auto"/>
          <w:highlight w:val="none"/>
          <w:lang w:val="en-US" w:eastAsia="zh-CN"/>
        </w:rPr>
        <w:t>一）</w:t>
      </w:r>
      <w:r>
        <w:rPr>
          <w:rFonts w:hint="eastAsia"/>
          <w:color w:val="auto"/>
          <w:highlight w:val="none"/>
        </w:rPr>
        <w:t>拟投入本项目的主要设备表</w:t>
      </w:r>
      <w:bookmarkEnd w:id="3951"/>
      <w:bookmarkEnd w:id="3952"/>
      <w:bookmarkEnd w:id="3953"/>
      <w:bookmarkEnd w:id="3954"/>
      <w:bookmarkEnd w:id="3955"/>
      <w:bookmarkEnd w:id="3956"/>
      <w:bookmarkEnd w:id="3957"/>
      <w:bookmarkEnd w:id="3958"/>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183"/>
        <w:gridCol w:w="829"/>
        <w:gridCol w:w="1078"/>
        <w:gridCol w:w="732"/>
        <w:gridCol w:w="804"/>
        <w:gridCol w:w="1320"/>
        <w:gridCol w:w="953"/>
        <w:gridCol w:w="1149"/>
        <w:gridCol w:w="753"/>
      </w:tblGrid>
      <w:tr w14:paraId="6D33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5560162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59" w:name="_Toc221952074"/>
            <w:r>
              <w:rPr>
                <w:rFonts w:ascii="Calibri" w:hAnsi="Calibri" w:eastAsia="宋体" w:cs="Times New Roman"/>
                <w:color w:val="auto"/>
                <w:highlight w:val="none"/>
              </w:rPr>
              <w:t>序号</w:t>
            </w:r>
            <w:bookmarkEnd w:id="3959"/>
          </w:p>
        </w:tc>
        <w:tc>
          <w:tcPr>
            <w:tcW w:w="1183" w:type="dxa"/>
            <w:noWrap w:val="0"/>
            <w:vAlign w:val="center"/>
          </w:tcPr>
          <w:p w14:paraId="3525B82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0" w:name="_Toc221952075"/>
            <w:r>
              <w:rPr>
                <w:rFonts w:ascii="Calibri" w:hAnsi="Calibri" w:eastAsia="宋体" w:cs="Times New Roman"/>
                <w:color w:val="auto"/>
                <w:highlight w:val="none"/>
              </w:rPr>
              <w:t>设备名称</w:t>
            </w:r>
            <w:bookmarkEnd w:id="3960"/>
          </w:p>
        </w:tc>
        <w:tc>
          <w:tcPr>
            <w:tcW w:w="829" w:type="dxa"/>
            <w:noWrap w:val="0"/>
            <w:vAlign w:val="center"/>
          </w:tcPr>
          <w:p w14:paraId="595BAAB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1" w:name="_Toc221952076"/>
            <w:r>
              <w:rPr>
                <w:rFonts w:ascii="Calibri" w:hAnsi="Calibri" w:eastAsia="宋体" w:cs="Times New Roman"/>
                <w:color w:val="auto"/>
                <w:highlight w:val="none"/>
              </w:rPr>
              <w:t>型号</w:t>
            </w:r>
            <w:bookmarkEnd w:id="3961"/>
          </w:p>
          <w:p w14:paraId="48BBDC1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2" w:name="_Toc221952077"/>
            <w:r>
              <w:rPr>
                <w:rFonts w:ascii="Calibri" w:hAnsi="Calibri" w:eastAsia="宋体" w:cs="Times New Roman"/>
                <w:color w:val="auto"/>
                <w:highlight w:val="none"/>
              </w:rPr>
              <w:t>规格</w:t>
            </w:r>
            <w:bookmarkEnd w:id="3962"/>
          </w:p>
        </w:tc>
        <w:tc>
          <w:tcPr>
            <w:tcW w:w="1078" w:type="dxa"/>
            <w:noWrap w:val="0"/>
            <w:vAlign w:val="center"/>
          </w:tcPr>
          <w:p w14:paraId="7865C56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3" w:name="_Toc221952078"/>
            <w:r>
              <w:rPr>
                <w:rFonts w:ascii="Calibri" w:hAnsi="Calibri" w:eastAsia="宋体" w:cs="Times New Roman"/>
                <w:color w:val="auto"/>
                <w:highlight w:val="none"/>
              </w:rPr>
              <w:t>数量</w:t>
            </w:r>
            <w:bookmarkEnd w:id="3963"/>
          </w:p>
        </w:tc>
        <w:tc>
          <w:tcPr>
            <w:tcW w:w="732" w:type="dxa"/>
            <w:noWrap w:val="0"/>
            <w:vAlign w:val="center"/>
          </w:tcPr>
          <w:p w14:paraId="482CD9A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4" w:name="_Toc221952079"/>
            <w:r>
              <w:rPr>
                <w:rFonts w:ascii="Calibri" w:hAnsi="Calibri" w:eastAsia="宋体" w:cs="Times New Roman"/>
                <w:color w:val="auto"/>
                <w:highlight w:val="none"/>
              </w:rPr>
              <w:t>国别</w:t>
            </w:r>
            <w:bookmarkEnd w:id="3964"/>
          </w:p>
          <w:p w14:paraId="13F7A24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5" w:name="_Toc221952080"/>
            <w:r>
              <w:rPr>
                <w:rFonts w:ascii="Calibri" w:hAnsi="Calibri" w:eastAsia="宋体" w:cs="Times New Roman"/>
                <w:color w:val="auto"/>
                <w:highlight w:val="none"/>
              </w:rPr>
              <w:t>产地</w:t>
            </w:r>
            <w:bookmarkEnd w:id="3965"/>
          </w:p>
        </w:tc>
        <w:tc>
          <w:tcPr>
            <w:tcW w:w="804" w:type="dxa"/>
            <w:noWrap w:val="0"/>
            <w:vAlign w:val="center"/>
          </w:tcPr>
          <w:p w14:paraId="31D2854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6" w:name="_Toc221952081"/>
            <w:r>
              <w:rPr>
                <w:rFonts w:ascii="Calibri" w:hAnsi="Calibri" w:eastAsia="宋体" w:cs="Times New Roman"/>
                <w:color w:val="auto"/>
                <w:highlight w:val="none"/>
              </w:rPr>
              <w:t>制造</w:t>
            </w:r>
            <w:bookmarkEnd w:id="3966"/>
          </w:p>
          <w:p w14:paraId="74048F4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7" w:name="_Toc221952082"/>
            <w:r>
              <w:rPr>
                <w:rFonts w:ascii="Calibri" w:hAnsi="Calibri" w:eastAsia="宋体" w:cs="Times New Roman"/>
                <w:color w:val="auto"/>
                <w:highlight w:val="none"/>
              </w:rPr>
              <w:t>年份</w:t>
            </w:r>
            <w:bookmarkEnd w:id="3967"/>
          </w:p>
        </w:tc>
        <w:tc>
          <w:tcPr>
            <w:tcW w:w="1320" w:type="dxa"/>
            <w:noWrap w:val="0"/>
            <w:vAlign w:val="center"/>
          </w:tcPr>
          <w:p w14:paraId="1E71789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8" w:name="_Toc221952083"/>
            <w:r>
              <w:rPr>
                <w:rFonts w:ascii="Calibri" w:hAnsi="Calibri" w:eastAsia="宋体" w:cs="Times New Roman"/>
                <w:color w:val="auto"/>
                <w:highlight w:val="none"/>
              </w:rPr>
              <w:t>额定功率（</w:t>
            </w:r>
            <w:r>
              <w:rPr>
                <w:rFonts w:hint="eastAsia" w:ascii="Calibri" w:hAnsi="Calibri" w:eastAsia="宋体" w:cs="Times New Roman"/>
                <w:color w:val="auto"/>
                <w:highlight w:val="none"/>
              </w:rPr>
              <w:t>K</w:t>
            </w:r>
            <w:r>
              <w:rPr>
                <w:rFonts w:ascii="Calibri" w:hAnsi="Calibri" w:eastAsia="宋体" w:cs="Times New Roman"/>
                <w:color w:val="auto"/>
                <w:highlight w:val="none"/>
              </w:rPr>
              <w:t>W）</w:t>
            </w:r>
            <w:bookmarkEnd w:id="3968"/>
          </w:p>
        </w:tc>
        <w:tc>
          <w:tcPr>
            <w:tcW w:w="953" w:type="dxa"/>
            <w:noWrap w:val="0"/>
            <w:vAlign w:val="center"/>
          </w:tcPr>
          <w:p w14:paraId="2C8D677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9" w:name="_Toc221952084"/>
            <w:r>
              <w:rPr>
                <w:rFonts w:ascii="Calibri" w:hAnsi="Calibri" w:eastAsia="宋体" w:cs="Times New Roman"/>
                <w:color w:val="auto"/>
                <w:highlight w:val="none"/>
              </w:rPr>
              <w:t>生产</w:t>
            </w:r>
            <w:bookmarkEnd w:id="3969"/>
          </w:p>
          <w:p w14:paraId="36366AB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70" w:name="_Toc221952085"/>
            <w:r>
              <w:rPr>
                <w:rFonts w:ascii="Calibri" w:hAnsi="Calibri" w:eastAsia="宋体" w:cs="Times New Roman"/>
                <w:color w:val="auto"/>
                <w:highlight w:val="none"/>
              </w:rPr>
              <w:t>能力</w:t>
            </w:r>
            <w:bookmarkEnd w:id="3970"/>
          </w:p>
        </w:tc>
        <w:tc>
          <w:tcPr>
            <w:tcW w:w="1149" w:type="dxa"/>
            <w:noWrap w:val="0"/>
            <w:vAlign w:val="center"/>
          </w:tcPr>
          <w:p w14:paraId="455C22E6">
            <w:pPr>
              <w:keepNext w:val="0"/>
              <w:keepLines w:val="0"/>
              <w:suppressLineNumbers w:val="0"/>
              <w:spacing w:before="0" w:beforeAutospacing="0" w:after="0" w:afterAutospacing="0" w:line="380" w:lineRule="atLeast"/>
              <w:ind w:left="0" w:right="0"/>
              <w:jc w:val="center"/>
              <w:rPr>
                <w:rFonts w:hint="eastAsia" w:ascii="Calibri" w:hAnsi="Calibri" w:eastAsia="宋体" w:cs="Times New Roman"/>
                <w:color w:val="auto"/>
                <w:highlight w:val="none"/>
              </w:rPr>
            </w:pPr>
            <w:bookmarkStart w:id="3971" w:name="_Toc221952086"/>
            <w:r>
              <w:rPr>
                <w:rFonts w:ascii="Calibri" w:hAnsi="Calibri" w:eastAsia="宋体" w:cs="Times New Roman"/>
                <w:color w:val="auto"/>
                <w:highlight w:val="none"/>
              </w:rPr>
              <w:t>用于施工</w:t>
            </w:r>
          </w:p>
          <w:p w14:paraId="1093DC6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r>
              <w:rPr>
                <w:rFonts w:ascii="Calibri" w:hAnsi="Calibri" w:eastAsia="宋体" w:cs="Times New Roman"/>
                <w:color w:val="auto"/>
                <w:highlight w:val="none"/>
              </w:rPr>
              <w:t>部位</w:t>
            </w:r>
            <w:bookmarkEnd w:id="3971"/>
          </w:p>
        </w:tc>
        <w:tc>
          <w:tcPr>
            <w:tcW w:w="753" w:type="dxa"/>
            <w:noWrap w:val="0"/>
            <w:vAlign w:val="center"/>
          </w:tcPr>
          <w:p w14:paraId="452FF6B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72" w:name="_Toc221952087"/>
            <w:r>
              <w:rPr>
                <w:rFonts w:ascii="Calibri" w:hAnsi="Calibri" w:eastAsia="宋体" w:cs="Times New Roman"/>
                <w:color w:val="auto"/>
                <w:highlight w:val="none"/>
              </w:rPr>
              <w:t>备注</w:t>
            </w:r>
            <w:bookmarkEnd w:id="3972"/>
          </w:p>
        </w:tc>
      </w:tr>
      <w:tr w14:paraId="37D5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2999D95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center"/>
          </w:tcPr>
          <w:p w14:paraId="66AC3A4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6CBDAE4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center"/>
          </w:tcPr>
          <w:p w14:paraId="542E10A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center"/>
          </w:tcPr>
          <w:p w14:paraId="46DF7D3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center"/>
          </w:tcPr>
          <w:p w14:paraId="2F15945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center"/>
          </w:tcPr>
          <w:p w14:paraId="3760BE3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center"/>
          </w:tcPr>
          <w:p w14:paraId="724500E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center"/>
          </w:tcPr>
          <w:p w14:paraId="6257196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center"/>
          </w:tcPr>
          <w:p w14:paraId="04752E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662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312AAA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center"/>
          </w:tcPr>
          <w:p w14:paraId="781F635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27A40B7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center"/>
          </w:tcPr>
          <w:p w14:paraId="7410222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center"/>
          </w:tcPr>
          <w:p w14:paraId="2B3E857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center"/>
          </w:tcPr>
          <w:p w14:paraId="65E1035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center"/>
          </w:tcPr>
          <w:p w14:paraId="55C0851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center"/>
          </w:tcPr>
          <w:p w14:paraId="0FAEC86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center"/>
          </w:tcPr>
          <w:p w14:paraId="1CD9269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center"/>
          </w:tcPr>
          <w:p w14:paraId="46D8D9B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4D4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241E0B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FEB076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0D62202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B2B6F9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5E0063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30DAC5A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8E81AA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9083CD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4E61EC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76E611E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642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5BAA9E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A8F655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282CF86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1E3525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DDC00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728EC0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9DBC86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AC18C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09F895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C4C6E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CA2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F76AFF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098701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E00AD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4822568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6A3F3C8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173912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74578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B47A10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D9BCD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140948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170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B9B828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1D3F73D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57CD41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43BC477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7A3A5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4BD9C0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6D2513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1204E1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A8645E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6FDF402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3C2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08B3BA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29DA2E7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DE103B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3F9DC7F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C8D56D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C3E0FB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74180A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67DDD0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54BF5B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B58587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9EB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44B6DB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3684D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50F551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9EC13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52A23F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187BF5C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4777BE6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8664C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616D7E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6E98062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825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0F34C7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735A4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C6D6A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0C3F2C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1B352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77EDCF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652D4D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276F5D8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0D149D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7833497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AFE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4E4AD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B017E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877E93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F44FD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AD8FE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7BF255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4A3C21D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51990B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E8B540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2F3DC0B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523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9339E1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8A0B4A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BC4A08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51B9A6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618AB43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128FDD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04B3D33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40F7AD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3AE961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3E54A18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289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86EF2D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8F9B3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6C9EF5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53486B7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56B3D03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46624D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415F86C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08A783F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3F257A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470A1A2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FF2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B5634D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E9C9C1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964FD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8A4FB6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29BEBA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53824A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747C4CA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EC65B3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5858886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216BB4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747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450708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0C87F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92A307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3BE716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CE1102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4E3B8D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258E7E8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6FF5B2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FAF831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7E29311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760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53D6B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E3E14B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A26FE6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94EA4C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453745E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AC215A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1410DA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02A0CF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B71A0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2A816A6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279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A1CC41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DC458D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9A3223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25B86F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30E69D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3B1D9A4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7DB027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07B2CE6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2319ED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46DA87C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D44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E51B60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8C521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0FCE3FB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77B82E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92BBE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7A6262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FD7903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6CCD4F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20DA84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69CFED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B4E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220272A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042339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60D6D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5DDAAF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CD8562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37ABA1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9E9E18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52E43B4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26CCACF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63B264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CE8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3C9B48E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567F54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E9D21B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8A86C3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1BE943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92C83C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0C889DB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2DF6513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234002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2F924B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D1D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EB4956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1744A70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88E186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973EB1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3EF5EE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0B862A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A968F1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75A00B5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4BE3F2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6CC2711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AE0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48600C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211BAD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16D22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7C1DA9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069B51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F27259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A98D4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8A940F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74D4E5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3A770CD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50C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2B1602E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A7C3DC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9A0D60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339FA4A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53D50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17E646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4649AC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798D00D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90D874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10C6160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403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CA858F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61C55D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9C3F57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3B7A15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E61369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1BC1E5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26FFE7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6EB7BF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5C114F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6710DE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bl>
    <w:p w14:paraId="1ACC3207">
      <w:pPr>
        <w:rPr>
          <w:color w:val="auto"/>
          <w:highlight w:val="none"/>
        </w:rPr>
      </w:pPr>
      <w:bookmarkStart w:id="3973" w:name="_Toc17016"/>
      <w:bookmarkStart w:id="3974" w:name="_Toc168475925"/>
      <w:bookmarkStart w:id="3975" w:name="_Toc28631_WPSOffice_Level2"/>
      <w:bookmarkStart w:id="3976" w:name="_Toc168476328"/>
      <w:bookmarkStart w:id="3977" w:name="_Toc221952088"/>
      <w:bookmarkStart w:id="3978" w:name="_Toc456173552"/>
      <w:bookmarkStart w:id="3979" w:name="_Toc519085657"/>
      <w:r>
        <w:rPr>
          <w:color w:val="auto"/>
          <w:highlight w:val="none"/>
        </w:rPr>
        <w:br w:type="page"/>
      </w:r>
    </w:p>
    <w:p w14:paraId="643D059A">
      <w:pPr>
        <w:pStyle w:val="6"/>
        <w:spacing w:before="159"/>
        <w:jc w:val="center"/>
        <w:rPr>
          <w:rFonts w:hint="eastAsia"/>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rPr>
        <w:t>拟投入本项目的试验和检测仪器设备表</w:t>
      </w:r>
      <w:bookmarkEnd w:id="3973"/>
      <w:bookmarkEnd w:id="3974"/>
      <w:bookmarkEnd w:id="3975"/>
      <w:bookmarkEnd w:id="3976"/>
      <w:bookmarkEnd w:id="3977"/>
      <w:bookmarkEnd w:id="3978"/>
      <w:bookmarkEnd w:id="3979"/>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85"/>
        <w:gridCol w:w="829"/>
        <w:gridCol w:w="1080"/>
        <w:gridCol w:w="733"/>
        <w:gridCol w:w="805"/>
        <w:gridCol w:w="1321"/>
        <w:gridCol w:w="1801"/>
        <w:gridCol w:w="749"/>
      </w:tblGrid>
      <w:tr w14:paraId="383E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18CE1AE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0" w:name="_Toc221952089"/>
            <w:r>
              <w:rPr>
                <w:rFonts w:ascii="Calibri" w:hAnsi="Calibri" w:eastAsia="宋体" w:cs="Times New Roman"/>
                <w:color w:val="auto"/>
                <w:highlight w:val="none"/>
              </w:rPr>
              <w:t>序号</w:t>
            </w:r>
            <w:bookmarkEnd w:id="3980"/>
          </w:p>
        </w:tc>
        <w:tc>
          <w:tcPr>
            <w:tcW w:w="1185" w:type="dxa"/>
            <w:noWrap w:val="0"/>
            <w:vAlign w:val="center"/>
          </w:tcPr>
          <w:p w14:paraId="5643676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1" w:name="_Toc221952090"/>
            <w:r>
              <w:rPr>
                <w:rFonts w:ascii="Calibri" w:hAnsi="Calibri" w:eastAsia="宋体" w:cs="Times New Roman"/>
                <w:color w:val="auto"/>
                <w:highlight w:val="none"/>
              </w:rPr>
              <w:t>仪器设备名称</w:t>
            </w:r>
            <w:bookmarkEnd w:id="3981"/>
          </w:p>
        </w:tc>
        <w:tc>
          <w:tcPr>
            <w:tcW w:w="829" w:type="dxa"/>
            <w:noWrap w:val="0"/>
            <w:vAlign w:val="center"/>
          </w:tcPr>
          <w:p w14:paraId="799DC58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2" w:name="_Toc221952091"/>
            <w:r>
              <w:rPr>
                <w:rFonts w:ascii="Calibri" w:hAnsi="Calibri" w:eastAsia="宋体" w:cs="Times New Roman"/>
                <w:color w:val="auto"/>
                <w:highlight w:val="none"/>
              </w:rPr>
              <w:t>型号</w:t>
            </w:r>
            <w:bookmarkEnd w:id="3982"/>
          </w:p>
          <w:p w14:paraId="1FF627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3" w:name="_Toc221952092"/>
            <w:r>
              <w:rPr>
                <w:rFonts w:ascii="Calibri" w:hAnsi="Calibri" w:eastAsia="宋体" w:cs="Times New Roman"/>
                <w:color w:val="auto"/>
                <w:highlight w:val="none"/>
              </w:rPr>
              <w:t>规格</w:t>
            </w:r>
            <w:bookmarkEnd w:id="3983"/>
          </w:p>
        </w:tc>
        <w:tc>
          <w:tcPr>
            <w:tcW w:w="1080" w:type="dxa"/>
            <w:noWrap w:val="0"/>
            <w:vAlign w:val="center"/>
          </w:tcPr>
          <w:p w14:paraId="7FB6C12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4" w:name="_Toc221952093"/>
            <w:r>
              <w:rPr>
                <w:rFonts w:ascii="Calibri" w:hAnsi="Calibri" w:eastAsia="宋体" w:cs="Times New Roman"/>
                <w:color w:val="auto"/>
                <w:highlight w:val="none"/>
              </w:rPr>
              <w:t>数量</w:t>
            </w:r>
            <w:bookmarkEnd w:id="3984"/>
          </w:p>
        </w:tc>
        <w:tc>
          <w:tcPr>
            <w:tcW w:w="733" w:type="dxa"/>
            <w:noWrap w:val="0"/>
            <w:vAlign w:val="center"/>
          </w:tcPr>
          <w:p w14:paraId="3A5C29D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5" w:name="_Toc221952094"/>
            <w:r>
              <w:rPr>
                <w:rFonts w:ascii="Calibri" w:hAnsi="Calibri" w:eastAsia="宋体" w:cs="Times New Roman"/>
                <w:color w:val="auto"/>
                <w:highlight w:val="none"/>
              </w:rPr>
              <w:t>国别</w:t>
            </w:r>
            <w:bookmarkEnd w:id="3985"/>
          </w:p>
          <w:p w14:paraId="13484C2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6" w:name="_Toc221952095"/>
            <w:r>
              <w:rPr>
                <w:rFonts w:ascii="Calibri" w:hAnsi="Calibri" w:eastAsia="宋体" w:cs="Times New Roman"/>
                <w:color w:val="auto"/>
                <w:highlight w:val="none"/>
              </w:rPr>
              <w:t>产地</w:t>
            </w:r>
            <w:bookmarkEnd w:id="3986"/>
          </w:p>
        </w:tc>
        <w:tc>
          <w:tcPr>
            <w:tcW w:w="805" w:type="dxa"/>
            <w:noWrap w:val="0"/>
            <w:vAlign w:val="center"/>
          </w:tcPr>
          <w:p w14:paraId="69F30C9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7" w:name="_Toc221952096"/>
            <w:r>
              <w:rPr>
                <w:rFonts w:ascii="Calibri" w:hAnsi="Calibri" w:eastAsia="宋体" w:cs="Times New Roman"/>
                <w:color w:val="auto"/>
                <w:highlight w:val="none"/>
              </w:rPr>
              <w:t>制造</w:t>
            </w:r>
            <w:bookmarkEnd w:id="3987"/>
          </w:p>
          <w:p w14:paraId="5542AF2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8" w:name="_Toc221952097"/>
            <w:r>
              <w:rPr>
                <w:rFonts w:ascii="Calibri" w:hAnsi="Calibri" w:eastAsia="宋体" w:cs="Times New Roman"/>
                <w:color w:val="auto"/>
                <w:highlight w:val="none"/>
              </w:rPr>
              <w:t>年份</w:t>
            </w:r>
            <w:bookmarkEnd w:id="3988"/>
          </w:p>
        </w:tc>
        <w:tc>
          <w:tcPr>
            <w:tcW w:w="1321" w:type="dxa"/>
            <w:noWrap w:val="0"/>
            <w:vAlign w:val="center"/>
          </w:tcPr>
          <w:p w14:paraId="3F9EC01B">
            <w:pPr>
              <w:keepNext w:val="0"/>
              <w:keepLines w:val="0"/>
              <w:suppressLineNumbers w:val="0"/>
              <w:spacing w:before="0" w:beforeAutospacing="0" w:after="0" w:afterAutospacing="0" w:line="380" w:lineRule="atLeast"/>
              <w:ind w:left="0" w:right="0"/>
              <w:jc w:val="center"/>
              <w:rPr>
                <w:rFonts w:hint="eastAsia" w:ascii="Calibri" w:hAnsi="Calibri" w:eastAsia="宋体" w:cs="Times New Roman"/>
                <w:color w:val="auto"/>
                <w:highlight w:val="none"/>
              </w:rPr>
            </w:pPr>
            <w:bookmarkStart w:id="3989" w:name="_Toc221952098"/>
            <w:r>
              <w:rPr>
                <w:rFonts w:ascii="Calibri" w:hAnsi="Calibri" w:eastAsia="宋体" w:cs="Times New Roman"/>
                <w:color w:val="auto"/>
                <w:highlight w:val="none"/>
              </w:rPr>
              <w:t>已使用</w:t>
            </w:r>
          </w:p>
          <w:p w14:paraId="64CF4B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r>
              <w:rPr>
                <w:rFonts w:ascii="Calibri" w:hAnsi="Calibri" w:eastAsia="宋体" w:cs="Times New Roman"/>
                <w:color w:val="auto"/>
                <w:highlight w:val="none"/>
              </w:rPr>
              <w:t>台时数</w:t>
            </w:r>
            <w:bookmarkEnd w:id="3989"/>
          </w:p>
        </w:tc>
        <w:tc>
          <w:tcPr>
            <w:tcW w:w="1801" w:type="dxa"/>
            <w:noWrap w:val="0"/>
            <w:vAlign w:val="center"/>
          </w:tcPr>
          <w:p w14:paraId="19DD0C2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90" w:name="_Toc221952099"/>
            <w:r>
              <w:rPr>
                <w:rFonts w:ascii="Calibri" w:hAnsi="Calibri" w:eastAsia="宋体" w:cs="Times New Roman"/>
                <w:color w:val="auto"/>
                <w:highlight w:val="none"/>
              </w:rPr>
              <w:t>用途</w:t>
            </w:r>
            <w:bookmarkEnd w:id="3990"/>
          </w:p>
        </w:tc>
        <w:tc>
          <w:tcPr>
            <w:tcW w:w="749" w:type="dxa"/>
            <w:noWrap w:val="0"/>
            <w:vAlign w:val="center"/>
          </w:tcPr>
          <w:p w14:paraId="79FE284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91" w:name="_Toc221952100"/>
            <w:r>
              <w:rPr>
                <w:rFonts w:ascii="Calibri" w:hAnsi="Calibri" w:eastAsia="宋体" w:cs="Times New Roman"/>
                <w:color w:val="auto"/>
                <w:highlight w:val="none"/>
              </w:rPr>
              <w:t>备注</w:t>
            </w:r>
            <w:bookmarkEnd w:id="3991"/>
          </w:p>
        </w:tc>
      </w:tr>
      <w:tr w14:paraId="671A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04894A2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center"/>
          </w:tcPr>
          <w:p w14:paraId="603508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28569B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center"/>
          </w:tcPr>
          <w:p w14:paraId="06D3CC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center"/>
          </w:tcPr>
          <w:p w14:paraId="1C8E1B2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center"/>
          </w:tcPr>
          <w:p w14:paraId="76BE247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center"/>
          </w:tcPr>
          <w:p w14:paraId="64E00A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center"/>
          </w:tcPr>
          <w:p w14:paraId="43C6FEF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center"/>
          </w:tcPr>
          <w:p w14:paraId="50BC42C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725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17A962E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center"/>
          </w:tcPr>
          <w:p w14:paraId="58511C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6838036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center"/>
          </w:tcPr>
          <w:p w14:paraId="3174E2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center"/>
          </w:tcPr>
          <w:p w14:paraId="2CFFB2F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center"/>
          </w:tcPr>
          <w:p w14:paraId="26F6B9A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center"/>
          </w:tcPr>
          <w:p w14:paraId="0A6B00D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center"/>
          </w:tcPr>
          <w:p w14:paraId="65FE011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center"/>
          </w:tcPr>
          <w:p w14:paraId="1BC59B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281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1C352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0D11960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15EE74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4BF170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E6D9C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67C000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2F4738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D1FE3F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7B0ADF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56B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101EA0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D38912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AB4735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42223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4B50B0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C3231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20F0AFD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2E3F4F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B8169C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A2E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38FA50E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49DB04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FA972D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7E0168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8DC623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0E3961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1ECA4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B161FC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0179D9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B38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772812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CEB1F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B64062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7B84C93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1F0849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6A8D321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3E6552D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10D25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3435CCE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285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958C4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03DA71B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A2476F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34C5838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5474A3B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65F5AF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DC07B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49F7D2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DFE54A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59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4CFA86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9922B4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2BCB68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55DE7B4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1AA6F1E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289EF1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2F861E1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1E6064B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40C8A8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2F0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306A8A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672B7CE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EC413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23B4ED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734C8F4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11A0794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47F54CB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17EF52F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0B1431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1CD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BD014B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434437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475E57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27CAED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43476F6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ACC77C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420ED3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DE182F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1DB67C5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0E0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55CE57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D97BE7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36869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3748E9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872096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6E4112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A3B9F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15CCB64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34FAEFA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22C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4BEE5B6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6673C3D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0ACE17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C648E6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626E6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8E9794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7285AE7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4EE77D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1B4E8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BF2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7845B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2ADA73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150827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19F49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67B65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E50E43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2D279E6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E218CF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17E4AFE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B09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1050034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2693A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A1FC0C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5B5E48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ADF48A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2380F3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CA379D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0D1A333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45433D6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BD2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5E22FE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1BD01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8010C0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23644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5D044E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600DB7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F23D2A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3220D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057258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25B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B10C66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1185042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B9FB4B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50330E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066D05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6FC104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82EC0B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C9B49B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E4628F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15D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F8BB5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2329E0C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79BD4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7732F9F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0560008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3B5D4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7FDE53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5906667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FF5DA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EE8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3D020B7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F47967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C55E70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175776E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178862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9EE365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1CB3E8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0A18F9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480B917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BD1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AF4EED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232A61C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DB1767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5A1F70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0016FB7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4DB696D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122ACC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4FB9EB2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989F25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F94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E41223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8FA9A6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3BD13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287189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6F834F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64615E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428E69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0543C8B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5E2C9B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1B8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D467E7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642CED7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D56ADB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7A2E0A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E2E73D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6712869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85456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02C7A6A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D558C8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3A0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503F5C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1EAE51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59B389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3775273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56648F3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949263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51D66C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24E5226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639A4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289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1EACABC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18296B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69797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034F73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02582B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15FF7B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26ECD3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26C457F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E4CB0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bl>
    <w:p w14:paraId="1D8405E1">
      <w:pPr>
        <w:pStyle w:val="6"/>
        <w:bidi w:val="0"/>
        <w:rPr>
          <w:rFonts w:hint="eastAsia" w:ascii="Arial" w:hAnsi="Arial" w:eastAsia="宋体" w:cs="Times New Roman"/>
          <w:bCs/>
          <w:color w:val="auto"/>
          <w:kern w:val="2"/>
          <w:sz w:val="24"/>
          <w:szCs w:val="28"/>
          <w:highlight w:val="none"/>
          <w:lang w:val="en-US" w:eastAsia="zh-CN" w:bidi="ar-SA"/>
        </w:rPr>
      </w:pPr>
      <w:r>
        <w:rPr>
          <w:rFonts w:eastAsia="黑体"/>
          <w:color w:val="auto"/>
          <w:sz w:val="20"/>
          <w:szCs w:val="20"/>
          <w:highlight w:val="none"/>
        </w:rPr>
        <w:br w:type="page"/>
      </w:r>
      <w:r>
        <w:rPr>
          <w:rFonts w:hint="eastAsia" w:ascii="Arial" w:hAnsi="Arial" w:eastAsia="宋体" w:cs="Times New Roman"/>
          <w:bCs/>
          <w:color w:val="auto"/>
          <w:kern w:val="2"/>
          <w:sz w:val="24"/>
          <w:szCs w:val="28"/>
          <w:highlight w:val="none"/>
          <w:lang w:val="en-US" w:eastAsia="zh-CN" w:bidi="ar-SA"/>
        </w:rPr>
        <w:t>（三）其他资料</w:t>
      </w:r>
    </w:p>
    <w:p w14:paraId="017FA965">
      <w:pPr>
        <w:pStyle w:val="4"/>
        <w:spacing w:before="63" w:after="156"/>
        <w:ind w:firstLine="420" w:firstLineChars="200"/>
        <w:jc w:val="both"/>
        <w:rPr>
          <w:rFonts w:hint="eastAsia" w:ascii="Arial" w:hAnsi="Arial" w:eastAsia="黑体" w:cs="宋体"/>
          <w:bCs w:val="0"/>
          <w:color w:val="auto"/>
          <w:kern w:val="2"/>
          <w:sz w:val="28"/>
          <w:szCs w:val="28"/>
          <w:highlight w:val="none"/>
          <w:lang w:val="en-US" w:eastAsia="zh-CN" w:bidi="ar-SA"/>
        </w:rPr>
      </w:pPr>
      <w:r>
        <w:rPr>
          <w:rFonts w:hint="eastAsia" w:ascii="宋体" w:hAnsi="宋体" w:eastAsia="宋体" w:cs="Times New Roman"/>
          <w:bCs w:val="0"/>
          <w:color w:val="auto"/>
          <w:kern w:val="2"/>
          <w:sz w:val="21"/>
          <w:szCs w:val="21"/>
          <w:highlight w:val="none"/>
          <w:lang w:val="en-US" w:eastAsia="zh-CN" w:bidi="ar-SA"/>
        </w:rPr>
        <w:br w:type="page"/>
      </w:r>
      <w:bookmarkStart w:id="3992" w:name="_Toc12119"/>
      <w:bookmarkStart w:id="3993" w:name="_Toc22465"/>
      <w:bookmarkStart w:id="3994" w:name="_Toc13459"/>
      <w:bookmarkStart w:id="3995" w:name="_Toc356836516"/>
      <w:bookmarkStart w:id="3996" w:name="_Toc477283145"/>
      <w:bookmarkStart w:id="3997" w:name="_Toc18911"/>
      <w:bookmarkStart w:id="3998" w:name="_Toc422466739"/>
      <w:bookmarkStart w:id="3999" w:name="_Toc355802499"/>
      <w:bookmarkStart w:id="4000" w:name="_Toc470172720"/>
      <w:bookmarkStart w:id="4001" w:name="_Toc432149016"/>
      <w:bookmarkStart w:id="4002" w:name="_Toc923"/>
      <w:r>
        <w:rPr>
          <w:rFonts w:hint="eastAsia" w:ascii="Arial" w:hAnsi="Arial" w:eastAsia="黑体" w:cs="宋体"/>
          <w:bCs w:val="0"/>
          <w:color w:val="auto"/>
          <w:kern w:val="2"/>
          <w:sz w:val="28"/>
          <w:szCs w:val="28"/>
          <w:highlight w:val="none"/>
          <w:lang w:val="en-US" w:eastAsia="zh-CN" w:bidi="ar-SA"/>
        </w:rPr>
        <w:t>十三、中小企业声明函</w:t>
      </w:r>
      <w:bookmarkEnd w:id="3992"/>
      <w:bookmarkEnd w:id="3993"/>
      <w:bookmarkEnd w:id="3994"/>
      <w:bookmarkEnd w:id="3995"/>
      <w:bookmarkEnd w:id="3996"/>
      <w:bookmarkEnd w:id="3997"/>
      <w:bookmarkEnd w:id="3998"/>
      <w:bookmarkEnd w:id="3999"/>
      <w:bookmarkEnd w:id="4000"/>
      <w:bookmarkEnd w:id="4001"/>
      <w:bookmarkEnd w:id="4002"/>
    </w:p>
    <w:p w14:paraId="2514AE2C">
      <w:pPr>
        <w:rPr>
          <w:rFonts w:hint="eastAsia" w:ascii="宋体" w:hAnsi="宋体" w:cs="宋体"/>
          <w:color w:val="auto"/>
          <w:szCs w:val="21"/>
          <w:highlight w:val="none"/>
        </w:rPr>
      </w:pPr>
    </w:p>
    <w:p w14:paraId="4617E4F5">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 号）的规定，本公司（联合体）参加 （单位名称） 的 （项目名称） 招标活动，工程的施工单位全部为符合政策要求的中小企业（或者：服务全部由符合政策要求的中小企业承接）。相关企业（含联合体中的中小企业、签订分包意向协议的中小企业）的具体情况如下：</w:t>
      </w:r>
    </w:p>
    <w:p w14:paraId="323AA729">
      <w:pPr>
        <w:spacing w:line="360" w:lineRule="auto"/>
        <w:ind w:firstLine="504" w:firstLineChars="200"/>
        <w:rPr>
          <w:rFonts w:hint="eastAsia" w:ascii="宋体" w:hAnsi="宋体" w:cs="宋体"/>
          <w:color w:val="auto"/>
          <w:spacing w:val="6"/>
          <w:sz w:val="24"/>
          <w:highlight w:val="none"/>
          <w:u w:val="single"/>
        </w:rPr>
      </w:pPr>
      <w:r>
        <w:rPr>
          <w:rFonts w:hint="eastAsia" w:ascii="宋体" w:hAnsi="宋体" w:cs="宋体"/>
          <w:color w:val="auto"/>
          <w:spacing w:val="6"/>
          <w:sz w:val="24"/>
          <w:highlight w:val="none"/>
        </w:rPr>
        <w:t>1.</w:t>
      </w:r>
      <w:r>
        <w:rPr>
          <w:rFonts w:hint="eastAsia" w:ascii="宋体" w:hAnsi="宋体" w:cs="宋体"/>
          <w:color w:val="auto"/>
          <w:spacing w:val="6"/>
          <w:sz w:val="24"/>
          <w:highlight w:val="none"/>
          <w:u w:val="single"/>
        </w:rPr>
        <w:t xml:space="preserve"> （标的名称） </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 xml:space="preserve"> （招标文件中明确的所属行业） </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 xml:space="preserve"> （企业名称）  </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4E6FD8E1">
      <w:pPr>
        <w:spacing w:line="360" w:lineRule="auto"/>
        <w:ind w:firstLine="504" w:firstLineChars="200"/>
        <w:rPr>
          <w:rFonts w:hint="eastAsia" w:ascii="宋体" w:hAnsi="宋体" w:cs="宋体"/>
          <w:color w:val="auto"/>
          <w:spacing w:val="6"/>
          <w:sz w:val="24"/>
          <w:highlight w:val="none"/>
          <w:u w:val="single"/>
        </w:rPr>
      </w:pPr>
      <w:r>
        <w:rPr>
          <w:rFonts w:hint="eastAsia" w:ascii="宋体" w:hAnsi="宋体" w:cs="宋体"/>
          <w:color w:val="auto"/>
          <w:spacing w:val="6"/>
          <w:sz w:val="24"/>
          <w:highlight w:val="none"/>
        </w:rPr>
        <w:t>2.</w:t>
      </w:r>
      <w:r>
        <w:rPr>
          <w:rFonts w:hint="eastAsia" w:ascii="宋体" w:hAnsi="宋体" w:cs="宋体"/>
          <w:color w:val="auto"/>
          <w:spacing w:val="6"/>
          <w:sz w:val="24"/>
          <w:highlight w:val="none"/>
          <w:u w:val="single"/>
        </w:rPr>
        <w:t xml:space="preserve"> （标的名称） </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 xml:space="preserve"> （招标文件中明确的所属行业） </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 xml:space="preserve"> （企业名称）  </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0CF05841">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w:t>
      </w:r>
    </w:p>
    <w:p w14:paraId="29543348">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以上企业，不属于大企业的分支机构，不存在控股股东为大企业的情形，也不存在与大企业的负责人为同一人的情形。</w:t>
      </w:r>
    </w:p>
    <w:p w14:paraId="49B37E63">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本企业对上述声明内容的真实性负责。如有虚假，将依法承担相应责任。</w:t>
      </w:r>
    </w:p>
    <w:p w14:paraId="2D5CCCA5">
      <w:pPr>
        <w:spacing w:line="360" w:lineRule="auto"/>
        <w:ind w:right="1008" w:firstLine="4788" w:firstLineChars="1900"/>
        <w:rPr>
          <w:rFonts w:hint="eastAsia" w:ascii="宋体" w:hAnsi="宋体" w:cs="宋体"/>
          <w:color w:val="auto"/>
          <w:spacing w:val="6"/>
          <w:sz w:val="24"/>
          <w:highlight w:val="none"/>
        </w:rPr>
      </w:pPr>
    </w:p>
    <w:p w14:paraId="058EE2DB">
      <w:pPr>
        <w:spacing w:line="360" w:lineRule="auto"/>
        <w:ind w:right="1008" w:firstLine="4788" w:firstLineChars="1900"/>
        <w:rPr>
          <w:rFonts w:hint="eastAsia" w:ascii="宋体" w:hAnsi="宋体" w:cs="宋体"/>
          <w:color w:val="auto"/>
          <w:spacing w:val="6"/>
          <w:sz w:val="24"/>
          <w:highlight w:val="none"/>
        </w:rPr>
      </w:pPr>
      <w:r>
        <w:rPr>
          <w:rFonts w:hint="eastAsia" w:ascii="宋体" w:hAnsi="宋体" w:cs="宋体"/>
          <w:color w:val="auto"/>
          <w:spacing w:val="6"/>
          <w:sz w:val="24"/>
          <w:highlight w:val="none"/>
        </w:rPr>
        <w:t>企业名称（盖章）：</w:t>
      </w:r>
    </w:p>
    <w:p w14:paraId="7BBB8038">
      <w:pPr>
        <w:spacing w:line="360" w:lineRule="auto"/>
        <w:ind w:right="1008" w:firstLine="4788" w:firstLineChars="1900"/>
        <w:rPr>
          <w:rFonts w:hint="eastAsia" w:ascii="宋体" w:hAnsi="宋体" w:cs="宋体"/>
          <w:color w:val="auto"/>
          <w:spacing w:val="6"/>
          <w:sz w:val="24"/>
          <w:highlight w:val="none"/>
        </w:rPr>
      </w:pPr>
      <w:r>
        <w:rPr>
          <w:rFonts w:hint="eastAsia" w:ascii="宋体" w:hAnsi="宋体" w:cs="宋体"/>
          <w:color w:val="auto"/>
          <w:spacing w:val="6"/>
          <w:sz w:val="24"/>
          <w:highlight w:val="none"/>
        </w:rPr>
        <w:t>日 期：</w:t>
      </w:r>
    </w:p>
    <w:p w14:paraId="37BD7A9C">
      <w:pPr>
        <w:spacing w:line="360" w:lineRule="auto"/>
        <w:ind w:firstLine="504" w:firstLineChars="200"/>
        <w:rPr>
          <w:rFonts w:hint="eastAsia" w:ascii="宋体" w:hAnsi="宋体" w:cs="宋体"/>
          <w:color w:val="auto"/>
          <w:spacing w:val="6"/>
          <w:sz w:val="24"/>
          <w:highlight w:val="none"/>
        </w:rPr>
      </w:pPr>
    </w:p>
    <w:p w14:paraId="369A64C5">
      <w:pPr>
        <w:spacing w:line="360" w:lineRule="auto"/>
        <w:ind w:firstLine="446" w:firstLineChars="200"/>
        <w:rPr>
          <w:rFonts w:hint="eastAsia" w:ascii="宋体" w:hAnsi="宋体" w:cs="宋体"/>
          <w:color w:val="auto"/>
          <w:spacing w:val="6"/>
          <w:szCs w:val="21"/>
          <w:highlight w:val="none"/>
        </w:rPr>
      </w:pPr>
      <w:r>
        <w:rPr>
          <w:rFonts w:hint="eastAsia" w:ascii="宋体" w:hAnsi="宋体" w:cs="宋体"/>
          <w:b/>
          <w:bCs/>
          <w:color w:val="auto"/>
          <w:spacing w:val="6"/>
          <w:szCs w:val="21"/>
          <w:highlight w:val="none"/>
        </w:rPr>
        <w:t>说明：</w:t>
      </w:r>
      <w:r>
        <w:rPr>
          <w:rFonts w:hint="eastAsia" w:ascii="宋体" w:hAnsi="宋体" w:cs="宋体"/>
          <w:color w:val="auto"/>
          <w:spacing w:val="6"/>
          <w:szCs w:val="21"/>
          <w:highlight w:val="none"/>
        </w:rPr>
        <w:t>从业人员、营业收入、资产总额填报上一年度数据，无上一年度数据的新成立企业可不填报</w:t>
      </w:r>
    </w:p>
    <w:p w14:paraId="71E5F1B3">
      <w:pPr>
        <w:pStyle w:val="2"/>
        <w:rPr>
          <w:rFonts w:hint="eastAsia" w:ascii="宋体" w:hAnsi="宋体" w:cs="宋体"/>
          <w:color w:val="auto"/>
          <w:spacing w:val="6"/>
          <w:szCs w:val="21"/>
          <w:highlight w:val="none"/>
        </w:rPr>
      </w:pPr>
    </w:p>
    <w:p w14:paraId="26239542">
      <w:pPr>
        <w:rPr>
          <w:rFonts w:hint="eastAsia" w:ascii="宋体" w:hAnsi="宋体" w:cs="宋体"/>
          <w:color w:val="auto"/>
          <w:spacing w:val="6"/>
          <w:szCs w:val="21"/>
          <w:highlight w:val="none"/>
        </w:rPr>
      </w:pPr>
    </w:p>
    <w:p w14:paraId="45224381">
      <w:pPr>
        <w:pStyle w:val="2"/>
        <w:rPr>
          <w:rFonts w:hint="eastAsia" w:ascii="宋体" w:hAnsi="宋体" w:cs="宋体"/>
          <w:color w:val="auto"/>
          <w:spacing w:val="6"/>
          <w:szCs w:val="21"/>
          <w:highlight w:val="none"/>
        </w:rPr>
      </w:pPr>
    </w:p>
    <w:p w14:paraId="3C9EF1AD">
      <w:pPr>
        <w:rPr>
          <w:rFonts w:hint="eastAsia" w:ascii="宋体" w:hAnsi="宋体" w:cs="宋体"/>
          <w:color w:val="auto"/>
          <w:spacing w:val="6"/>
          <w:szCs w:val="21"/>
          <w:highlight w:val="none"/>
        </w:rPr>
      </w:pPr>
    </w:p>
    <w:p w14:paraId="5949C96B">
      <w:pPr>
        <w:pStyle w:val="2"/>
        <w:rPr>
          <w:rFonts w:hint="eastAsia" w:ascii="宋体" w:hAnsi="宋体" w:cs="宋体"/>
          <w:color w:val="auto"/>
          <w:spacing w:val="6"/>
          <w:szCs w:val="21"/>
          <w:highlight w:val="none"/>
        </w:rPr>
      </w:pPr>
    </w:p>
    <w:p w14:paraId="6DBFD9CB">
      <w:pPr>
        <w:rPr>
          <w:rFonts w:hint="eastAsia" w:ascii="宋体" w:hAnsi="宋体" w:cs="宋体"/>
          <w:color w:val="auto"/>
          <w:spacing w:val="6"/>
          <w:szCs w:val="21"/>
          <w:highlight w:val="none"/>
        </w:rPr>
      </w:pPr>
    </w:p>
    <w:p w14:paraId="509E91DB">
      <w:pPr>
        <w:pStyle w:val="117"/>
        <w:rPr>
          <w:rFonts w:hint="default"/>
          <w:color w:val="auto"/>
          <w:highlight w:val="none"/>
        </w:rPr>
      </w:pPr>
      <w:bookmarkStart w:id="4003" w:name="_Toc1703"/>
      <w:r>
        <w:rPr>
          <w:rFonts w:hint="eastAsia"/>
          <w:color w:val="auto"/>
          <w:highlight w:val="none"/>
        </w:rPr>
        <w:t>第八章  定标办法（参考）</w:t>
      </w:r>
      <w:bookmarkEnd w:id="4003"/>
    </w:p>
    <w:p w14:paraId="3840572F">
      <w:pPr>
        <w:pStyle w:val="4"/>
        <w:spacing w:afterLines="0"/>
        <w:rPr>
          <w:rFonts w:hint="default"/>
          <w:color w:val="000000"/>
          <w:sz w:val="24"/>
          <w:highlight w:val="none"/>
        </w:rPr>
      </w:pPr>
      <w:bookmarkStart w:id="4004" w:name="_Toc14943"/>
      <w:r>
        <w:rPr>
          <w:rFonts w:hint="eastAsia"/>
          <w:color w:val="000000"/>
          <w:sz w:val="24"/>
          <w:highlight w:val="none"/>
        </w:rPr>
        <w:t>1. 定标方法</w:t>
      </w:r>
      <w:bookmarkEnd w:id="4004"/>
    </w:p>
    <w:p w14:paraId="37BCD429">
      <w:pPr>
        <w:spacing w:beforeLines="0" w:afterLines="0"/>
        <w:ind w:firstLine="420" w:firstLineChars="200"/>
        <w:rPr>
          <w:rFonts w:hint="default"/>
          <w:color w:val="000000"/>
          <w:sz w:val="21"/>
          <w:highlight w:val="none"/>
          <w:u w:val="single"/>
        </w:rPr>
      </w:pPr>
      <w:r>
        <w:rPr>
          <w:rFonts w:hint="eastAsia"/>
          <w:color w:val="000000"/>
          <w:sz w:val="21"/>
          <w:highlight w:val="none"/>
        </w:rPr>
        <w:t>本次定标采用：□票决定标法□价格竞争定标法□集体议事定标法：</w:t>
      </w:r>
    </w:p>
    <w:p w14:paraId="2D1FF3C0">
      <w:pPr>
        <w:spacing w:beforeLines="0" w:afterLines="0" w:line="400" w:lineRule="exact"/>
        <w:ind w:firstLine="420" w:firstLineChars="200"/>
        <w:rPr>
          <w:rFonts w:hint="default"/>
          <w:color w:val="000000"/>
          <w:sz w:val="21"/>
          <w:highlight w:val="none"/>
        </w:rPr>
      </w:pPr>
      <w:r>
        <w:rPr>
          <w:rFonts w:hint="eastAsia"/>
          <w:color w:val="000000"/>
          <w:sz w:val="21"/>
          <w:highlight w:val="none"/>
        </w:rPr>
        <w:t>定标委员会对评标委员会推荐的中标候选人的投标文件，按照本章规定的定标办法进行定标。</w:t>
      </w:r>
    </w:p>
    <w:p w14:paraId="2E99BF97">
      <w:pPr>
        <w:spacing w:beforeLines="0" w:afterLines="0" w:line="400" w:lineRule="exact"/>
        <w:ind w:firstLine="482"/>
        <w:rPr>
          <w:rFonts w:hint="default"/>
          <w:color w:val="000000"/>
          <w:sz w:val="21"/>
          <w:highlight w:val="none"/>
        </w:rPr>
      </w:pPr>
      <w:r>
        <w:rPr>
          <w:rFonts w:hint="eastAsia"/>
          <w:color w:val="000000"/>
          <w:sz w:val="21"/>
          <w:highlight w:val="none"/>
        </w:rPr>
        <w:t>定标委员会根据招标文件规定的定标要素、“择优”和“比劣”标准，结合</w:t>
      </w:r>
      <w:r>
        <w:rPr>
          <w:rFonts w:hint="eastAsia"/>
          <w:color w:val="000000"/>
          <w:sz w:val="21"/>
          <w:highlight w:val="none"/>
          <w:lang w:val="en-US" w:eastAsia="zh-CN"/>
        </w:rPr>
        <w:t>（1）</w:t>
      </w:r>
      <w:r>
        <w:rPr>
          <w:rFonts w:hint="eastAsia"/>
          <w:color w:val="000000"/>
          <w:sz w:val="21"/>
          <w:highlight w:val="none"/>
        </w:rPr>
        <w:t>资格预审文件(如有)；</w:t>
      </w:r>
      <w:r>
        <w:rPr>
          <w:rFonts w:hint="eastAsia"/>
          <w:color w:val="000000"/>
          <w:sz w:val="21"/>
          <w:highlight w:val="none"/>
          <w:lang w:val="en-US" w:eastAsia="zh-CN"/>
        </w:rPr>
        <w:t>（2）</w:t>
      </w:r>
      <w:r>
        <w:rPr>
          <w:rFonts w:hint="eastAsia"/>
          <w:color w:val="000000"/>
          <w:sz w:val="21"/>
          <w:highlight w:val="none"/>
        </w:rPr>
        <w:t>中标候选人的资格预审申请文件(如有)；资格预审报告(如有)；</w:t>
      </w:r>
      <w:r>
        <w:rPr>
          <w:rFonts w:hint="eastAsia"/>
          <w:color w:val="000000"/>
          <w:sz w:val="21"/>
          <w:highlight w:val="none"/>
          <w:lang w:val="en-US" w:eastAsia="zh-CN"/>
        </w:rPr>
        <w:t>（3）</w:t>
      </w:r>
      <w:r>
        <w:rPr>
          <w:rFonts w:hint="eastAsia"/>
          <w:color w:val="000000"/>
          <w:sz w:val="21"/>
          <w:highlight w:val="none"/>
        </w:rPr>
        <w:t>招标文件（含答疑文件）；</w:t>
      </w:r>
      <w:r>
        <w:rPr>
          <w:rFonts w:hint="eastAsia"/>
          <w:color w:val="000000"/>
          <w:sz w:val="21"/>
          <w:highlight w:val="none"/>
          <w:lang w:val="en-US" w:eastAsia="zh-CN"/>
        </w:rPr>
        <w:t>（4）</w:t>
      </w:r>
      <w:r>
        <w:rPr>
          <w:rFonts w:hint="eastAsia"/>
          <w:color w:val="000000"/>
          <w:sz w:val="21"/>
          <w:highlight w:val="none"/>
        </w:rPr>
        <w:t>中标候选人的投标文件；</w:t>
      </w:r>
      <w:r>
        <w:rPr>
          <w:rFonts w:hint="eastAsia"/>
          <w:color w:val="000000"/>
          <w:sz w:val="21"/>
          <w:highlight w:val="none"/>
          <w:lang w:val="en-US" w:eastAsia="zh-CN"/>
        </w:rPr>
        <w:t>（5）</w:t>
      </w:r>
      <w:r>
        <w:rPr>
          <w:rFonts w:hint="eastAsia"/>
          <w:color w:val="000000"/>
          <w:sz w:val="21"/>
          <w:highlight w:val="none"/>
        </w:rPr>
        <w:t>评标报告；</w:t>
      </w:r>
      <w:r>
        <w:rPr>
          <w:rFonts w:hint="eastAsia"/>
          <w:color w:val="000000"/>
          <w:sz w:val="21"/>
          <w:highlight w:val="none"/>
          <w:lang w:val="en-US" w:eastAsia="zh-CN"/>
        </w:rPr>
        <w:t>（6）</w:t>
      </w:r>
      <w:r>
        <w:rPr>
          <w:rFonts w:hint="eastAsia"/>
          <w:color w:val="000000"/>
          <w:sz w:val="21"/>
          <w:highlight w:val="none"/>
        </w:rPr>
        <w:t>核验报告；</w:t>
      </w:r>
      <w:r>
        <w:rPr>
          <w:rFonts w:hint="eastAsia"/>
          <w:color w:val="000000"/>
          <w:sz w:val="21"/>
          <w:highlight w:val="none"/>
          <w:lang w:val="en-US" w:eastAsia="zh-CN"/>
        </w:rPr>
        <w:t>（7）</w:t>
      </w:r>
      <w:r>
        <w:rPr>
          <w:rFonts w:hint="eastAsia"/>
          <w:color w:val="000000"/>
          <w:sz w:val="21"/>
          <w:highlight w:val="none"/>
        </w:rPr>
        <w:t>考察报告(如有)；</w:t>
      </w:r>
      <w:r>
        <w:rPr>
          <w:rFonts w:hint="eastAsia"/>
          <w:color w:val="000000"/>
          <w:sz w:val="21"/>
          <w:highlight w:val="none"/>
          <w:lang w:val="en-US" w:eastAsia="zh-CN"/>
        </w:rPr>
        <w:t>（8）</w:t>
      </w:r>
      <w:r>
        <w:rPr>
          <w:rFonts w:hint="eastAsia"/>
          <w:color w:val="000000"/>
          <w:sz w:val="21"/>
          <w:highlight w:val="none"/>
        </w:rPr>
        <w:t>中标候选人答辩内容及打分情况(如有)等资料客观、公正、科学、精准地进行定标。</w:t>
      </w:r>
    </w:p>
    <w:p w14:paraId="2385634B">
      <w:pPr>
        <w:pStyle w:val="4"/>
        <w:spacing w:afterLines="0"/>
        <w:rPr>
          <w:rFonts w:hint="default"/>
          <w:color w:val="000000"/>
          <w:sz w:val="24"/>
          <w:highlight w:val="none"/>
        </w:rPr>
      </w:pPr>
      <w:bookmarkStart w:id="4005" w:name="_Toc25201"/>
      <w:r>
        <w:rPr>
          <w:rFonts w:hint="eastAsia"/>
          <w:color w:val="000000"/>
          <w:sz w:val="24"/>
          <w:highlight w:val="none"/>
        </w:rPr>
        <w:t>2. 定标标准</w:t>
      </w:r>
      <w:bookmarkEnd w:id="4005"/>
    </w:p>
    <w:p w14:paraId="143413B4">
      <w:pPr>
        <w:pStyle w:val="5"/>
        <w:spacing w:beforeLines="0" w:afterLines="0" w:line="400" w:lineRule="exact"/>
        <w:ind w:firstLine="0"/>
        <w:rPr>
          <w:rFonts w:hint="default"/>
          <w:color w:val="000000"/>
          <w:sz w:val="21"/>
          <w:highlight w:val="none"/>
        </w:rPr>
      </w:pPr>
      <w:bookmarkStart w:id="4006" w:name="_Toc4010"/>
      <w:r>
        <w:rPr>
          <w:rFonts w:hint="eastAsia"/>
          <w:color w:val="000000"/>
          <w:sz w:val="21"/>
          <w:highlight w:val="none"/>
        </w:rPr>
        <w:t>2.1定标要素：</w:t>
      </w:r>
      <w:bookmarkEnd w:id="4006"/>
    </w:p>
    <w:p w14:paraId="15122143">
      <w:pPr>
        <w:spacing w:beforeLines="0" w:afterLines="0" w:line="400" w:lineRule="exact"/>
        <w:rPr>
          <w:rFonts w:hint="eastAsia"/>
          <w:color w:val="000000"/>
          <w:sz w:val="21"/>
          <w:highlight w:val="none"/>
          <w:u w:val="single"/>
        </w:rPr>
      </w:pPr>
      <w:r>
        <w:rPr>
          <w:rFonts w:hint="eastAsia"/>
          <w:color w:val="000000"/>
          <w:sz w:val="21"/>
          <w:highlight w:val="none"/>
          <w:u w:val="single"/>
        </w:rPr>
        <w:t xml:space="preserve">                                                                               </w:t>
      </w:r>
    </w:p>
    <w:p w14:paraId="1222453F">
      <w:pPr>
        <w:pStyle w:val="2"/>
        <w:spacing w:beforeLines="0"/>
        <w:rPr>
          <w:rFonts w:hint="default"/>
          <w:color w:val="000000"/>
          <w:sz w:val="21"/>
          <w:highlight w:val="none"/>
        </w:rPr>
      </w:pPr>
      <w:r>
        <w:rPr>
          <w:rFonts w:hint="eastAsia"/>
          <w:color w:val="000000"/>
          <w:sz w:val="21"/>
          <w:highlight w:val="none"/>
          <w:u w:val="single"/>
        </w:rPr>
        <w:t xml:space="preserve">                                                                               </w:t>
      </w:r>
    </w:p>
    <w:p w14:paraId="0108669E">
      <w:pPr>
        <w:pStyle w:val="5"/>
        <w:spacing w:beforeLines="0" w:afterLines="0" w:line="400" w:lineRule="exact"/>
        <w:ind w:firstLine="0"/>
        <w:rPr>
          <w:rFonts w:hint="eastAsia"/>
          <w:color w:val="000000"/>
          <w:sz w:val="21"/>
          <w:highlight w:val="none"/>
        </w:rPr>
      </w:pPr>
      <w:bookmarkStart w:id="4007" w:name="_Toc10416"/>
      <w:r>
        <w:rPr>
          <w:rFonts w:hint="eastAsia"/>
          <w:color w:val="000000"/>
          <w:sz w:val="21"/>
          <w:highlight w:val="none"/>
        </w:rPr>
        <w:t>2.2优先顺序：</w:t>
      </w:r>
      <w:bookmarkEnd w:id="4007"/>
    </w:p>
    <w:p w14:paraId="5740B2A6">
      <w:pPr>
        <w:spacing w:beforeLines="0" w:afterLines="0" w:line="400" w:lineRule="exact"/>
        <w:rPr>
          <w:rFonts w:hint="eastAsia"/>
          <w:color w:val="000000"/>
          <w:sz w:val="21"/>
          <w:highlight w:val="none"/>
          <w:u w:val="single"/>
        </w:rPr>
      </w:pPr>
      <w:r>
        <w:rPr>
          <w:rFonts w:hint="eastAsia"/>
          <w:color w:val="000000"/>
          <w:sz w:val="21"/>
          <w:highlight w:val="none"/>
          <w:u w:val="single"/>
        </w:rPr>
        <w:t xml:space="preserve">                                                                               </w:t>
      </w:r>
    </w:p>
    <w:p w14:paraId="7C12F7F8">
      <w:pPr>
        <w:pStyle w:val="2"/>
        <w:spacing w:beforeLines="0"/>
        <w:rPr>
          <w:rFonts w:hint="default"/>
          <w:color w:val="000000"/>
          <w:sz w:val="21"/>
          <w:highlight w:val="none"/>
        </w:rPr>
      </w:pPr>
      <w:r>
        <w:rPr>
          <w:rFonts w:hint="eastAsia"/>
          <w:color w:val="000000"/>
          <w:sz w:val="21"/>
          <w:highlight w:val="none"/>
          <w:u w:val="single"/>
        </w:rPr>
        <w:t xml:space="preserve">                                                                               </w:t>
      </w:r>
    </w:p>
    <w:p w14:paraId="54B71A91">
      <w:pPr>
        <w:pStyle w:val="4"/>
        <w:spacing w:afterLines="0"/>
        <w:rPr>
          <w:rFonts w:hint="default"/>
          <w:color w:val="000000"/>
          <w:sz w:val="24"/>
          <w:highlight w:val="none"/>
        </w:rPr>
      </w:pPr>
      <w:bookmarkStart w:id="4008" w:name="_Toc29438"/>
      <w:r>
        <w:rPr>
          <w:rFonts w:hint="eastAsia"/>
          <w:color w:val="000000"/>
          <w:sz w:val="24"/>
          <w:highlight w:val="none"/>
        </w:rPr>
        <w:t>3.定标前准备</w:t>
      </w:r>
      <w:bookmarkEnd w:id="4008"/>
    </w:p>
    <w:p w14:paraId="3B71BA42">
      <w:pPr>
        <w:pStyle w:val="5"/>
        <w:spacing w:beforeLines="0" w:afterLines="0"/>
        <w:ind w:firstLine="0" w:firstLineChars="0"/>
        <w:rPr>
          <w:rFonts w:hint="eastAsia"/>
          <w:color w:val="000000"/>
          <w:sz w:val="21"/>
          <w:highlight w:val="none"/>
        </w:rPr>
      </w:pPr>
      <w:bookmarkStart w:id="4009" w:name="_Toc29347"/>
      <w:r>
        <w:rPr>
          <w:rFonts w:hint="eastAsia"/>
          <w:color w:val="000000"/>
          <w:sz w:val="21"/>
          <w:highlight w:val="none"/>
        </w:rPr>
        <w:t>3.</w:t>
      </w:r>
      <w:r>
        <w:rPr>
          <w:rFonts w:hint="eastAsia"/>
          <w:color w:val="000000"/>
          <w:sz w:val="21"/>
          <w:highlight w:val="none"/>
          <w:lang w:val="en-US" w:eastAsia="zh-CN"/>
        </w:rPr>
        <w:t>1</w:t>
      </w:r>
      <w:r>
        <w:rPr>
          <w:rFonts w:hint="eastAsia"/>
          <w:color w:val="000000"/>
          <w:sz w:val="21"/>
          <w:highlight w:val="none"/>
        </w:rPr>
        <w:t>审查评标报告</w:t>
      </w:r>
      <w:bookmarkEnd w:id="4009"/>
    </w:p>
    <w:p w14:paraId="1140A5E7">
      <w:pPr>
        <w:spacing w:beforeLines="0" w:afterLines="0"/>
        <w:ind w:firstLine="420" w:firstLineChars="200"/>
        <w:rPr>
          <w:rFonts w:hint="eastAsia"/>
          <w:color w:val="000000"/>
          <w:sz w:val="21"/>
          <w:highlight w:val="none"/>
        </w:rPr>
      </w:pPr>
      <w:r>
        <w:rPr>
          <w:rFonts w:hint="eastAsia"/>
          <w:color w:val="000000"/>
          <w:sz w:val="21"/>
          <w:highlight w:val="none"/>
        </w:rPr>
        <w:t>招标人对书面评标报告进行审查时，重点关注评标委员会是否按照招标文件规定的评标标准和方法进行评标；是否存在对客观评审因素评分不一致，或者评分畸高、畸低现象；是否对可能低于成本或者影响履约的异常低价投标和严重不平衡报价进行分析研判；是否依法通知投标人进行澄清、说明；是否存在随意否决投标的情况。</w:t>
      </w:r>
    </w:p>
    <w:p w14:paraId="0B5107B2">
      <w:pPr>
        <w:pStyle w:val="5"/>
        <w:spacing w:beforeLines="0" w:afterLines="0"/>
        <w:ind w:firstLine="0" w:firstLineChars="0"/>
        <w:rPr>
          <w:rFonts w:hint="eastAsia"/>
          <w:color w:val="000000"/>
          <w:sz w:val="21"/>
          <w:highlight w:val="none"/>
        </w:rPr>
      </w:pPr>
      <w:bookmarkStart w:id="4010" w:name="_Toc29500"/>
      <w:r>
        <w:rPr>
          <w:rFonts w:hint="eastAsia"/>
          <w:color w:val="000000"/>
          <w:sz w:val="21"/>
          <w:highlight w:val="none"/>
        </w:rPr>
        <w:t>3.</w:t>
      </w:r>
      <w:r>
        <w:rPr>
          <w:rFonts w:hint="eastAsia"/>
          <w:color w:val="000000"/>
          <w:sz w:val="21"/>
          <w:highlight w:val="none"/>
          <w:lang w:val="en-US" w:eastAsia="zh-CN"/>
        </w:rPr>
        <w:t>2</w:t>
      </w:r>
      <w:r>
        <w:rPr>
          <w:rFonts w:hint="eastAsia"/>
          <w:color w:val="000000"/>
          <w:sz w:val="21"/>
          <w:highlight w:val="none"/>
        </w:rPr>
        <w:t>组织核验</w:t>
      </w:r>
      <w:bookmarkEnd w:id="4010"/>
    </w:p>
    <w:p w14:paraId="4BB27FA8">
      <w:pPr>
        <w:spacing w:beforeLines="0" w:afterLines="0"/>
        <w:ind w:firstLine="420" w:firstLineChars="200"/>
        <w:rPr>
          <w:rFonts w:hint="eastAsia"/>
          <w:color w:val="000000"/>
          <w:sz w:val="21"/>
          <w:highlight w:val="none"/>
        </w:rPr>
      </w:pPr>
      <w:r>
        <w:rPr>
          <w:rFonts w:hint="eastAsia"/>
          <w:color w:val="000000"/>
          <w:sz w:val="21"/>
          <w:highlight w:val="none"/>
        </w:rPr>
        <w:t>招标人对中标候选人核验时，应重点关注下列情形：</w:t>
      </w:r>
    </w:p>
    <w:p w14:paraId="0DDA194E">
      <w:pPr>
        <w:spacing w:beforeLines="0" w:afterLines="0"/>
        <w:ind w:firstLine="420" w:firstLineChars="200"/>
        <w:rPr>
          <w:rFonts w:hint="eastAsia"/>
          <w:color w:val="000000"/>
          <w:sz w:val="21"/>
          <w:highlight w:val="none"/>
        </w:rPr>
      </w:pPr>
      <w:r>
        <w:rPr>
          <w:rFonts w:hint="eastAsia"/>
          <w:color w:val="000000"/>
          <w:sz w:val="21"/>
          <w:highlight w:val="none"/>
          <w:lang w:val="en-US" w:eastAsia="zh-CN"/>
        </w:rPr>
        <w:t>（1）</w:t>
      </w:r>
      <w:r>
        <w:rPr>
          <w:rFonts w:hint="eastAsia"/>
          <w:color w:val="000000"/>
          <w:sz w:val="21"/>
          <w:highlight w:val="none"/>
        </w:rPr>
        <w:t>存在弄虚作假、围标串标、借用资质等违法情形的；</w:t>
      </w:r>
    </w:p>
    <w:p w14:paraId="2E4840F9">
      <w:pPr>
        <w:spacing w:beforeLines="0" w:afterLines="0"/>
        <w:ind w:firstLine="420" w:firstLineChars="200"/>
        <w:rPr>
          <w:rFonts w:hint="eastAsia"/>
          <w:color w:val="000000"/>
          <w:sz w:val="21"/>
          <w:highlight w:val="none"/>
        </w:rPr>
      </w:pPr>
      <w:r>
        <w:rPr>
          <w:rFonts w:hint="eastAsia"/>
          <w:color w:val="000000"/>
          <w:sz w:val="21"/>
          <w:highlight w:val="none"/>
          <w:lang w:val="en-US" w:eastAsia="zh-CN"/>
        </w:rPr>
        <w:t>（2）</w:t>
      </w:r>
      <w:r>
        <w:rPr>
          <w:rFonts w:hint="eastAsia"/>
          <w:color w:val="000000"/>
          <w:sz w:val="21"/>
          <w:highlight w:val="none"/>
        </w:rPr>
        <w:t>资质、业绩、人员资格、信用、财务状况、生产条件等不符合中标条件的；</w:t>
      </w:r>
    </w:p>
    <w:p w14:paraId="72B31923">
      <w:pPr>
        <w:spacing w:beforeLines="0" w:afterLines="0"/>
        <w:ind w:firstLine="420" w:firstLineChars="200"/>
        <w:rPr>
          <w:rFonts w:hint="eastAsia"/>
          <w:color w:val="000000"/>
          <w:sz w:val="21"/>
          <w:highlight w:val="none"/>
        </w:rPr>
      </w:pPr>
      <w:r>
        <w:rPr>
          <w:rFonts w:hint="eastAsia"/>
          <w:color w:val="000000"/>
          <w:sz w:val="21"/>
          <w:highlight w:val="none"/>
          <w:lang w:val="en-US" w:eastAsia="zh-CN"/>
        </w:rPr>
        <w:t>（3）</w:t>
      </w:r>
      <w:r>
        <w:rPr>
          <w:rFonts w:hint="eastAsia"/>
          <w:color w:val="000000"/>
          <w:sz w:val="21"/>
          <w:highlight w:val="none"/>
        </w:rPr>
        <w:t>因经营、财务状况发生较大变化，可能影响其履约能力的；</w:t>
      </w:r>
    </w:p>
    <w:p w14:paraId="7EC2D358">
      <w:pPr>
        <w:spacing w:beforeLines="0" w:afterLines="0"/>
        <w:ind w:firstLine="420" w:firstLineChars="200"/>
        <w:rPr>
          <w:rFonts w:hint="eastAsia"/>
          <w:color w:val="000000"/>
          <w:sz w:val="21"/>
          <w:highlight w:val="none"/>
        </w:rPr>
      </w:pPr>
      <w:r>
        <w:rPr>
          <w:rFonts w:hint="eastAsia"/>
          <w:color w:val="000000"/>
          <w:sz w:val="21"/>
          <w:highlight w:val="none"/>
        </w:rPr>
        <w:t>招标人认为中标候选人涉嫌存在第（</w:t>
      </w:r>
      <w:r>
        <w:rPr>
          <w:rFonts w:hint="eastAsia"/>
          <w:color w:val="000000"/>
          <w:sz w:val="21"/>
          <w:highlight w:val="none"/>
          <w:lang w:val="en-US" w:eastAsia="zh-CN"/>
        </w:rPr>
        <w:t>1</w:t>
      </w:r>
      <w:r>
        <w:rPr>
          <w:rFonts w:hint="eastAsia"/>
          <w:color w:val="000000"/>
          <w:sz w:val="21"/>
          <w:highlight w:val="none"/>
        </w:rPr>
        <w:t>）项情形的，应向行政监督部门报告，经行政监督部门调查确认后，取消中标候选人资格；招标人认为中标候选人存在第（</w:t>
      </w:r>
      <w:r>
        <w:rPr>
          <w:rFonts w:hint="eastAsia"/>
          <w:color w:val="000000"/>
          <w:sz w:val="21"/>
          <w:highlight w:val="none"/>
          <w:lang w:val="en-US" w:eastAsia="zh-CN"/>
        </w:rPr>
        <w:t>2</w:t>
      </w:r>
      <w:r>
        <w:rPr>
          <w:rFonts w:hint="eastAsia"/>
          <w:color w:val="000000"/>
          <w:sz w:val="21"/>
          <w:highlight w:val="none"/>
        </w:rPr>
        <w:t>）（</w:t>
      </w:r>
      <w:r>
        <w:rPr>
          <w:rFonts w:hint="eastAsia"/>
          <w:color w:val="000000"/>
          <w:sz w:val="21"/>
          <w:highlight w:val="none"/>
          <w:lang w:val="en-US" w:eastAsia="zh-CN"/>
        </w:rPr>
        <w:t>3</w:t>
      </w:r>
      <w:r>
        <w:rPr>
          <w:rFonts w:hint="eastAsia"/>
          <w:color w:val="000000"/>
          <w:sz w:val="21"/>
          <w:highlight w:val="none"/>
        </w:rPr>
        <w:t>）项情形的，应当由原评标委员会按照招标文件规定的标准和方法审查确认。</w:t>
      </w:r>
    </w:p>
    <w:p w14:paraId="43BEC478">
      <w:pPr>
        <w:pStyle w:val="5"/>
        <w:spacing w:beforeLines="0" w:afterLines="0"/>
        <w:ind w:firstLine="0" w:firstLineChars="0"/>
        <w:rPr>
          <w:rFonts w:hint="default"/>
          <w:color w:val="000000"/>
          <w:sz w:val="21"/>
          <w:highlight w:val="none"/>
        </w:rPr>
      </w:pPr>
      <w:bookmarkStart w:id="4011" w:name="_Toc24902"/>
      <w:r>
        <w:rPr>
          <w:rFonts w:hint="eastAsia"/>
          <w:color w:val="000000"/>
          <w:sz w:val="21"/>
          <w:highlight w:val="none"/>
        </w:rPr>
        <w:t>3.</w:t>
      </w:r>
      <w:r>
        <w:rPr>
          <w:rFonts w:hint="eastAsia"/>
          <w:color w:val="000000"/>
          <w:sz w:val="21"/>
          <w:highlight w:val="none"/>
          <w:lang w:val="en-US" w:eastAsia="zh-CN"/>
        </w:rPr>
        <w:t>3</w:t>
      </w:r>
      <w:r>
        <w:rPr>
          <w:rFonts w:hint="eastAsia"/>
          <w:color w:val="000000"/>
          <w:sz w:val="21"/>
          <w:highlight w:val="none"/>
        </w:rPr>
        <w:t>开展考察（如有）</w:t>
      </w:r>
      <w:bookmarkEnd w:id="4011"/>
    </w:p>
    <w:p w14:paraId="133132B7">
      <w:pPr>
        <w:spacing w:beforeLines="0" w:afterLines="0"/>
        <w:ind w:firstLine="420" w:firstLineChars="200"/>
        <w:rPr>
          <w:rFonts w:hint="eastAsia"/>
          <w:color w:val="000000"/>
          <w:sz w:val="21"/>
          <w:highlight w:val="none"/>
        </w:rPr>
      </w:pPr>
      <w:r>
        <w:rPr>
          <w:rFonts w:hint="eastAsia"/>
          <w:color w:val="000000"/>
          <w:sz w:val="21"/>
          <w:highlight w:val="none"/>
        </w:rPr>
        <w:t>招标人可以选择中标候选人在建项目或投标文件（资格预审申请文）中所列同类项目进行实地考察。可重点关注中标候选人在建项目施工现场管理情况；守法经营情况（行政处罚情况、有关单位的不良记录）；履约情况（过往履约记录、建设单位履约评价、农民工工资支付、材料款支付、分包项目费用支付）；拟派团队成员配置等因素。</w:t>
      </w:r>
    </w:p>
    <w:p w14:paraId="1C9EBFC0">
      <w:pPr>
        <w:pStyle w:val="4"/>
        <w:spacing w:afterLines="0"/>
        <w:rPr>
          <w:rFonts w:hint="default"/>
          <w:color w:val="000000"/>
          <w:sz w:val="24"/>
          <w:highlight w:val="none"/>
        </w:rPr>
      </w:pPr>
      <w:bookmarkStart w:id="4012" w:name="_Toc15448"/>
      <w:r>
        <w:rPr>
          <w:rFonts w:hint="eastAsia"/>
          <w:color w:val="000000"/>
          <w:sz w:val="24"/>
          <w:highlight w:val="none"/>
          <w:lang w:val="en-US" w:eastAsia="zh-CN"/>
        </w:rPr>
        <w:t>4</w:t>
      </w:r>
      <w:r>
        <w:rPr>
          <w:rFonts w:hint="eastAsia"/>
          <w:color w:val="000000"/>
          <w:sz w:val="24"/>
          <w:highlight w:val="none"/>
        </w:rPr>
        <w:t>. 定标程序</w:t>
      </w:r>
      <w:bookmarkEnd w:id="4012"/>
    </w:p>
    <w:p w14:paraId="1DA87BAF">
      <w:pPr>
        <w:pStyle w:val="5"/>
        <w:spacing w:afterLines="0"/>
        <w:rPr>
          <w:rFonts w:hint="eastAsia"/>
          <w:color w:val="000000"/>
          <w:sz w:val="21"/>
          <w:highlight w:val="none"/>
        </w:rPr>
      </w:pPr>
      <w:bookmarkStart w:id="4013" w:name="_Toc7553"/>
      <w:r>
        <w:rPr>
          <w:rFonts w:hint="eastAsia"/>
          <w:color w:val="000000"/>
          <w:sz w:val="21"/>
          <w:highlight w:val="none"/>
          <w:lang w:val="en-US" w:eastAsia="zh-CN"/>
        </w:rPr>
        <w:t>4</w:t>
      </w:r>
      <w:r>
        <w:rPr>
          <w:rFonts w:hint="eastAsia"/>
          <w:color w:val="000000"/>
          <w:sz w:val="21"/>
          <w:highlight w:val="none"/>
        </w:rPr>
        <w:t>.1定标准备</w:t>
      </w:r>
      <w:bookmarkEnd w:id="4013"/>
    </w:p>
    <w:p w14:paraId="0A7D9438">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4</w:t>
      </w:r>
      <w:r>
        <w:rPr>
          <w:rFonts w:hint="default"/>
          <w:color w:val="000000"/>
          <w:sz w:val="21"/>
          <w:highlight w:val="none"/>
        </w:rPr>
        <w:t>.</w:t>
      </w:r>
      <w:r>
        <w:rPr>
          <w:rFonts w:hint="eastAsia"/>
          <w:color w:val="000000"/>
          <w:sz w:val="21"/>
          <w:highlight w:val="none"/>
        </w:rPr>
        <w:t>1</w:t>
      </w:r>
      <w:r>
        <w:rPr>
          <w:rFonts w:hint="default"/>
          <w:color w:val="000000"/>
          <w:sz w:val="21"/>
          <w:highlight w:val="none"/>
        </w:rPr>
        <w:t>.1</w:t>
      </w:r>
      <w:r>
        <w:rPr>
          <w:rFonts w:hint="eastAsia"/>
          <w:color w:val="000000"/>
          <w:sz w:val="21"/>
          <w:highlight w:val="none"/>
        </w:rPr>
        <w:t>定标委员会成员及定标监督小组成员签到</w:t>
      </w:r>
    </w:p>
    <w:p w14:paraId="78D024F6">
      <w:pPr>
        <w:spacing w:beforeLines="0" w:afterLines="0" w:line="400" w:lineRule="exact"/>
        <w:ind w:firstLine="482"/>
        <w:rPr>
          <w:rFonts w:hint="eastAsia"/>
          <w:color w:val="000000"/>
          <w:sz w:val="21"/>
          <w:highlight w:val="none"/>
        </w:rPr>
      </w:pPr>
      <w:r>
        <w:rPr>
          <w:rFonts w:hint="eastAsia"/>
          <w:color w:val="000000"/>
          <w:sz w:val="21"/>
          <w:highlight w:val="none"/>
        </w:rPr>
        <w:t>定标委员会成员、定标监督小组成员到达定标现场时应在签到表上签到以证明其出席。</w:t>
      </w:r>
    </w:p>
    <w:p w14:paraId="0B5363BF">
      <w:pPr>
        <w:spacing w:beforeLines="0" w:afterLines="0" w:line="400" w:lineRule="exact"/>
        <w:ind w:firstLine="482"/>
        <w:rPr>
          <w:rFonts w:hint="eastAsia"/>
          <w:color w:val="000000"/>
          <w:sz w:val="21"/>
          <w:highlight w:val="none"/>
        </w:rPr>
      </w:pPr>
      <w:r>
        <w:rPr>
          <w:rFonts w:hint="eastAsia"/>
          <w:color w:val="000000"/>
          <w:sz w:val="21"/>
          <w:highlight w:val="none"/>
          <w:lang w:val="en-US" w:eastAsia="zh-CN"/>
        </w:rPr>
        <w:t>4</w:t>
      </w:r>
      <w:r>
        <w:rPr>
          <w:rFonts w:hint="eastAsia"/>
          <w:color w:val="000000"/>
          <w:sz w:val="21"/>
          <w:highlight w:val="none"/>
        </w:rPr>
        <w:t>.1.2定标委员会成员签订承诺书</w:t>
      </w:r>
    </w:p>
    <w:p w14:paraId="400D70EE">
      <w:pPr>
        <w:spacing w:beforeLines="0" w:afterLines="0" w:line="400" w:lineRule="exact"/>
        <w:ind w:firstLine="420" w:firstLineChars="200"/>
        <w:rPr>
          <w:rFonts w:hint="default"/>
          <w:color w:val="000000"/>
          <w:sz w:val="21"/>
          <w:highlight w:val="none"/>
        </w:rPr>
      </w:pPr>
      <w:r>
        <w:rPr>
          <w:rFonts w:hint="eastAsia"/>
          <w:color w:val="000000"/>
          <w:sz w:val="21"/>
          <w:highlight w:val="none"/>
        </w:rPr>
        <w:t>定标委员会负责人宣读定标委员会组建情况及成员名单宣读定标纪律，定标委员会成员签订承诺书。</w:t>
      </w:r>
    </w:p>
    <w:p w14:paraId="54631975">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4</w:t>
      </w:r>
      <w:r>
        <w:rPr>
          <w:rFonts w:hint="default"/>
          <w:color w:val="000000"/>
          <w:sz w:val="21"/>
          <w:highlight w:val="none"/>
        </w:rPr>
        <w:t>.</w:t>
      </w:r>
      <w:r>
        <w:rPr>
          <w:rFonts w:hint="eastAsia"/>
          <w:color w:val="000000"/>
          <w:sz w:val="21"/>
          <w:highlight w:val="none"/>
        </w:rPr>
        <w:t>1</w:t>
      </w:r>
      <w:r>
        <w:rPr>
          <w:rFonts w:hint="default"/>
          <w:color w:val="000000"/>
          <w:sz w:val="21"/>
          <w:highlight w:val="none"/>
        </w:rPr>
        <w:t>.</w:t>
      </w:r>
      <w:r>
        <w:rPr>
          <w:rFonts w:hint="eastAsia"/>
          <w:color w:val="000000"/>
          <w:sz w:val="21"/>
          <w:highlight w:val="none"/>
          <w:lang w:val="en-US" w:eastAsia="zh-CN"/>
        </w:rPr>
        <w:t>3</w:t>
      </w:r>
      <w:r>
        <w:rPr>
          <w:rFonts w:hint="eastAsia"/>
          <w:color w:val="000000"/>
          <w:sz w:val="21"/>
          <w:highlight w:val="none"/>
        </w:rPr>
        <w:t>定标委员会的分工</w:t>
      </w:r>
    </w:p>
    <w:p w14:paraId="6A3EDB8E">
      <w:pPr>
        <w:spacing w:beforeLines="0" w:afterLines="0" w:line="400" w:lineRule="exact"/>
        <w:ind w:firstLine="482"/>
        <w:rPr>
          <w:rFonts w:hint="default"/>
          <w:color w:val="000000"/>
          <w:sz w:val="21"/>
          <w:highlight w:val="none"/>
        </w:rPr>
      </w:pPr>
      <w:r>
        <w:rPr>
          <w:rFonts w:hint="eastAsia"/>
          <w:color w:val="000000"/>
          <w:sz w:val="21"/>
          <w:highlight w:val="none"/>
        </w:rPr>
        <w:t>由定标委员会首先推选一名定标委员会负责人。</w:t>
      </w:r>
      <w:r>
        <w:rPr>
          <w:rFonts w:hint="eastAsia" w:ascii="Calibri" w:hAnsi="Calibri"/>
          <w:color w:val="000000"/>
          <w:sz w:val="21"/>
          <w:highlight w:val="none"/>
        </w:rPr>
        <w:t>招标人的法定代表人或主要负责人参加定标委员会</w:t>
      </w:r>
      <w:r>
        <w:rPr>
          <w:rFonts w:hint="eastAsia"/>
          <w:color w:val="000000"/>
          <w:sz w:val="21"/>
          <w:highlight w:val="none"/>
        </w:rPr>
        <w:t>，应</w:t>
      </w:r>
      <w:r>
        <w:rPr>
          <w:rFonts w:hint="eastAsia" w:ascii="Calibri" w:hAnsi="Calibri"/>
          <w:color w:val="000000"/>
          <w:sz w:val="21"/>
          <w:highlight w:val="none"/>
        </w:rPr>
        <w:t>由其直接担任定标委员会负责人</w:t>
      </w:r>
      <w:r>
        <w:rPr>
          <w:rFonts w:hint="eastAsia"/>
          <w:color w:val="000000"/>
          <w:sz w:val="21"/>
          <w:highlight w:val="none"/>
        </w:rPr>
        <w:t>。定标委员会负责人负责定标活动的组织领导工作，定标委员会负责人在与其他定标委员会成员具有同等表决权。</w:t>
      </w:r>
    </w:p>
    <w:p w14:paraId="15EC361E">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4</w:t>
      </w:r>
      <w:r>
        <w:rPr>
          <w:rFonts w:hint="default"/>
          <w:color w:val="000000"/>
          <w:sz w:val="21"/>
          <w:highlight w:val="none"/>
        </w:rPr>
        <w:t>.</w:t>
      </w:r>
      <w:r>
        <w:rPr>
          <w:rFonts w:hint="eastAsia"/>
          <w:color w:val="000000"/>
          <w:sz w:val="21"/>
          <w:highlight w:val="none"/>
        </w:rPr>
        <w:t>1</w:t>
      </w:r>
      <w:r>
        <w:rPr>
          <w:rFonts w:hint="default"/>
          <w:color w:val="000000"/>
          <w:sz w:val="21"/>
          <w:highlight w:val="none"/>
        </w:rPr>
        <w:t>.</w:t>
      </w:r>
      <w:r>
        <w:rPr>
          <w:rFonts w:hint="eastAsia"/>
          <w:color w:val="000000"/>
          <w:sz w:val="21"/>
          <w:highlight w:val="none"/>
          <w:lang w:val="en-US" w:eastAsia="zh-CN"/>
        </w:rPr>
        <w:t>4</w:t>
      </w:r>
      <w:r>
        <w:rPr>
          <w:rFonts w:hint="eastAsia"/>
          <w:color w:val="000000"/>
          <w:sz w:val="21"/>
          <w:highlight w:val="none"/>
        </w:rPr>
        <w:t>熟悉文件资料</w:t>
      </w:r>
    </w:p>
    <w:p w14:paraId="64C1D3DB">
      <w:pPr>
        <w:spacing w:beforeLines="0" w:afterLines="0" w:line="400" w:lineRule="exact"/>
        <w:ind w:firstLine="482"/>
        <w:rPr>
          <w:rFonts w:hint="default"/>
          <w:color w:val="000000"/>
          <w:sz w:val="21"/>
          <w:highlight w:val="none"/>
        </w:rPr>
      </w:pPr>
      <w:r>
        <w:rPr>
          <w:rFonts w:hint="eastAsia"/>
          <w:color w:val="000000"/>
          <w:sz w:val="21"/>
          <w:highlight w:val="none"/>
        </w:rPr>
        <w:t>定标委员会负责人应组织定标委员会成员认真研究招标文件，了解和熟悉招标目的、招标范围、主要合同条件、技术标准和要求、质量目标和履约期限要求，掌握定标标准和方法，熟悉定标流程。未在招标文件中规定的标准和方法不得作为定标的依据。</w:t>
      </w:r>
    </w:p>
    <w:p w14:paraId="794715D2">
      <w:pPr>
        <w:pStyle w:val="5"/>
        <w:spacing w:afterLines="0"/>
        <w:rPr>
          <w:rFonts w:hint="eastAsia"/>
          <w:color w:val="000000"/>
          <w:sz w:val="21"/>
          <w:highlight w:val="none"/>
        </w:rPr>
      </w:pPr>
      <w:bookmarkStart w:id="4014" w:name="_Toc15636"/>
      <w:r>
        <w:rPr>
          <w:rFonts w:hint="eastAsia"/>
          <w:color w:val="000000"/>
          <w:sz w:val="21"/>
          <w:highlight w:val="none"/>
          <w:lang w:val="en-US" w:eastAsia="zh-CN"/>
        </w:rPr>
        <w:t>4</w:t>
      </w:r>
      <w:r>
        <w:rPr>
          <w:rFonts w:hint="eastAsia"/>
          <w:color w:val="000000"/>
          <w:sz w:val="21"/>
          <w:highlight w:val="none"/>
        </w:rPr>
        <w:t>.2组织答辩（如有）</w:t>
      </w:r>
      <w:bookmarkEnd w:id="4014"/>
    </w:p>
    <w:p w14:paraId="1BFEFC85">
      <w:pPr>
        <w:spacing w:beforeLines="0" w:afterLines="0"/>
        <w:ind w:firstLine="420" w:firstLineChars="200"/>
        <w:rPr>
          <w:rFonts w:hint="default"/>
          <w:color w:val="000000"/>
          <w:sz w:val="21"/>
          <w:highlight w:val="none"/>
        </w:rPr>
      </w:pPr>
      <w:r>
        <w:rPr>
          <w:rFonts w:hint="eastAsia"/>
          <w:color w:val="000000"/>
          <w:sz w:val="21"/>
          <w:highlight w:val="none"/>
        </w:rPr>
        <w:t>招标文件要求项目负责人需要答辩的，由定标委员会负责人提问，定标委员会成员根据项目负责人答辩情况逐个对其打分，其最终得分为所有定标委员会成员的评分中去掉一个最高分和一个最低分之后的算术平均值。</w:t>
      </w:r>
    </w:p>
    <w:p w14:paraId="166F4C36">
      <w:pPr>
        <w:pStyle w:val="5"/>
        <w:spacing w:afterLines="0"/>
        <w:rPr>
          <w:rFonts w:hint="eastAsia"/>
          <w:color w:val="000000"/>
          <w:sz w:val="21"/>
          <w:highlight w:val="none"/>
        </w:rPr>
      </w:pPr>
      <w:bookmarkStart w:id="4015" w:name="_Toc1698"/>
      <w:r>
        <w:rPr>
          <w:rFonts w:hint="eastAsia"/>
          <w:color w:val="000000"/>
          <w:sz w:val="21"/>
          <w:highlight w:val="none"/>
          <w:lang w:val="en-US" w:eastAsia="zh-CN"/>
        </w:rPr>
        <w:t>4</w:t>
      </w:r>
      <w:r>
        <w:rPr>
          <w:rFonts w:hint="eastAsia"/>
          <w:color w:val="000000"/>
          <w:sz w:val="21"/>
          <w:highlight w:val="none"/>
        </w:rPr>
        <w:t>.3定标结果</w:t>
      </w:r>
      <w:bookmarkEnd w:id="4015"/>
    </w:p>
    <w:p w14:paraId="5E856168">
      <w:pPr>
        <w:spacing w:beforeLines="0" w:afterLines="0" w:line="400" w:lineRule="exact"/>
        <w:ind w:firstLine="482"/>
        <w:rPr>
          <w:rFonts w:hint="default"/>
          <w:color w:val="000000"/>
          <w:sz w:val="21"/>
          <w:highlight w:val="none"/>
        </w:rPr>
      </w:pPr>
      <w:r>
        <w:rPr>
          <w:rFonts w:hint="eastAsia"/>
          <w:color w:val="000000"/>
          <w:sz w:val="21"/>
          <w:highlight w:val="none"/>
        </w:rPr>
        <w:t>定标委员会依据本章第2款规定的标准，结合核验、考察、答辩、比优、比劣等定标因素，对中标候选人进行综合考量，从评标委员会推荐的中标候选人中择优确定中标人。定标完成后，定标委员会应提交书面定标报告。</w:t>
      </w:r>
    </w:p>
    <w:p w14:paraId="2980747F">
      <w:pPr>
        <w:pStyle w:val="4"/>
        <w:spacing w:afterLines="0"/>
        <w:rPr>
          <w:rFonts w:hint="default"/>
          <w:color w:val="000000"/>
          <w:sz w:val="24"/>
          <w:highlight w:val="none"/>
        </w:rPr>
      </w:pPr>
      <w:bookmarkStart w:id="4016" w:name="_Toc7380"/>
      <w:r>
        <w:rPr>
          <w:rFonts w:hint="eastAsia"/>
          <w:color w:val="000000"/>
          <w:sz w:val="24"/>
          <w:highlight w:val="none"/>
          <w:lang w:val="en-US" w:eastAsia="zh-CN"/>
        </w:rPr>
        <w:t>5</w:t>
      </w:r>
      <w:r>
        <w:rPr>
          <w:rFonts w:hint="eastAsia"/>
          <w:color w:val="000000"/>
          <w:sz w:val="24"/>
          <w:highlight w:val="none"/>
        </w:rPr>
        <w:t>. 特殊情况的处置程序</w:t>
      </w:r>
      <w:bookmarkEnd w:id="4016"/>
    </w:p>
    <w:p w14:paraId="3955A1CF">
      <w:pPr>
        <w:pStyle w:val="5"/>
        <w:spacing w:afterLines="0"/>
        <w:rPr>
          <w:rFonts w:hint="eastAsia"/>
          <w:color w:val="000000"/>
          <w:sz w:val="21"/>
          <w:highlight w:val="none"/>
        </w:rPr>
      </w:pPr>
      <w:bookmarkStart w:id="4017" w:name="_Toc13643"/>
      <w:r>
        <w:rPr>
          <w:rFonts w:hint="eastAsia"/>
          <w:color w:val="000000"/>
          <w:sz w:val="21"/>
          <w:highlight w:val="none"/>
          <w:lang w:val="en-US" w:eastAsia="zh-CN"/>
        </w:rPr>
        <w:t>5</w:t>
      </w:r>
      <w:r>
        <w:rPr>
          <w:rFonts w:hint="eastAsia"/>
          <w:color w:val="000000"/>
          <w:sz w:val="21"/>
          <w:highlight w:val="none"/>
        </w:rPr>
        <w:t>.1 关于定标活动暂停</w:t>
      </w:r>
      <w:bookmarkEnd w:id="4017"/>
    </w:p>
    <w:p w14:paraId="78FB60A7">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.1.1 定标委员会应当执行连续定标的原则，按定标办法中规定的程序、内容、方法、标准完成全部定标工作。只有发生不可抗力导致定标工作无法继续时，定标活动方可暂停。</w:t>
      </w:r>
    </w:p>
    <w:p w14:paraId="3714703C">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.1.2 发生定标暂停情况时，定标委员会应当封存全部文件和定标记录，待不可抗力的影响结束且具备继续定标的条件时，由原定标委员会继续定标。</w:t>
      </w:r>
    </w:p>
    <w:p w14:paraId="7178F542">
      <w:pPr>
        <w:pStyle w:val="5"/>
        <w:spacing w:afterLines="0"/>
        <w:rPr>
          <w:rFonts w:hint="eastAsia"/>
          <w:color w:val="000000"/>
          <w:sz w:val="21"/>
          <w:highlight w:val="none"/>
        </w:rPr>
      </w:pPr>
      <w:bookmarkStart w:id="4018" w:name="_Toc24973"/>
      <w:r>
        <w:rPr>
          <w:rFonts w:hint="eastAsia"/>
          <w:color w:val="000000"/>
          <w:sz w:val="21"/>
          <w:highlight w:val="none"/>
          <w:lang w:val="en-US" w:eastAsia="zh-CN"/>
        </w:rPr>
        <w:t>5</w:t>
      </w:r>
      <w:r>
        <w:rPr>
          <w:rFonts w:hint="eastAsia"/>
          <w:color w:val="000000"/>
          <w:sz w:val="21"/>
          <w:highlight w:val="none"/>
        </w:rPr>
        <w:t>.2 关于定标中途更换评标委员会成员</w:t>
      </w:r>
      <w:bookmarkEnd w:id="4018"/>
    </w:p>
    <w:p w14:paraId="5345B392">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.2.1 除非发生下列情况之一，定标委员会成员不得在定标中途更换：</w:t>
      </w:r>
    </w:p>
    <w:p w14:paraId="7AFBE78B">
      <w:pPr>
        <w:spacing w:beforeLines="0" w:afterLines="0" w:line="400" w:lineRule="exact"/>
        <w:ind w:firstLine="482"/>
        <w:rPr>
          <w:rFonts w:hint="default"/>
          <w:color w:val="000000"/>
          <w:sz w:val="21"/>
          <w:highlight w:val="none"/>
        </w:rPr>
      </w:pPr>
      <w:r>
        <w:rPr>
          <w:rFonts w:hint="eastAsia"/>
          <w:color w:val="000000"/>
          <w:sz w:val="21"/>
          <w:highlight w:val="none"/>
        </w:rPr>
        <w:t>(1) 因不可抗拒的客观原因，不能到场或需在定标中途退出定标活动。</w:t>
      </w:r>
    </w:p>
    <w:p w14:paraId="6F08C277">
      <w:pPr>
        <w:spacing w:beforeLines="0" w:afterLines="0" w:line="400" w:lineRule="exact"/>
        <w:ind w:firstLine="482"/>
        <w:rPr>
          <w:rFonts w:hint="default"/>
          <w:color w:val="000000"/>
          <w:sz w:val="21"/>
          <w:highlight w:val="none"/>
        </w:rPr>
      </w:pPr>
      <w:r>
        <w:rPr>
          <w:rFonts w:hint="eastAsia"/>
          <w:color w:val="000000"/>
          <w:sz w:val="21"/>
          <w:highlight w:val="none"/>
        </w:rPr>
        <w:t>(2) 根据法律法规规定，某个或某几个定标委员会成员需要回避。</w:t>
      </w:r>
    </w:p>
    <w:p w14:paraId="129C460C">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.2.2 退出定标的定标委员会成员，其已完成的定标行为无效。由招标人根据本招标文件规定的定标委员会成员产生方式另行确定替代者进行定标。</w:t>
      </w:r>
    </w:p>
    <w:p w14:paraId="7D19A19C">
      <w:pPr>
        <w:pStyle w:val="5"/>
        <w:spacing w:afterLines="0"/>
        <w:rPr>
          <w:rFonts w:hint="eastAsia"/>
          <w:color w:val="000000"/>
          <w:sz w:val="21"/>
          <w:highlight w:val="none"/>
        </w:rPr>
      </w:pPr>
      <w:bookmarkStart w:id="4019" w:name="_Toc32424"/>
      <w:r>
        <w:rPr>
          <w:rFonts w:hint="eastAsia"/>
          <w:color w:val="000000"/>
          <w:sz w:val="21"/>
          <w:highlight w:val="none"/>
          <w:lang w:val="en-US" w:eastAsia="zh-CN"/>
        </w:rPr>
        <w:t>5</w:t>
      </w:r>
      <w:r>
        <w:rPr>
          <w:rFonts w:hint="eastAsia"/>
          <w:color w:val="000000"/>
          <w:sz w:val="21"/>
          <w:highlight w:val="none"/>
        </w:rPr>
        <w:t>.3 定标争议处理</w:t>
      </w:r>
      <w:bookmarkEnd w:id="4019"/>
    </w:p>
    <w:p w14:paraId="234383C9">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.3.1 定标委员会全体成员应对所提出的定标意见承担个人责任。</w:t>
      </w:r>
    </w:p>
    <w:p w14:paraId="0BBD39B6">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.3.2 在任何定标环节中，需定标委员会就某项定性的评审结论做出表决的，由定标委员会全体成员按照少数服从多数的原则，以记名投票方式表决。表决不得违背法律、法规、规章和招标文件的规定。</w:t>
      </w:r>
    </w:p>
    <w:p w14:paraId="7D1EED9E">
      <w:pPr>
        <w:spacing w:beforeLines="0" w:afterLines="0" w:line="400" w:lineRule="exact"/>
        <w:ind w:firstLine="482"/>
        <w:rPr>
          <w:rFonts w:hint="default"/>
          <w:color w:val="000000"/>
          <w:sz w:val="21"/>
          <w:highlight w:val="none"/>
        </w:rPr>
      </w:pPr>
      <w:r>
        <w:rPr>
          <w:rFonts w:hint="eastAsia"/>
          <w:color w:val="000000"/>
          <w:sz w:val="21"/>
          <w:highlight w:val="none"/>
          <w:lang w:val="en-US" w:eastAsia="zh-CN"/>
        </w:rPr>
        <w:t>5</w:t>
      </w:r>
      <w:r>
        <w:rPr>
          <w:rFonts w:hint="eastAsia"/>
          <w:color w:val="000000"/>
          <w:sz w:val="21"/>
          <w:highlight w:val="none"/>
        </w:rPr>
        <w:t>.3.3 定标委员会成员对集体决议或定标结论持有异议的，可以书面阐述其不同意见和理由。拒绝在集体决议或定标报告上签名，且不陈述其不同意见和理由的，视为同意集体决议或定标结论，定标委员会应当对此在定标报告中做出说明。</w:t>
      </w:r>
    </w:p>
    <w:p w14:paraId="0222B06F">
      <w:pPr>
        <w:numPr>
          <w:ilvl w:val="0"/>
          <w:numId w:val="0"/>
        </w:numPr>
        <w:spacing w:beforeLines="0" w:afterLines="0"/>
        <w:rPr>
          <w:rFonts w:hint="default"/>
          <w:color w:val="000000"/>
          <w:sz w:val="21"/>
          <w:highlight w:val="none"/>
        </w:rPr>
      </w:pPr>
      <w:r>
        <w:rPr>
          <w:rFonts w:hint="eastAsia"/>
          <w:color w:val="000000"/>
          <w:sz w:val="24"/>
          <w:highlight w:val="none"/>
          <w:lang w:val="en-US" w:eastAsia="zh-CN"/>
        </w:rPr>
        <w:t>6</w:t>
      </w:r>
      <w:r>
        <w:rPr>
          <w:rFonts w:hint="eastAsia"/>
          <w:color w:val="000000"/>
          <w:sz w:val="24"/>
          <w:highlight w:val="none"/>
        </w:rPr>
        <w:t xml:space="preserve">. </w:t>
      </w:r>
      <w:r>
        <w:rPr>
          <w:rFonts w:hint="eastAsia" w:ascii="宋体" w:hAnsi="宋体"/>
          <w:b/>
          <w:color w:val="000000"/>
          <w:sz w:val="24"/>
          <w:highlight w:val="none"/>
          <w:lang w:val="zh-CN"/>
        </w:rPr>
        <w:t>补充条款（非定标因素）</w:t>
      </w:r>
    </w:p>
    <w:p w14:paraId="506A62E0">
      <w:pPr>
        <w:pStyle w:val="2"/>
        <w:spacing w:beforeLines="0"/>
        <w:rPr>
          <w:rFonts w:hint="default"/>
          <w:color w:val="000000"/>
          <w:sz w:val="21"/>
          <w:highlight w:val="none"/>
        </w:rPr>
      </w:pPr>
    </w:p>
    <w:p w14:paraId="20A978B4">
      <w:pPr>
        <w:pStyle w:val="2"/>
        <w:rPr>
          <w:color w:val="000000" w:themeColor="text1"/>
          <w:highlight w:val="none"/>
          <w14:textFill>
            <w14:solidFill>
              <w14:schemeClr w14:val="tx1"/>
            </w14:solidFill>
          </w14:textFill>
        </w:rPr>
      </w:pPr>
    </w:p>
    <w:p w14:paraId="1B494A87">
      <w:pPr>
        <w:pStyle w:val="2"/>
        <w:rPr>
          <w:rFonts w:hint="eastAsia"/>
          <w:highlight w:val="none"/>
        </w:rPr>
      </w:pPr>
    </w:p>
    <w:p w14:paraId="142E859C">
      <w:pPr>
        <w:rPr>
          <w:color w:val="auto"/>
          <w:highlight w:val="none"/>
        </w:rPr>
      </w:pPr>
    </w:p>
    <w:bookmarkEnd w:id="4020"/>
    <w:sectPr>
      <w:footerReference r:id="rId11" w:type="default"/>
      <w:footerReference r:id="rId12" w:type="even"/>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宋体"/>
    <w:panose1 w:val="00000000000000000000"/>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宋体"/>
    <w:panose1 w:val="00000000000000000000"/>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9F2F0">
    <w:pPr>
      <w:pStyle w:val="25"/>
      <w:rPr>
        <w:rFonts w:hint="eastAsia"/>
      </w:rPr>
    </w:pPr>
  </w:p>
  <w:p w14:paraId="3F98DE18"/>
  <w:p w14:paraId="66FF4370">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3</w:t>
    </w:r>
    <w:r>
      <w:fldChar w:fldCharType="end"/>
    </w:r>
  </w:p>
  <w:p w14:paraId="3FBF8E65">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43C0">
    <w:pPr>
      <w:pStyle w:val="25"/>
      <w:rPr>
        <w:rFonts w:hint="eastAsia"/>
      </w:rPr>
    </w:pPr>
  </w:p>
  <w:p w14:paraId="4CA95BA8"/>
  <w:p w14:paraId="7DC386DA">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127</w:t>
    </w:r>
    <w:r>
      <w:fldChar w:fldCharType="end"/>
    </w:r>
  </w:p>
  <w:p w14:paraId="6E9A05CC">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A50F2">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166</w:t>
    </w:r>
    <w:r>
      <w:fldChar w:fldCharType="end"/>
    </w:r>
  </w:p>
  <w:p w14:paraId="2050C7CF">
    <w:pPr>
      <w:pStyle w:val="25"/>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329CA">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24</w:t>
    </w:r>
    <w:r>
      <w:fldChar w:fldCharType="end"/>
    </w:r>
  </w:p>
  <w:p w14:paraId="18B39623">
    <w:pPr>
      <w:pStyle w:val="2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772C9">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170</w:t>
    </w:r>
    <w:r>
      <w:fldChar w:fldCharType="end"/>
    </w:r>
  </w:p>
  <w:p w14:paraId="5B471D40">
    <w:pPr>
      <w:pStyle w:val="25"/>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E1A3">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24</w:t>
    </w:r>
    <w:r>
      <w:fldChar w:fldCharType="end"/>
    </w:r>
  </w:p>
  <w:p w14:paraId="26825088">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7904F">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76B26">
    <w:pPr>
      <w:pStyle w:val="2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9504E"/>
    <w:multiLevelType w:val="singleLevel"/>
    <w:tmpl w:val="A439504E"/>
    <w:lvl w:ilvl="0" w:tentative="0">
      <w:start w:val="1"/>
      <w:numFmt w:val="decimal"/>
      <w:suff w:val="nothing"/>
      <w:lvlText w:val="（%1）"/>
      <w:lvlJc w:val="left"/>
    </w:lvl>
  </w:abstractNum>
  <w:abstractNum w:abstractNumId="1">
    <w:nsid w:val="DF45443B"/>
    <w:multiLevelType w:val="singleLevel"/>
    <w:tmpl w:val="DF45443B"/>
    <w:lvl w:ilvl="0" w:tentative="0">
      <w:start w:val="2"/>
      <w:numFmt w:val="decimal"/>
      <w:suff w:val="nothing"/>
      <w:lvlText w:val="%1．"/>
      <w:lvlJc w:val="left"/>
    </w:lvl>
  </w:abstractNum>
  <w:abstractNum w:abstractNumId="2">
    <w:nsid w:val="04F218E0"/>
    <w:multiLevelType w:val="singleLevel"/>
    <w:tmpl w:val="04F218E0"/>
    <w:lvl w:ilvl="0" w:tentative="0">
      <w:start w:val="1"/>
      <w:numFmt w:val="decimal"/>
      <w:suff w:val="nothing"/>
      <w:lvlText w:val="（%1）"/>
      <w:lvlJc w:val="left"/>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鸵鸵">
    <w15:presenceInfo w15:providerId="None" w15:userId="鸵鸵"/>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9"/>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0NTVmYTU1ZjVjZDY1MzM5NDc5YTU4NGY2ODZkZjUifQ=="/>
  </w:docVars>
  <w:rsids>
    <w:rsidRoot w:val="00172A27"/>
    <w:rsid w:val="000041E8"/>
    <w:rsid w:val="00010364"/>
    <w:rsid w:val="000126EC"/>
    <w:rsid w:val="000155CE"/>
    <w:rsid w:val="00015B24"/>
    <w:rsid w:val="00021026"/>
    <w:rsid w:val="00022231"/>
    <w:rsid w:val="0002439D"/>
    <w:rsid w:val="00027CAA"/>
    <w:rsid w:val="00030627"/>
    <w:rsid w:val="00031681"/>
    <w:rsid w:val="000330C4"/>
    <w:rsid w:val="000352B6"/>
    <w:rsid w:val="00035EF8"/>
    <w:rsid w:val="00036718"/>
    <w:rsid w:val="000374CE"/>
    <w:rsid w:val="000378FE"/>
    <w:rsid w:val="00042D87"/>
    <w:rsid w:val="00063326"/>
    <w:rsid w:val="00063E3B"/>
    <w:rsid w:val="00066D8F"/>
    <w:rsid w:val="00070838"/>
    <w:rsid w:val="00072DF0"/>
    <w:rsid w:val="00074DE4"/>
    <w:rsid w:val="000808B1"/>
    <w:rsid w:val="0008172F"/>
    <w:rsid w:val="00086A61"/>
    <w:rsid w:val="00092DE0"/>
    <w:rsid w:val="000932B7"/>
    <w:rsid w:val="00093C11"/>
    <w:rsid w:val="00097508"/>
    <w:rsid w:val="000A1BD9"/>
    <w:rsid w:val="000A35EB"/>
    <w:rsid w:val="000A49FB"/>
    <w:rsid w:val="000B34C3"/>
    <w:rsid w:val="000B557B"/>
    <w:rsid w:val="000B59E1"/>
    <w:rsid w:val="000B7985"/>
    <w:rsid w:val="000B7EC5"/>
    <w:rsid w:val="000C02E8"/>
    <w:rsid w:val="000C7ED7"/>
    <w:rsid w:val="000D089D"/>
    <w:rsid w:val="000D0CF0"/>
    <w:rsid w:val="000D49E5"/>
    <w:rsid w:val="000E1A82"/>
    <w:rsid w:val="000E453A"/>
    <w:rsid w:val="000E5A91"/>
    <w:rsid w:val="000F09DC"/>
    <w:rsid w:val="000F2E42"/>
    <w:rsid w:val="000F60D7"/>
    <w:rsid w:val="001011C3"/>
    <w:rsid w:val="00105DA1"/>
    <w:rsid w:val="00110256"/>
    <w:rsid w:val="00117E47"/>
    <w:rsid w:val="00117E61"/>
    <w:rsid w:val="00121B08"/>
    <w:rsid w:val="00124FB7"/>
    <w:rsid w:val="0012760A"/>
    <w:rsid w:val="001305E1"/>
    <w:rsid w:val="00131391"/>
    <w:rsid w:val="001320BE"/>
    <w:rsid w:val="001348F8"/>
    <w:rsid w:val="00136263"/>
    <w:rsid w:val="00147E59"/>
    <w:rsid w:val="00153558"/>
    <w:rsid w:val="001541D0"/>
    <w:rsid w:val="00156215"/>
    <w:rsid w:val="00161402"/>
    <w:rsid w:val="00165B7E"/>
    <w:rsid w:val="0016770D"/>
    <w:rsid w:val="00173039"/>
    <w:rsid w:val="00175604"/>
    <w:rsid w:val="00176346"/>
    <w:rsid w:val="0018288C"/>
    <w:rsid w:val="00183699"/>
    <w:rsid w:val="0018426B"/>
    <w:rsid w:val="001A0B36"/>
    <w:rsid w:val="001A352E"/>
    <w:rsid w:val="001A5619"/>
    <w:rsid w:val="001B47FC"/>
    <w:rsid w:val="001B4C0A"/>
    <w:rsid w:val="001D58EF"/>
    <w:rsid w:val="001E11A5"/>
    <w:rsid w:val="001E3327"/>
    <w:rsid w:val="001F303D"/>
    <w:rsid w:val="001F3A45"/>
    <w:rsid w:val="001F5B84"/>
    <w:rsid w:val="001F7A26"/>
    <w:rsid w:val="002044FF"/>
    <w:rsid w:val="0020465B"/>
    <w:rsid w:val="0021464B"/>
    <w:rsid w:val="00214E70"/>
    <w:rsid w:val="00223454"/>
    <w:rsid w:val="002241D8"/>
    <w:rsid w:val="00231057"/>
    <w:rsid w:val="00232E3B"/>
    <w:rsid w:val="0023361F"/>
    <w:rsid w:val="00241C95"/>
    <w:rsid w:val="00247661"/>
    <w:rsid w:val="002478A9"/>
    <w:rsid w:val="00256A0E"/>
    <w:rsid w:val="00256C4C"/>
    <w:rsid w:val="00260CED"/>
    <w:rsid w:val="00272D0F"/>
    <w:rsid w:val="00274C98"/>
    <w:rsid w:val="002765FF"/>
    <w:rsid w:val="00276848"/>
    <w:rsid w:val="002806C7"/>
    <w:rsid w:val="00280CA2"/>
    <w:rsid w:val="00284490"/>
    <w:rsid w:val="00291715"/>
    <w:rsid w:val="0029486F"/>
    <w:rsid w:val="002A17F7"/>
    <w:rsid w:val="002A2944"/>
    <w:rsid w:val="002A3528"/>
    <w:rsid w:val="002A4A2E"/>
    <w:rsid w:val="002A55E0"/>
    <w:rsid w:val="002A6057"/>
    <w:rsid w:val="002A7B7F"/>
    <w:rsid w:val="002B0929"/>
    <w:rsid w:val="002B532F"/>
    <w:rsid w:val="002C0B67"/>
    <w:rsid w:val="002C2398"/>
    <w:rsid w:val="002C26CA"/>
    <w:rsid w:val="002C2706"/>
    <w:rsid w:val="002C6C69"/>
    <w:rsid w:val="002C7234"/>
    <w:rsid w:val="002C772F"/>
    <w:rsid w:val="002D1259"/>
    <w:rsid w:val="002D1503"/>
    <w:rsid w:val="002D26A4"/>
    <w:rsid w:val="002E07BC"/>
    <w:rsid w:val="002E171E"/>
    <w:rsid w:val="002E2CE4"/>
    <w:rsid w:val="002E4BE4"/>
    <w:rsid w:val="002F1F92"/>
    <w:rsid w:val="002F4B27"/>
    <w:rsid w:val="002F4F59"/>
    <w:rsid w:val="00311963"/>
    <w:rsid w:val="00317511"/>
    <w:rsid w:val="00321034"/>
    <w:rsid w:val="00322A0A"/>
    <w:rsid w:val="00324FF8"/>
    <w:rsid w:val="00326BA7"/>
    <w:rsid w:val="0033001C"/>
    <w:rsid w:val="00332ED1"/>
    <w:rsid w:val="0033554E"/>
    <w:rsid w:val="00340117"/>
    <w:rsid w:val="003403F6"/>
    <w:rsid w:val="0034190E"/>
    <w:rsid w:val="00345BC0"/>
    <w:rsid w:val="003520BB"/>
    <w:rsid w:val="003530A3"/>
    <w:rsid w:val="003533F7"/>
    <w:rsid w:val="003545DA"/>
    <w:rsid w:val="003566B4"/>
    <w:rsid w:val="00357234"/>
    <w:rsid w:val="00360838"/>
    <w:rsid w:val="003630A1"/>
    <w:rsid w:val="00366C8F"/>
    <w:rsid w:val="003718DB"/>
    <w:rsid w:val="00373547"/>
    <w:rsid w:val="003776A7"/>
    <w:rsid w:val="00377715"/>
    <w:rsid w:val="00393BD5"/>
    <w:rsid w:val="003A0184"/>
    <w:rsid w:val="003A0217"/>
    <w:rsid w:val="003A13FC"/>
    <w:rsid w:val="003A741F"/>
    <w:rsid w:val="003B3D2B"/>
    <w:rsid w:val="003B4085"/>
    <w:rsid w:val="003B4C79"/>
    <w:rsid w:val="003B59CC"/>
    <w:rsid w:val="003B6002"/>
    <w:rsid w:val="003B71FF"/>
    <w:rsid w:val="003B7988"/>
    <w:rsid w:val="003C0CF8"/>
    <w:rsid w:val="003C22D9"/>
    <w:rsid w:val="003C4F98"/>
    <w:rsid w:val="003C59DC"/>
    <w:rsid w:val="003C5AE6"/>
    <w:rsid w:val="003C6880"/>
    <w:rsid w:val="003C7FF3"/>
    <w:rsid w:val="003D4731"/>
    <w:rsid w:val="003D522B"/>
    <w:rsid w:val="003D6E9F"/>
    <w:rsid w:val="003D7860"/>
    <w:rsid w:val="003E0E62"/>
    <w:rsid w:val="003E22CC"/>
    <w:rsid w:val="003E768D"/>
    <w:rsid w:val="003E7BEE"/>
    <w:rsid w:val="00402F95"/>
    <w:rsid w:val="004031D8"/>
    <w:rsid w:val="00407157"/>
    <w:rsid w:val="00410268"/>
    <w:rsid w:val="00411E40"/>
    <w:rsid w:val="00412E11"/>
    <w:rsid w:val="00413769"/>
    <w:rsid w:val="00413C6A"/>
    <w:rsid w:val="004145F0"/>
    <w:rsid w:val="00414973"/>
    <w:rsid w:val="0041780D"/>
    <w:rsid w:val="00421F4F"/>
    <w:rsid w:val="00422398"/>
    <w:rsid w:val="00422F07"/>
    <w:rsid w:val="0042385B"/>
    <w:rsid w:val="0042654B"/>
    <w:rsid w:val="004315FE"/>
    <w:rsid w:val="00444E02"/>
    <w:rsid w:val="0044734E"/>
    <w:rsid w:val="004473E9"/>
    <w:rsid w:val="004502C1"/>
    <w:rsid w:val="0045115A"/>
    <w:rsid w:val="00451257"/>
    <w:rsid w:val="004518D8"/>
    <w:rsid w:val="00451AC5"/>
    <w:rsid w:val="00453001"/>
    <w:rsid w:val="00461543"/>
    <w:rsid w:val="004624CB"/>
    <w:rsid w:val="0046445C"/>
    <w:rsid w:val="00470D86"/>
    <w:rsid w:val="00476BBF"/>
    <w:rsid w:val="00477D1C"/>
    <w:rsid w:val="00480CA7"/>
    <w:rsid w:val="004819B4"/>
    <w:rsid w:val="00481E9F"/>
    <w:rsid w:val="00482507"/>
    <w:rsid w:val="00483536"/>
    <w:rsid w:val="0048505B"/>
    <w:rsid w:val="00487ED5"/>
    <w:rsid w:val="00490ACF"/>
    <w:rsid w:val="0049386D"/>
    <w:rsid w:val="00497458"/>
    <w:rsid w:val="00497871"/>
    <w:rsid w:val="004A246A"/>
    <w:rsid w:val="004A4D95"/>
    <w:rsid w:val="004A7D73"/>
    <w:rsid w:val="004B0746"/>
    <w:rsid w:val="004B42C4"/>
    <w:rsid w:val="004B4DFD"/>
    <w:rsid w:val="004B614C"/>
    <w:rsid w:val="004C5DB9"/>
    <w:rsid w:val="004D014E"/>
    <w:rsid w:val="004E03D1"/>
    <w:rsid w:val="004E29CC"/>
    <w:rsid w:val="004E4749"/>
    <w:rsid w:val="004E5FB4"/>
    <w:rsid w:val="004F48C0"/>
    <w:rsid w:val="005040FC"/>
    <w:rsid w:val="00515C7A"/>
    <w:rsid w:val="00516177"/>
    <w:rsid w:val="0051643A"/>
    <w:rsid w:val="0051693F"/>
    <w:rsid w:val="005179B2"/>
    <w:rsid w:val="005219B3"/>
    <w:rsid w:val="005233E0"/>
    <w:rsid w:val="00525183"/>
    <w:rsid w:val="00527D00"/>
    <w:rsid w:val="005354A0"/>
    <w:rsid w:val="0053634B"/>
    <w:rsid w:val="00537E4C"/>
    <w:rsid w:val="005409B8"/>
    <w:rsid w:val="00540BDD"/>
    <w:rsid w:val="00541039"/>
    <w:rsid w:val="00541198"/>
    <w:rsid w:val="005411BF"/>
    <w:rsid w:val="00541D3C"/>
    <w:rsid w:val="005536CE"/>
    <w:rsid w:val="005562DA"/>
    <w:rsid w:val="00566D77"/>
    <w:rsid w:val="00567963"/>
    <w:rsid w:val="00575E3A"/>
    <w:rsid w:val="005760EF"/>
    <w:rsid w:val="00582E90"/>
    <w:rsid w:val="005841CE"/>
    <w:rsid w:val="005855AF"/>
    <w:rsid w:val="005876C7"/>
    <w:rsid w:val="005922C6"/>
    <w:rsid w:val="0059458F"/>
    <w:rsid w:val="00594ABE"/>
    <w:rsid w:val="00596213"/>
    <w:rsid w:val="005B51BA"/>
    <w:rsid w:val="005B5B33"/>
    <w:rsid w:val="005B7487"/>
    <w:rsid w:val="005C33C9"/>
    <w:rsid w:val="005C5468"/>
    <w:rsid w:val="005C7EA1"/>
    <w:rsid w:val="005D2207"/>
    <w:rsid w:val="005D7DE5"/>
    <w:rsid w:val="005E0CE4"/>
    <w:rsid w:val="005E5226"/>
    <w:rsid w:val="005E6A77"/>
    <w:rsid w:val="005F5CB7"/>
    <w:rsid w:val="005F6ACF"/>
    <w:rsid w:val="005F7448"/>
    <w:rsid w:val="00601011"/>
    <w:rsid w:val="00603831"/>
    <w:rsid w:val="00604E81"/>
    <w:rsid w:val="0061017A"/>
    <w:rsid w:val="006172CF"/>
    <w:rsid w:val="00620790"/>
    <w:rsid w:val="0062135C"/>
    <w:rsid w:val="0062344F"/>
    <w:rsid w:val="00623887"/>
    <w:rsid w:val="00626A36"/>
    <w:rsid w:val="00627C58"/>
    <w:rsid w:val="00635DB0"/>
    <w:rsid w:val="0063730E"/>
    <w:rsid w:val="00637D68"/>
    <w:rsid w:val="00646C90"/>
    <w:rsid w:val="00647984"/>
    <w:rsid w:val="006509EF"/>
    <w:rsid w:val="00660118"/>
    <w:rsid w:val="006601C1"/>
    <w:rsid w:val="006661B7"/>
    <w:rsid w:val="0066622B"/>
    <w:rsid w:val="00670197"/>
    <w:rsid w:val="00674A54"/>
    <w:rsid w:val="00682DC9"/>
    <w:rsid w:val="006909CA"/>
    <w:rsid w:val="00691E0F"/>
    <w:rsid w:val="00694133"/>
    <w:rsid w:val="00694C9C"/>
    <w:rsid w:val="00695F2A"/>
    <w:rsid w:val="006A08EC"/>
    <w:rsid w:val="006A38E4"/>
    <w:rsid w:val="006A3C07"/>
    <w:rsid w:val="006A4D01"/>
    <w:rsid w:val="006B2FDB"/>
    <w:rsid w:val="006B5AE2"/>
    <w:rsid w:val="006B73BB"/>
    <w:rsid w:val="006C1F49"/>
    <w:rsid w:val="006D2737"/>
    <w:rsid w:val="006E2BFA"/>
    <w:rsid w:val="006E4828"/>
    <w:rsid w:val="006F3B94"/>
    <w:rsid w:val="006F66EE"/>
    <w:rsid w:val="006F6E24"/>
    <w:rsid w:val="0070142C"/>
    <w:rsid w:val="00710913"/>
    <w:rsid w:val="00711E96"/>
    <w:rsid w:val="00713DB9"/>
    <w:rsid w:val="00720501"/>
    <w:rsid w:val="00722EE9"/>
    <w:rsid w:val="00723316"/>
    <w:rsid w:val="00723C16"/>
    <w:rsid w:val="0072731B"/>
    <w:rsid w:val="007309A3"/>
    <w:rsid w:val="00732B86"/>
    <w:rsid w:val="00735A30"/>
    <w:rsid w:val="00737BDF"/>
    <w:rsid w:val="00740107"/>
    <w:rsid w:val="00740A8B"/>
    <w:rsid w:val="00740C6C"/>
    <w:rsid w:val="00741683"/>
    <w:rsid w:val="00741716"/>
    <w:rsid w:val="00744AED"/>
    <w:rsid w:val="00744CB3"/>
    <w:rsid w:val="00745F7C"/>
    <w:rsid w:val="00746ACE"/>
    <w:rsid w:val="00753E46"/>
    <w:rsid w:val="00757811"/>
    <w:rsid w:val="00757908"/>
    <w:rsid w:val="0076612A"/>
    <w:rsid w:val="00770008"/>
    <w:rsid w:val="00770116"/>
    <w:rsid w:val="007717C4"/>
    <w:rsid w:val="00772A2E"/>
    <w:rsid w:val="00773017"/>
    <w:rsid w:val="00774D8D"/>
    <w:rsid w:val="007768E9"/>
    <w:rsid w:val="00776A00"/>
    <w:rsid w:val="00777352"/>
    <w:rsid w:val="007801C2"/>
    <w:rsid w:val="00782E98"/>
    <w:rsid w:val="0079172D"/>
    <w:rsid w:val="00791D62"/>
    <w:rsid w:val="007926AE"/>
    <w:rsid w:val="00792A4F"/>
    <w:rsid w:val="007A179D"/>
    <w:rsid w:val="007A240D"/>
    <w:rsid w:val="007A5156"/>
    <w:rsid w:val="007B432E"/>
    <w:rsid w:val="007B58BD"/>
    <w:rsid w:val="007B6093"/>
    <w:rsid w:val="007C0D09"/>
    <w:rsid w:val="007C4CDC"/>
    <w:rsid w:val="007C554A"/>
    <w:rsid w:val="007D0051"/>
    <w:rsid w:val="007D058C"/>
    <w:rsid w:val="007D06B1"/>
    <w:rsid w:val="007D1C6A"/>
    <w:rsid w:val="007D1F7D"/>
    <w:rsid w:val="007D2F50"/>
    <w:rsid w:val="007D3C87"/>
    <w:rsid w:val="007D5FCB"/>
    <w:rsid w:val="007D6D03"/>
    <w:rsid w:val="007E0662"/>
    <w:rsid w:val="007E1FBD"/>
    <w:rsid w:val="007E2B9E"/>
    <w:rsid w:val="007E5D6B"/>
    <w:rsid w:val="007E6CB6"/>
    <w:rsid w:val="007F351D"/>
    <w:rsid w:val="007F52F5"/>
    <w:rsid w:val="007F57E1"/>
    <w:rsid w:val="007F62FE"/>
    <w:rsid w:val="007F7915"/>
    <w:rsid w:val="0080621B"/>
    <w:rsid w:val="008067F1"/>
    <w:rsid w:val="00807879"/>
    <w:rsid w:val="008126B1"/>
    <w:rsid w:val="0081272D"/>
    <w:rsid w:val="00815051"/>
    <w:rsid w:val="008208DB"/>
    <w:rsid w:val="008245E0"/>
    <w:rsid w:val="00824872"/>
    <w:rsid w:val="00826CA2"/>
    <w:rsid w:val="00827B47"/>
    <w:rsid w:val="00831139"/>
    <w:rsid w:val="008315AF"/>
    <w:rsid w:val="0083208B"/>
    <w:rsid w:val="00832F17"/>
    <w:rsid w:val="00834B55"/>
    <w:rsid w:val="00834DDC"/>
    <w:rsid w:val="0083637B"/>
    <w:rsid w:val="00836F8A"/>
    <w:rsid w:val="0083730E"/>
    <w:rsid w:val="00837D79"/>
    <w:rsid w:val="008438E8"/>
    <w:rsid w:val="0084589D"/>
    <w:rsid w:val="008458E1"/>
    <w:rsid w:val="00852E43"/>
    <w:rsid w:val="008536D7"/>
    <w:rsid w:val="00856D1C"/>
    <w:rsid w:val="008646D0"/>
    <w:rsid w:val="00864E75"/>
    <w:rsid w:val="008654D0"/>
    <w:rsid w:val="00865AAD"/>
    <w:rsid w:val="00873704"/>
    <w:rsid w:val="008843D1"/>
    <w:rsid w:val="00894B61"/>
    <w:rsid w:val="00894F72"/>
    <w:rsid w:val="0089552C"/>
    <w:rsid w:val="008A4A65"/>
    <w:rsid w:val="008A4CA8"/>
    <w:rsid w:val="008B3E3C"/>
    <w:rsid w:val="008B4221"/>
    <w:rsid w:val="008B4733"/>
    <w:rsid w:val="008B6034"/>
    <w:rsid w:val="008C4662"/>
    <w:rsid w:val="008D28CC"/>
    <w:rsid w:val="008D2E86"/>
    <w:rsid w:val="008D4A04"/>
    <w:rsid w:val="008D5509"/>
    <w:rsid w:val="008D6844"/>
    <w:rsid w:val="008E0ABA"/>
    <w:rsid w:val="008E1004"/>
    <w:rsid w:val="008E319E"/>
    <w:rsid w:val="008E3456"/>
    <w:rsid w:val="008E3DE3"/>
    <w:rsid w:val="008E4D50"/>
    <w:rsid w:val="008E5280"/>
    <w:rsid w:val="008E57AB"/>
    <w:rsid w:val="008F118A"/>
    <w:rsid w:val="008F22B4"/>
    <w:rsid w:val="009242CA"/>
    <w:rsid w:val="00924D07"/>
    <w:rsid w:val="009340D1"/>
    <w:rsid w:val="009418AB"/>
    <w:rsid w:val="00941A0B"/>
    <w:rsid w:val="00946875"/>
    <w:rsid w:val="00962BAC"/>
    <w:rsid w:val="00971CF4"/>
    <w:rsid w:val="00972976"/>
    <w:rsid w:val="00974180"/>
    <w:rsid w:val="0097558F"/>
    <w:rsid w:val="00985CBB"/>
    <w:rsid w:val="009914FC"/>
    <w:rsid w:val="0099655A"/>
    <w:rsid w:val="00997DA9"/>
    <w:rsid w:val="009B0965"/>
    <w:rsid w:val="009B1372"/>
    <w:rsid w:val="009B4586"/>
    <w:rsid w:val="009B569A"/>
    <w:rsid w:val="009C2717"/>
    <w:rsid w:val="009C47F0"/>
    <w:rsid w:val="009C4D65"/>
    <w:rsid w:val="009C7EF9"/>
    <w:rsid w:val="009D0E13"/>
    <w:rsid w:val="009D46B9"/>
    <w:rsid w:val="009D4756"/>
    <w:rsid w:val="009E6DA7"/>
    <w:rsid w:val="009F136C"/>
    <w:rsid w:val="009F1E6D"/>
    <w:rsid w:val="009F28B8"/>
    <w:rsid w:val="009F2F94"/>
    <w:rsid w:val="009F6F03"/>
    <w:rsid w:val="009F741A"/>
    <w:rsid w:val="00A022E4"/>
    <w:rsid w:val="00A026EC"/>
    <w:rsid w:val="00A10EC0"/>
    <w:rsid w:val="00A13C3F"/>
    <w:rsid w:val="00A14283"/>
    <w:rsid w:val="00A15D97"/>
    <w:rsid w:val="00A15EB9"/>
    <w:rsid w:val="00A1625D"/>
    <w:rsid w:val="00A16337"/>
    <w:rsid w:val="00A220A1"/>
    <w:rsid w:val="00A240EB"/>
    <w:rsid w:val="00A24156"/>
    <w:rsid w:val="00A25993"/>
    <w:rsid w:val="00A431B2"/>
    <w:rsid w:val="00A44992"/>
    <w:rsid w:val="00A44F06"/>
    <w:rsid w:val="00A50F3D"/>
    <w:rsid w:val="00A511AF"/>
    <w:rsid w:val="00A52B74"/>
    <w:rsid w:val="00A556D8"/>
    <w:rsid w:val="00A565F6"/>
    <w:rsid w:val="00A5706F"/>
    <w:rsid w:val="00A611DA"/>
    <w:rsid w:val="00A614FD"/>
    <w:rsid w:val="00A61ABF"/>
    <w:rsid w:val="00A623FD"/>
    <w:rsid w:val="00A636B4"/>
    <w:rsid w:val="00A7262C"/>
    <w:rsid w:val="00A74AB7"/>
    <w:rsid w:val="00A74EA9"/>
    <w:rsid w:val="00A9202D"/>
    <w:rsid w:val="00A93E51"/>
    <w:rsid w:val="00A942AA"/>
    <w:rsid w:val="00A9517F"/>
    <w:rsid w:val="00AA2079"/>
    <w:rsid w:val="00AA2385"/>
    <w:rsid w:val="00AA3860"/>
    <w:rsid w:val="00AB0397"/>
    <w:rsid w:val="00AB13D6"/>
    <w:rsid w:val="00AB238A"/>
    <w:rsid w:val="00AC0696"/>
    <w:rsid w:val="00AC078B"/>
    <w:rsid w:val="00AC11A7"/>
    <w:rsid w:val="00AD1F46"/>
    <w:rsid w:val="00AD3F01"/>
    <w:rsid w:val="00AD6519"/>
    <w:rsid w:val="00AE6B44"/>
    <w:rsid w:val="00AF51D0"/>
    <w:rsid w:val="00AF5FC9"/>
    <w:rsid w:val="00AF750E"/>
    <w:rsid w:val="00B04972"/>
    <w:rsid w:val="00B05D55"/>
    <w:rsid w:val="00B061FA"/>
    <w:rsid w:val="00B071AC"/>
    <w:rsid w:val="00B10836"/>
    <w:rsid w:val="00B13DC8"/>
    <w:rsid w:val="00B16574"/>
    <w:rsid w:val="00B16AD0"/>
    <w:rsid w:val="00B20F81"/>
    <w:rsid w:val="00B213A3"/>
    <w:rsid w:val="00B229BF"/>
    <w:rsid w:val="00B300AA"/>
    <w:rsid w:val="00B3181F"/>
    <w:rsid w:val="00B35917"/>
    <w:rsid w:val="00B429B1"/>
    <w:rsid w:val="00B4331C"/>
    <w:rsid w:val="00B46A1F"/>
    <w:rsid w:val="00B54DDB"/>
    <w:rsid w:val="00B61318"/>
    <w:rsid w:val="00B61CE3"/>
    <w:rsid w:val="00B63995"/>
    <w:rsid w:val="00B66FDA"/>
    <w:rsid w:val="00B70EA7"/>
    <w:rsid w:val="00B74F50"/>
    <w:rsid w:val="00B771CF"/>
    <w:rsid w:val="00B85C3E"/>
    <w:rsid w:val="00B8691E"/>
    <w:rsid w:val="00B8692F"/>
    <w:rsid w:val="00B94CBC"/>
    <w:rsid w:val="00BA37DD"/>
    <w:rsid w:val="00BA656E"/>
    <w:rsid w:val="00BA6691"/>
    <w:rsid w:val="00BA722E"/>
    <w:rsid w:val="00BA74E8"/>
    <w:rsid w:val="00BC0028"/>
    <w:rsid w:val="00BC092F"/>
    <w:rsid w:val="00BC549F"/>
    <w:rsid w:val="00BC7B77"/>
    <w:rsid w:val="00BD2301"/>
    <w:rsid w:val="00BD3BA2"/>
    <w:rsid w:val="00BD787A"/>
    <w:rsid w:val="00BD7F3F"/>
    <w:rsid w:val="00BE1E61"/>
    <w:rsid w:val="00BE1F9F"/>
    <w:rsid w:val="00BF12BB"/>
    <w:rsid w:val="00BF1FC9"/>
    <w:rsid w:val="00BF249A"/>
    <w:rsid w:val="00BF279C"/>
    <w:rsid w:val="00C007FE"/>
    <w:rsid w:val="00C00D24"/>
    <w:rsid w:val="00C010EF"/>
    <w:rsid w:val="00C05B5B"/>
    <w:rsid w:val="00C065C2"/>
    <w:rsid w:val="00C06F66"/>
    <w:rsid w:val="00C209D0"/>
    <w:rsid w:val="00C21689"/>
    <w:rsid w:val="00C22C67"/>
    <w:rsid w:val="00C23CF5"/>
    <w:rsid w:val="00C2407A"/>
    <w:rsid w:val="00C24BD1"/>
    <w:rsid w:val="00C3086B"/>
    <w:rsid w:val="00C34BD4"/>
    <w:rsid w:val="00C352F0"/>
    <w:rsid w:val="00C35A64"/>
    <w:rsid w:val="00C35D79"/>
    <w:rsid w:val="00C36E91"/>
    <w:rsid w:val="00C44026"/>
    <w:rsid w:val="00C458EA"/>
    <w:rsid w:val="00C45E34"/>
    <w:rsid w:val="00C470FB"/>
    <w:rsid w:val="00C47328"/>
    <w:rsid w:val="00C51E06"/>
    <w:rsid w:val="00C5377A"/>
    <w:rsid w:val="00C543B4"/>
    <w:rsid w:val="00C5485E"/>
    <w:rsid w:val="00C67BFB"/>
    <w:rsid w:val="00C702E9"/>
    <w:rsid w:val="00C70363"/>
    <w:rsid w:val="00C712F6"/>
    <w:rsid w:val="00C833EC"/>
    <w:rsid w:val="00C849BF"/>
    <w:rsid w:val="00C856C2"/>
    <w:rsid w:val="00C902A3"/>
    <w:rsid w:val="00C9663C"/>
    <w:rsid w:val="00C97D9C"/>
    <w:rsid w:val="00CA02BC"/>
    <w:rsid w:val="00CA1907"/>
    <w:rsid w:val="00CA619C"/>
    <w:rsid w:val="00CA681F"/>
    <w:rsid w:val="00CC07B4"/>
    <w:rsid w:val="00CC22DD"/>
    <w:rsid w:val="00CD2C6D"/>
    <w:rsid w:val="00CD464B"/>
    <w:rsid w:val="00CE50E2"/>
    <w:rsid w:val="00CF5D89"/>
    <w:rsid w:val="00CF6056"/>
    <w:rsid w:val="00D06DF8"/>
    <w:rsid w:val="00D07110"/>
    <w:rsid w:val="00D20C7F"/>
    <w:rsid w:val="00D23BA6"/>
    <w:rsid w:val="00D321D5"/>
    <w:rsid w:val="00D44005"/>
    <w:rsid w:val="00D4424F"/>
    <w:rsid w:val="00D44BAD"/>
    <w:rsid w:val="00D44DDE"/>
    <w:rsid w:val="00D44E29"/>
    <w:rsid w:val="00D46CD0"/>
    <w:rsid w:val="00D473F7"/>
    <w:rsid w:val="00D53380"/>
    <w:rsid w:val="00D60BA8"/>
    <w:rsid w:val="00D646CA"/>
    <w:rsid w:val="00D71785"/>
    <w:rsid w:val="00D72EF7"/>
    <w:rsid w:val="00D74259"/>
    <w:rsid w:val="00D7581B"/>
    <w:rsid w:val="00D774B4"/>
    <w:rsid w:val="00D839D1"/>
    <w:rsid w:val="00D91E37"/>
    <w:rsid w:val="00D95027"/>
    <w:rsid w:val="00D97683"/>
    <w:rsid w:val="00DA7A96"/>
    <w:rsid w:val="00DB2FCA"/>
    <w:rsid w:val="00DB4EE8"/>
    <w:rsid w:val="00DB4F8A"/>
    <w:rsid w:val="00DB7664"/>
    <w:rsid w:val="00DC2CCA"/>
    <w:rsid w:val="00DD1734"/>
    <w:rsid w:val="00DD1A76"/>
    <w:rsid w:val="00DD6935"/>
    <w:rsid w:val="00DD7385"/>
    <w:rsid w:val="00DE047C"/>
    <w:rsid w:val="00DE166C"/>
    <w:rsid w:val="00DF1175"/>
    <w:rsid w:val="00DF1B26"/>
    <w:rsid w:val="00DF1E4D"/>
    <w:rsid w:val="00DF2B25"/>
    <w:rsid w:val="00DF3860"/>
    <w:rsid w:val="00DF5820"/>
    <w:rsid w:val="00DF7FAF"/>
    <w:rsid w:val="00E03CC4"/>
    <w:rsid w:val="00E0696D"/>
    <w:rsid w:val="00E06C0F"/>
    <w:rsid w:val="00E10758"/>
    <w:rsid w:val="00E11C31"/>
    <w:rsid w:val="00E128E8"/>
    <w:rsid w:val="00E12AA2"/>
    <w:rsid w:val="00E14751"/>
    <w:rsid w:val="00E14A29"/>
    <w:rsid w:val="00E31328"/>
    <w:rsid w:val="00E3197C"/>
    <w:rsid w:val="00E32056"/>
    <w:rsid w:val="00E35E18"/>
    <w:rsid w:val="00E454E0"/>
    <w:rsid w:val="00E55EE0"/>
    <w:rsid w:val="00E61510"/>
    <w:rsid w:val="00E61DED"/>
    <w:rsid w:val="00E71BA7"/>
    <w:rsid w:val="00E725B3"/>
    <w:rsid w:val="00E72770"/>
    <w:rsid w:val="00E738EE"/>
    <w:rsid w:val="00E76878"/>
    <w:rsid w:val="00E76EE3"/>
    <w:rsid w:val="00E81450"/>
    <w:rsid w:val="00E829FB"/>
    <w:rsid w:val="00E87718"/>
    <w:rsid w:val="00E9449B"/>
    <w:rsid w:val="00EB03F4"/>
    <w:rsid w:val="00EB4C23"/>
    <w:rsid w:val="00EB76DF"/>
    <w:rsid w:val="00EC1D8B"/>
    <w:rsid w:val="00EC5A16"/>
    <w:rsid w:val="00EC6AFB"/>
    <w:rsid w:val="00EC7476"/>
    <w:rsid w:val="00EC7696"/>
    <w:rsid w:val="00ED5801"/>
    <w:rsid w:val="00EE23C3"/>
    <w:rsid w:val="00F01A21"/>
    <w:rsid w:val="00F02700"/>
    <w:rsid w:val="00F1362D"/>
    <w:rsid w:val="00F14458"/>
    <w:rsid w:val="00F22B31"/>
    <w:rsid w:val="00F36A86"/>
    <w:rsid w:val="00F415ED"/>
    <w:rsid w:val="00F42865"/>
    <w:rsid w:val="00F530E0"/>
    <w:rsid w:val="00F57FDC"/>
    <w:rsid w:val="00F65F8E"/>
    <w:rsid w:val="00F74378"/>
    <w:rsid w:val="00F77394"/>
    <w:rsid w:val="00F83120"/>
    <w:rsid w:val="00F91093"/>
    <w:rsid w:val="00FB26F6"/>
    <w:rsid w:val="00FB4BF7"/>
    <w:rsid w:val="00FB764F"/>
    <w:rsid w:val="00FC2822"/>
    <w:rsid w:val="00FC5721"/>
    <w:rsid w:val="00FC6D49"/>
    <w:rsid w:val="00FE2042"/>
    <w:rsid w:val="00FE373E"/>
    <w:rsid w:val="00FE634F"/>
    <w:rsid w:val="00FF1803"/>
    <w:rsid w:val="00FF1C4A"/>
    <w:rsid w:val="00FF3608"/>
    <w:rsid w:val="00FF5510"/>
    <w:rsid w:val="00FF6004"/>
    <w:rsid w:val="00FF6E9A"/>
    <w:rsid w:val="010C1CD5"/>
    <w:rsid w:val="015610DE"/>
    <w:rsid w:val="01814511"/>
    <w:rsid w:val="030D0562"/>
    <w:rsid w:val="032913D1"/>
    <w:rsid w:val="03734DD8"/>
    <w:rsid w:val="04827932"/>
    <w:rsid w:val="049D76C3"/>
    <w:rsid w:val="04FB0314"/>
    <w:rsid w:val="0602560D"/>
    <w:rsid w:val="06521477"/>
    <w:rsid w:val="065935F2"/>
    <w:rsid w:val="06604E4C"/>
    <w:rsid w:val="06C219FF"/>
    <w:rsid w:val="06FC3947"/>
    <w:rsid w:val="072E116A"/>
    <w:rsid w:val="080C0F97"/>
    <w:rsid w:val="08621B1B"/>
    <w:rsid w:val="089C7BA1"/>
    <w:rsid w:val="091343F8"/>
    <w:rsid w:val="091F173D"/>
    <w:rsid w:val="0992485B"/>
    <w:rsid w:val="09AC590E"/>
    <w:rsid w:val="0A1319F0"/>
    <w:rsid w:val="0ABD0ABF"/>
    <w:rsid w:val="0B4574D2"/>
    <w:rsid w:val="0B6528B5"/>
    <w:rsid w:val="0D5962B0"/>
    <w:rsid w:val="0DA679A8"/>
    <w:rsid w:val="0F9360A4"/>
    <w:rsid w:val="105F2717"/>
    <w:rsid w:val="105F3250"/>
    <w:rsid w:val="109F61D5"/>
    <w:rsid w:val="11813E29"/>
    <w:rsid w:val="11862202"/>
    <w:rsid w:val="12B43844"/>
    <w:rsid w:val="131A2914"/>
    <w:rsid w:val="13E20C41"/>
    <w:rsid w:val="143764A5"/>
    <w:rsid w:val="14EA7D03"/>
    <w:rsid w:val="14FB6366"/>
    <w:rsid w:val="1521694A"/>
    <w:rsid w:val="1533668A"/>
    <w:rsid w:val="157D3325"/>
    <w:rsid w:val="16103084"/>
    <w:rsid w:val="168856A3"/>
    <w:rsid w:val="16DA5D65"/>
    <w:rsid w:val="16FE65EE"/>
    <w:rsid w:val="17382655"/>
    <w:rsid w:val="175E4518"/>
    <w:rsid w:val="17C729C4"/>
    <w:rsid w:val="1830107B"/>
    <w:rsid w:val="18CA6BC4"/>
    <w:rsid w:val="18D44816"/>
    <w:rsid w:val="19266D82"/>
    <w:rsid w:val="194F4FD8"/>
    <w:rsid w:val="196164D6"/>
    <w:rsid w:val="1A301844"/>
    <w:rsid w:val="1A7D4D49"/>
    <w:rsid w:val="1AA06DEA"/>
    <w:rsid w:val="1AF47188"/>
    <w:rsid w:val="1AF50D21"/>
    <w:rsid w:val="1B2D04CD"/>
    <w:rsid w:val="1B6A3FA4"/>
    <w:rsid w:val="1BED2887"/>
    <w:rsid w:val="1D8F0CCF"/>
    <w:rsid w:val="1FB84DE2"/>
    <w:rsid w:val="20321935"/>
    <w:rsid w:val="20370574"/>
    <w:rsid w:val="20EA1A41"/>
    <w:rsid w:val="213D7E2E"/>
    <w:rsid w:val="215B0191"/>
    <w:rsid w:val="219602D9"/>
    <w:rsid w:val="22057001"/>
    <w:rsid w:val="22272CED"/>
    <w:rsid w:val="22484CBB"/>
    <w:rsid w:val="232B2612"/>
    <w:rsid w:val="23B1711A"/>
    <w:rsid w:val="23C4146B"/>
    <w:rsid w:val="23FF54BA"/>
    <w:rsid w:val="24067316"/>
    <w:rsid w:val="243F2809"/>
    <w:rsid w:val="257D111F"/>
    <w:rsid w:val="26014EBE"/>
    <w:rsid w:val="26341BA9"/>
    <w:rsid w:val="26A43869"/>
    <w:rsid w:val="26F86CAF"/>
    <w:rsid w:val="26FA429C"/>
    <w:rsid w:val="2723100D"/>
    <w:rsid w:val="27974CD4"/>
    <w:rsid w:val="281D76EB"/>
    <w:rsid w:val="28E96247"/>
    <w:rsid w:val="29474EBA"/>
    <w:rsid w:val="294B022B"/>
    <w:rsid w:val="29944963"/>
    <w:rsid w:val="29AF1496"/>
    <w:rsid w:val="2A6B59EA"/>
    <w:rsid w:val="2BF02FA4"/>
    <w:rsid w:val="2C1777F3"/>
    <w:rsid w:val="2CB61F73"/>
    <w:rsid w:val="2CC41B65"/>
    <w:rsid w:val="2D544963"/>
    <w:rsid w:val="2D685D06"/>
    <w:rsid w:val="2DE87B0C"/>
    <w:rsid w:val="2DEF06E0"/>
    <w:rsid w:val="2FD570A7"/>
    <w:rsid w:val="2FEE55A2"/>
    <w:rsid w:val="30602EE3"/>
    <w:rsid w:val="307C448B"/>
    <w:rsid w:val="31056E93"/>
    <w:rsid w:val="317E540C"/>
    <w:rsid w:val="322D060C"/>
    <w:rsid w:val="32346AA8"/>
    <w:rsid w:val="32487664"/>
    <w:rsid w:val="3289303F"/>
    <w:rsid w:val="328A6C2A"/>
    <w:rsid w:val="32AA785B"/>
    <w:rsid w:val="32D6107D"/>
    <w:rsid w:val="32EF28C5"/>
    <w:rsid w:val="3342276B"/>
    <w:rsid w:val="339D6799"/>
    <w:rsid w:val="33EF414B"/>
    <w:rsid w:val="33FF48DB"/>
    <w:rsid w:val="34ED34E3"/>
    <w:rsid w:val="35042CC3"/>
    <w:rsid w:val="3529134D"/>
    <w:rsid w:val="353F6A2A"/>
    <w:rsid w:val="35CA5CBB"/>
    <w:rsid w:val="36116E0E"/>
    <w:rsid w:val="363D15AF"/>
    <w:rsid w:val="36796138"/>
    <w:rsid w:val="373C4996"/>
    <w:rsid w:val="378202B6"/>
    <w:rsid w:val="3A6C7F0E"/>
    <w:rsid w:val="3B720BA2"/>
    <w:rsid w:val="3B7518DC"/>
    <w:rsid w:val="3BAC6E4A"/>
    <w:rsid w:val="3C032101"/>
    <w:rsid w:val="3C630915"/>
    <w:rsid w:val="3C6B2935"/>
    <w:rsid w:val="3C8A15F4"/>
    <w:rsid w:val="3D1D5EB8"/>
    <w:rsid w:val="3D4E71D1"/>
    <w:rsid w:val="3DA67446"/>
    <w:rsid w:val="3DC64A24"/>
    <w:rsid w:val="3E006F30"/>
    <w:rsid w:val="3E6E6284"/>
    <w:rsid w:val="3E87770F"/>
    <w:rsid w:val="3E9F7E97"/>
    <w:rsid w:val="3F0D48A3"/>
    <w:rsid w:val="3F3E79ED"/>
    <w:rsid w:val="3FA81B25"/>
    <w:rsid w:val="40394D8F"/>
    <w:rsid w:val="41667286"/>
    <w:rsid w:val="41EF5E35"/>
    <w:rsid w:val="420C2789"/>
    <w:rsid w:val="426812E1"/>
    <w:rsid w:val="438167DE"/>
    <w:rsid w:val="43EA7528"/>
    <w:rsid w:val="44EB5057"/>
    <w:rsid w:val="4563795B"/>
    <w:rsid w:val="45BB7350"/>
    <w:rsid w:val="465426D6"/>
    <w:rsid w:val="47C17813"/>
    <w:rsid w:val="48B30830"/>
    <w:rsid w:val="48C27A22"/>
    <w:rsid w:val="491A440C"/>
    <w:rsid w:val="493429A1"/>
    <w:rsid w:val="49682AC8"/>
    <w:rsid w:val="49E71C8D"/>
    <w:rsid w:val="4A4D3E9C"/>
    <w:rsid w:val="4AA41D5C"/>
    <w:rsid w:val="4AD94644"/>
    <w:rsid w:val="4AFA0892"/>
    <w:rsid w:val="4AFF077E"/>
    <w:rsid w:val="4B2E29D8"/>
    <w:rsid w:val="4B61007A"/>
    <w:rsid w:val="4BC2111E"/>
    <w:rsid w:val="4C476521"/>
    <w:rsid w:val="4C883D82"/>
    <w:rsid w:val="4D696EEA"/>
    <w:rsid w:val="4D8B3B2A"/>
    <w:rsid w:val="4DF5722F"/>
    <w:rsid w:val="4E081C83"/>
    <w:rsid w:val="4EE07EA5"/>
    <w:rsid w:val="4F4C0D46"/>
    <w:rsid w:val="4F7A4081"/>
    <w:rsid w:val="4FA4346F"/>
    <w:rsid w:val="4FAE0296"/>
    <w:rsid w:val="50367412"/>
    <w:rsid w:val="50B968FF"/>
    <w:rsid w:val="5133031A"/>
    <w:rsid w:val="518B234A"/>
    <w:rsid w:val="51BC065A"/>
    <w:rsid w:val="523E1970"/>
    <w:rsid w:val="524644C3"/>
    <w:rsid w:val="530A4815"/>
    <w:rsid w:val="5388712E"/>
    <w:rsid w:val="54832B65"/>
    <w:rsid w:val="55675797"/>
    <w:rsid w:val="55EB26E7"/>
    <w:rsid w:val="56057485"/>
    <w:rsid w:val="56060C74"/>
    <w:rsid w:val="564C3561"/>
    <w:rsid w:val="56700D89"/>
    <w:rsid w:val="56915CED"/>
    <w:rsid w:val="56BF4844"/>
    <w:rsid w:val="56EF0463"/>
    <w:rsid w:val="57825B0F"/>
    <w:rsid w:val="57B22301"/>
    <w:rsid w:val="57F71CC4"/>
    <w:rsid w:val="57FF4B2B"/>
    <w:rsid w:val="584E40D2"/>
    <w:rsid w:val="589C6BEB"/>
    <w:rsid w:val="58C46484"/>
    <w:rsid w:val="58FD56C7"/>
    <w:rsid w:val="597E7A51"/>
    <w:rsid w:val="5A631946"/>
    <w:rsid w:val="5A653C20"/>
    <w:rsid w:val="5AAA16C0"/>
    <w:rsid w:val="5AD0559D"/>
    <w:rsid w:val="5B517175"/>
    <w:rsid w:val="5C1178F0"/>
    <w:rsid w:val="5C5E6576"/>
    <w:rsid w:val="5C8066F7"/>
    <w:rsid w:val="5C8B03E5"/>
    <w:rsid w:val="5D096F4C"/>
    <w:rsid w:val="5D1C0377"/>
    <w:rsid w:val="5D227340"/>
    <w:rsid w:val="5D2A77C9"/>
    <w:rsid w:val="5DA302FC"/>
    <w:rsid w:val="5DC80482"/>
    <w:rsid w:val="5E431F74"/>
    <w:rsid w:val="5E5728D6"/>
    <w:rsid w:val="5EE17174"/>
    <w:rsid w:val="5F024DA9"/>
    <w:rsid w:val="5F4A3BBE"/>
    <w:rsid w:val="5FED5332"/>
    <w:rsid w:val="61427546"/>
    <w:rsid w:val="61994A49"/>
    <w:rsid w:val="61AE61EF"/>
    <w:rsid w:val="61E25197"/>
    <w:rsid w:val="62652396"/>
    <w:rsid w:val="626E50AF"/>
    <w:rsid w:val="629746D3"/>
    <w:rsid w:val="62BB05B6"/>
    <w:rsid w:val="63343EC4"/>
    <w:rsid w:val="63B6265F"/>
    <w:rsid w:val="63F21207"/>
    <w:rsid w:val="644670B7"/>
    <w:rsid w:val="64502F80"/>
    <w:rsid w:val="64BD4ED1"/>
    <w:rsid w:val="64D33B45"/>
    <w:rsid w:val="64FA1284"/>
    <w:rsid w:val="65037B91"/>
    <w:rsid w:val="65110961"/>
    <w:rsid w:val="65412852"/>
    <w:rsid w:val="659678F7"/>
    <w:rsid w:val="65F938CF"/>
    <w:rsid w:val="66FE1B1B"/>
    <w:rsid w:val="67531E82"/>
    <w:rsid w:val="675F08E1"/>
    <w:rsid w:val="67A17D3B"/>
    <w:rsid w:val="67B9093E"/>
    <w:rsid w:val="67B97F65"/>
    <w:rsid w:val="68180128"/>
    <w:rsid w:val="68336E48"/>
    <w:rsid w:val="68CA38A2"/>
    <w:rsid w:val="68CD2B9B"/>
    <w:rsid w:val="68CF58CC"/>
    <w:rsid w:val="68FC0C22"/>
    <w:rsid w:val="69222AC7"/>
    <w:rsid w:val="69B1407D"/>
    <w:rsid w:val="6B4A0915"/>
    <w:rsid w:val="6B534D93"/>
    <w:rsid w:val="6B602961"/>
    <w:rsid w:val="6EAD665A"/>
    <w:rsid w:val="6EC76808"/>
    <w:rsid w:val="6F3636E0"/>
    <w:rsid w:val="6F966601"/>
    <w:rsid w:val="6FF54DB5"/>
    <w:rsid w:val="70253A85"/>
    <w:rsid w:val="7119776E"/>
    <w:rsid w:val="713E586B"/>
    <w:rsid w:val="71605BC4"/>
    <w:rsid w:val="71CC0E98"/>
    <w:rsid w:val="721D2F40"/>
    <w:rsid w:val="725C583C"/>
    <w:rsid w:val="72A607BD"/>
    <w:rsid w:val="733777E5"/>
    <w:rsid w:val="73D50712"/>
    <w:rsid w:val="74575236"/>
    <w:rsid w:val="74933140"/>
    <w:rsid w:val="749F23D8"/>
    <w:rsid w:val="75142323"/>
    <w:rsid w:val="75F075C6"/>
    <w:rsid w:val="76265ADB"/>
    <w:rsid w:val="76512DA7"/>
    <w:rsid w:val="769F2B5B"/>
    <w:rsid w:val="77321F23"/>
    <w:rsid w:val="7759035A"/>
    <w:rsid w:val="77795989"/>
    <w:rsid w:val="780D7EFD"/>
    <w:rsid w:val="786B21BC"/>
    <w:rsid w:val="78D41105"/>
    <w:rsid w:val="78ED1D4E"/>
    <w:rsid w:val="78F05D0F"/>
    <w:rsid w:val="78F24EEF"/>
    <w:rsid w:val="78FB5758"/>
    <w:rsid w:val="7909542C"/>
    <w:rsid w:val="79CD1F1A"/>
    <w:rsid w:val="7A0A4C32"/>
    <w:rsid w:val="7AD45A01"/>
    <w:rsid w:val="7AE50DDE"/>
    <w:rsid w:val="7B6B09C3"/>
    <w:rsid w:val="7B6C153A"/>
    <w:rsid w:val="7B964E03"/>
    <w:rsid w:val="7B9728E0"/>
    <w:rsid w:val="7BF67484"/>
    <w:rsid w:val="7BFB4F84"/>
    <w:rsid w:val="7DCC18D9"/>
    <w:rsid w:val="7E007892"/>
    <w:rsid w:val="7E0806FB"/>
    <w:rsid w:val="7E2F2C8B"/>
    <w:rsid w:val="7E876E69"/>
    <w:rsid w:val="7F0D5EC8"/>
    <w:rsid w:val="7FC14B69"/>
    <w:rsid w:val="7FEC62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0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48"/>
    <w:qFormat/>
    <w:uiPriority w:val="0"/>
    <w:pPr>
      <w:keepNext/>
      <w:keepLines/>
      <w:spacing w:before="20" w:beforeLines="20" w:line="240" w:lineRule="auto"/>
      <w:outlineLvl w:val="1"/>
    </w:pPr>
    <w:rPr>
      <w:rFonts w:ascii="Arial" w:hAnsi="Arial" w:eastAsia="黑体"/>
      <w:bCs/>
      <w:sz w:val="24"/>
      <w:szCs w:val="32"/>
    </w:rPr>
  </w:style>
  <w:style w:type="paragraph" w:styleId="5">
    <w:name w:val="heading 3"/>
    <w:basedOn w:val="1"/>
    <w:next w:val="1"/>
    <w:link w:val="49"/>
    <w:qFormat/>
    <w:uiPriority w:val="0"/>
    <w:pPr>
      <w:keepNext/>
      <w:keepLines/>
      <w:spacing w:before="50" w:beforeLines="50" w:line="240" w:lineRule="auto"/>
      <w:outlineLvl w:val="2"/>
    </w:pPr>
    <w:rPr>
      <w:rFonts w:ascii="黑体" w:hAnsi="黑体" w:eastAsia="黑体"/>
    </w:rPr>
  </w:style>
  <w:style w:type="paragraph" w:styleId="6">
    <w:name w:val="heading 4"/>
    <w:basedOn w:val="1"/>
    <w:next w:val="1"/>
    <w:link w:val="50"/>
    <w:qFormat/>
    <w:uiPriority w:val="0"/>
    <w:pPr>
      <w:keepNext/>
      <w:keepLines/>
      <w:spacing w:before="280" w:beforeLines="0" w:after="290" w:afterLines="0" w:line="374" w:lineRule="auto"/>
      <w:outlineLvl w:val="3"/>
    </w:pPr>
    <w:rPr>
      <w:rFonts w:ascii="Arial" w:hAnsi="Arial"/>
      <w:bCs/>
      <w:sz w:val="24"/>
      <w:szCs w:val="28"/>
    </w:rPr>
  </w:style>
  <w:style w:type="paragraph" w:styleId="7">
    <w:name w:val="heading 5"/>
    <w:basedOn w:val="1"/>
    <w:next w:val="1"/>
    <w:link w:val="51"/>
    <w:qFormat/>
    <w:uiPriority w:val="9"/>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Cs/>
      <w:kern w:val="0"/>
      <w:sz w:val="24"/>
    </w:rPr>
  </w:style>
  <w:style w:type="paragraph" w:styleId="9">
    <w:name w:val="heading 7"/>
    <w:basedOn w:val="1"/>
    <w:next w:val="1"/>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10">
    <w:name w:val="heading 8"/>
    <w:basedOn w:val="1"/>
    <w:next w:val="1"/>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11">
    <w:name w:val="heading 9"/>
    <w:basedOn w:val="1"/>
    <w:next w:val="1"/>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40">
    <w:name w:val="Default Paragraph Font"/>
    <w:qFormat/>
    <w:uiPriority w:val="0"/>
  </w:style>
  <w:style w:type="table" w:default="1" w:styleId="39">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1"/>
    <w:link w:val="46"/>
    <w:qFormat/>
    <w:uiPriority w:val="0"/>
    <w:pPr>
      <w:spacing w:after="120" w:afterLines="0"/>
    </w:pPr>
  </w:style>
  <w:style w:type="paragraph" w:styleId="12">
    <w:name w:val="toc 7"/>
    <w:basedOn w:val="1"/>
    <w:next w:val="1"/>
    <w:qFormat/>
    <w:uiPriority w:val="39"/>
    <w:pPr>
      <w:ind w:left="1260"/>
      <w:jc w:val="left"/>
    </w:pPr>
    <w:rPr>
      <w:rFonts w:ascii="Calibri" w:hAnsi="Calibri"/>
      <w:sz w:val="18"/>
      <w:szCs w:val="18"/>
    </w:rPr>
  </w:style>
  <w:style w:type="paragraph" w:styleId="13">
    <w:name w:val="Normal Indent"/>
    <w:basedOn w:val="1"/>
    <w:qFormat/>
    <w:uiPriority w:val="0"/>
    <w:pPr>
      <w:ind w:firstLine="420" w:firstLineChars="200"/>
    </w:pPr>
  </w:style>
  <w:style w:type="paragraph" w:styleId="14">
    <w:name w:val="Document Map"/>
    <w:basedOn w:val="1"/>
    <w:link w:val="52"/>
    <w:qFormat/>
    <w:uiPriority w:val="0"/>
    <w:pPr>
      <w:shd w:val="clear" w:color="auto" w:fill="000080"/>
    </w:pPr>
  </w:style>
  <w:style w:type="paragraph" w:styleId="15">
    <w:name w:val="annotation text"/>
    <w:basedOn w:val="1"/>
    <w:link w:val="53"/>
    <w:qFormat/>
    <w:uiPriority w:val="0"/>
    <w:pPr>
      <w:keepNext w:val="0"/>
      <w:keepLines w:val="0"/>
      <w:widowControl w:val="0"/>
      <w:suppressLineNumbers w:val="0"/>
      <w:spacing w:before="0" w:beforeAutospacing="0" w:after="0" w:afterAutospacing="0"/>
      <w:ind w:left="0" w:right="0"/>
      <w:jc w:val="left"/>
    </w:pPr>
  </w:style>
  <w:style w:type="paragraph" w:styleId="16">
    <w:name w:val="Body Text 3"/>
    <w:basedOn w:val="1"/>
    <w:link w:val="54"/>
    <w:qFormat/>
    <w:uiPriority w:val="0"/>
    <w:rPr>
      <w:rFonts w:ascii="宋体"/>
      <w:sz w:val="24"/>
      <w:szCs w:val="20"/>
    </w:rPr>
  </w:style>
  <w:style w:type="paragraph" w:styleId="17">
    <w:name w:val="Body Text Indent"/>
    <w:basedOn w:val="1"/>
    <w:link w:val="55"/>
    <w:qFormat/>
    <w:uiPriority w:val="0"/>
    <w:pPr>
      <w:spacing w:after="120" w:afterLines="0"/>
      <w:ind w:left="420" w:leftChars="200"/>
    </w:pPr>
  </w:style>
  <w:style w:type="paragraph" w:styleId="18">
    <w:name w:val="toc 5"/>
    <w:basedOn w:val="1"/>
    <w:next w:val="1"/>
    <w:qFormat/>
    <w:uiPriority w:val="39"/>
    <w:pPr>
      <w:ind w:left="840"/>
      <w:jc w:val="left"/>
    </w:pPr>
    <w:rPr>
      <w:rFonts w:ascii="Calibri" w:hAnsi="Calibri"/>
      <w:sz w:val="18"/>
      <w:szCs w:val="18"/>
    </w:rPr>
  </w:style>
  <w:style w:type="paragraph" w:styleId="19">
    <w:name w:val="toc 3"/>
    <w:basedOn w:val="1"/>
    <w:next w:val="1"/>
    <w:qFormat/>
    <w:uiPriority w:val="39"/>
    <w:pPr>
      <w:spacing w:line="240" w:lineRule="auto"/>
      <w:ind w:left="420"/>
      <w:jc w:val="left"/>
    </w:pPr>
    <w:rPr>
      <w:rFonts w:ascii="Calibri" w:hAnsi="Calibri"/>
      <w:iCs/>
      <w:szCs w:val="20"/>
    </w:rPr>
  </w:style>
  <w:style w:type="paragraph" w:styleId="20">
    <w:name w:val="Plain Text"/>
    <w:basedOn w:val="1"/>
    <w:link w:val="56"/>
    <w:qFormat/>
    <w:uiPriority w:val="0"/>
    <w:pPr>
      <w:spacing w:line="305" w:lineRule="auto"/>
      <w:ind w:firstLine="420"/>
    </w:pPr>
    <w:rPr>
      <w:rFonts w:ascii="宋体" w:hAnsi="Courier New"/>
      <w:szCs w:val="21"/>
    </w:rPr>
  </w:style>
  <w:style w:type="paragraph" w:styleId="21">
    <w:name w:val="toc 8"/>
    <w:basedOn w:val="1"/>
    <w:next w:val="1"/>
    <w:qFormat/>
    <w:uiPriority w:val="39"/>
    <w:pPr>
      <w:ind w:left="1470"/>
      <w:jc w:val="left"/>
    </w:pPr>
    <w:rPr>
      <w:rFonts w:ascii="Calibri" w:hAnsi="Calibri"/>
      <w:sz w:val="18"/>
      <w:szCs w:val="18"/>
    </w:rPr>
  </w:style>
  <w:style w:type="paragraph" w:styleId="22">
    <w:name w:val="Date"/>
    <w:basedOn w:val="1"/>
    <w:next w:val="1"/>
    <w:qFormat/>
    <w:uiPriority w:val="0"/>
    <w:rPr>
      <w:sz w:val="24"/>
      <w:szCs w:val="20"/>
    </w:rPr>
  </w:style>
  <w:style w:type="paragraph" w:styleId="23">
    <w:name w:val="Body Text Indent 2"/>
    <w:basedOn w:val="1"/>
    <w:link w:val="57"/>
    <w:qFormat/>
    <w:uiPriority w:val="0"/>
    <w:pPr>
      <w:spacing w:after="120" w:line="480" w:lineRule="auto"/>
      <w:ind w:left="420" w:leftChars="200"/>
    </w:pPr>
  </w:style>
  <w:style w:type="paragraph" w:styleId="24">
    <w:name w:val="Balloon Text"/>
    <w:basedOn w:val="1"/>
    <w:link w:val="58"/>
    <w:qFormat/>
    <w:uiPriority w:val="0"/>
    <w:rPr>
      <w:sz w:val="18"/>
      <w:szCs w:val="18"/>
    </w:rPr>
  </w:style>
  <w:style w:type="paragraph" w:styleId="25">
    <w:name w:val="footer"/>
    <w:basedOn w:val="1"/>
    <w:link w:val="59"/>
    <w:qFormat/>
    <w:uiPriority w:val="99"/>
    <w:pPr>
      <w:tabs>
        <w:tab w:val="center" w:pos="4153"/>
        <w:tab w:val="right" w:pos="8306"/>
      </w:tabs>
      <w:snapToGrid w:val="0"/>
      <w:jc w:val="left"/>
    </w:pPr>
    <w:rPr>
      <w:sz w:val="18"/>
      <w:szCs w:val="18"/>
    </w:rPr>
  </w:style>
  <w:style w:type="paragraph" w:styleId="26">
    <w:name w:val="header"/>
    <w:basedOn w:val="1"/>
    <w:link w:val="60"/>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spacing w:before="120" w:after="120" w:line="240" w:lineRule="auto"/>
      <w:jc w:val="left"/>
    </w:pPr>
    <w:rPr>
      <w:rFonts w:ascii="Calibri" w:hAnsi="Calibri" w:eastAsia="黑体"/>
      <w:b/>
      <w:bCs/>
      <w:caps/>
      <w:sz w:val="20"/>
      <w:szCs w:val="20"/>
    </w:rPr>
  </w:style>
  <w:style w:type="paragraph" w:styleId="28">
    <w:name w:val="toc 4"/>
    <w:basedOn w:val="1"/>
    <w:next w:val="1"/>
    <w:qFormat/>
    <w:uiPriority w:val="39"/>
    <w:pPr>
      <w:ind w:left="630"/>
      <w:jc w:val="left"/>
    </w:pPr>
    <w:rPr>
      <w:rFonts w:ascii="Calibri" w:hAnsi="Calibri"/>
      <w:sz w:val="18"/>
      <w:szCs w:val="18"/>
    </w:rPr>
  </w:style>
  <w:style w:type="paragraph" w:styleId="29">
    <w:name w:val="toc 6"/>
    <w:basedOn w:val="1"/>
    <w:next w:val="1"/>
    <w:qFormat/>
    <w:uiPriority w:val="39"/>
    <w:pPr>
      <w:ind w:left="1050"/>
      <w:jc w:val="left"/>
    </w:pPr>
    <w:rPr>
      <w:rFonts w:ascii="Calibri" w:hAnsi="Calibri"/>
      <w:sz w:val="18"/>
      <w:szCs w:val="18"/>
    </w:rPr>
  </w:style>
  <w:style w:type="paragraph" w:styleId="30">
    <w:name w:val="Body Text Indent 3"/>
    <w:basedOn w:val="1"/>
    <w:qFormat/>
    <w:uiPriority w:val="0"/>
    <w:pPr>
      <w:spacing w:after="120" w:afterLines="0"/>
      <w:ind w:left="420" w:leftChars="200"/>
    </w:pPr>
    <w:rPr>
      <w:sz w:val="16"/>
      <w:szCs w:val="16"/>
    </w:rPr>
  </w:style>
  <w:style w:type="paragraph" w:styleId="31">
    <w:name w:val="toc 2"/>
    <w:basedOn w:val="1"/>
    <w:next w:val="1"/>
    <w:qFormat/>
    <w:uiPriority w:val="39"/>
    <w:pPr>
      <w:spacing w:line="240" w:lineRule="auto"/>
      <w:ind w:left="210"/>
      <w:jc w:val="left"/>
    </w:pPr>
    <w:rPr>
      <w:rFonts w:ascii="Calibri" w:hAnsi="Calibri"/>
      <w:smallCaps/>
      <w:sz w:val="20"/>
      <w:szCs w:val="20"/>
    </w:rPr>
  </w:style>
  <w:style w:type="paragraph" w:styleId="32">
    <w:name w:val="toc 9"/>
    <w:basedOn w:val="1"/>
    <w:next w:val="1"/>
    <w:qFormat/>
    <w:uiPriority w:val="39"/>
    <w:pPr>
      <w:ind w:left="1680"/>
      <w:jc w:val="left"/>
    </w:pPr>
    <w:rPr>
      <w:rFonts w:ascii="Calibri" w:hAnsi="Calibri"/>
      <w:sz w:val="18"/>
      <w:szCs w:val="18"/>
    </w:rPr>
  </w:style>
  <w:style w:type="paragraph" w:styleId="33">
    <w:name w:val="Body Text 2"/>
    <w:basedOn w:val="1"/>
    <w:link w:val="61"/>
    <w:qFormat/>
    <w:uiPriority w:val="0"/>
    <w:pPr>
      <w:spacing w:after="120" w:line="480" w:lineRule="auto"/>
    </w:pPr>
  </w:style>
  <w:style w:type="paragraph" w:styleId="34">
    <w:name w:val="Normal (Web)"/>
    <w:basedOn w:val="1"/>
    <w:unhideWhenUsed/>
    <w:qFormat/>
    <w:uiPriority w:val="99"/>
    <w:rPr>
      <w:sz w:val="24"/>
    </w:rPr>
  </w:style>
  <w:style w:type="paragraph" w:styleId="35">
    <w:name w:val="index 1"/>
    <w:basedOn w:val="1"/>
    <w:next w:val="1"/>
    <w:qFormat/>
    <w:uiPriority w:val="0"/>
    <w:pPr>
      <w:spacing w:line="220" w:lineRule="exact"/>
      <w:jc w:val="center"/>
    </w:pPr>
    <w:rPr>
      <w:rFonts w:ascii="仿宋_GB2312" w:eastAsia="仿宋_GB2312"/>
      <w:szCs w:val="21"/>
    </w:rPr>
  </w:style>
  <w:style w:type="paragraph" w:styleId="36">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7">
    <w:name w:val="annotation subject"/>
    <w:basedOn w:val="15"/>
    <w:next w:val="15"/>
    <w:link w:val="62"/>
    <w:qFormat/>
    <w:uiPriority w:val="0"/>
    <w:pPr>
      <w:jc w:val="both"/>
    </w:pPr>
    <w:rPr>
      <w:b/>
      <w:bCs/>
    </w:rPr>
  </w:style>
  <w:style w:type="paragraph" w:styleId="38">
    <w:name w:val="Body Text First Indent"/>
    <w:basedOn w:val="1"/>
    <w:link w:val="63"/>
    <w:qFormat/>
    <w:uiPriority w:val="0"/>
    <w:pPr>
      <w:spacing w:line="312" w:lineRule="auto"/>
      <w:ind w:firstLine="420"/>
    </w:pPr>
  </w:style>
  <w:style w:type="character" w:styleId="41">
    <w:name w:val="page number"/>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99"/>
    <w:rPr>
      <w:sz w:val="21"/>
      <w:szCs w:val="21"/>
    </w:rPr>
  </w:style>
  <w:style w:type="character" w:styleId="45">
    <w:name w:val="footnote reference"/>
    <w:qFormat/>
    <w:uiPriority w:val="0"/>
    <w:rPr>
      <w:vertAlign w:val="superscript"/>
    </w:rPr>
  </w:style>
  <w:style w:type="character" w:customStyle="1" w:styleId="46">
    <w:name w:val="正文文本 字符1"/>
    <w:link w:val="2"/>
    <w:qFormat/>
    <w:uiPriority w:val="0"/>
    <w:rPr>
      <w:rFonts w:eastAsia="宋体"/>
      <w:kern w:val="2"/>
      <w:sz w:val="21"/>
      <w:szCs w:val="24"/>
      <w:lang w:val="en-US" w:eastAsia="zh-CN" w:bidi="ar-SA"/>
    </w:rPr>
  </w:style>
  <w:style w:type="character" w:customStyle="1" w:styleId="47">
    <w:name w:val="标题 1 字符1"/>
    <w:link w:val="3"/>
    <w:qFormat/>
    <w:uiPriority w:val="0"/>
    <w:rPr>
      <w:rFonts w:eastAsia="宋体"/>
      <w:b/>
      <w:bCs/>
      <w:kern w:val="44"/>
      <w:sz w:val="44"/>
      <w:szCs w:val="44"/>
      <w:lang w:val="en-US" w:eastAsia="zh-CN" w:bidi="ar-SA"/>
    </w:rPr>
  </w:style>
  <w:style w:type="character" w:customStyle="1" w:styleId="48">
    <w:name w:val="标题 2 字符1"/>
    <w:link w:val="4"/>
    <w:qFormat/>
    <w:uiPriority w:val="0"/>
    <w:rPr>
      <w:rFonts w:ascii="Arial" w:hAnsi="Arial" w:eastAsia="黑体"/>
      <w:bCs/>
      <w:kern w:val="2"/>
      <w:sz w:val="24"/>
      <w:szCs w:val="32"/>
    </w:rPr>
  </w:style>
  <w:style w:type="character" w:customStyle="1" w:styleId="49">
    <w:name w:val="标题 3 字符1"/>
    <w:link w:val="5"/>
    <w:qFormat/>
    <w:uiPriority w:val="0"/>
    <w:rPr>
      <w:rFonts w:ascii="黑体" w:hAnsi="黑体" w:eastAsia="黑体"/>
      <w:kern w:val="2"/>
      <w:sz w:val="21"/>
      <w:szCs w:val="24"/>
      <w:lang w:val="en-US" w:eastAsia="zh-CN" w:bidi="ar-SA"/>
    </w:rPr>
  </w:style>
  <w:style w:type="character" w:customStyle="1" w:styleId="50">
    <w:name w:val="标题 4 字符1"/>
    <w:link w:val="6"/>
    <w:qFormat/>
    <w:uiPriority w:val="0"/>
    <w:rPr>
      <w:rFonts w:ascii="Arial" w:hAnsi="Arial" w:eastAsia="宋体"/>
      <w:bCs/>
      <w:kern w:val="2"/>
      <w:sz w:val="24"/>
      <w:szCs w:val="28"/>
    </w:rPr>
  </w:style>
  <w:style w:type="character" w:customStyle="1" w:styleId="51">
    <w:name w:val="标题 5 字符1"/>
    <w:link w:val="7"/>
    <w:semiHidden/>
    <w:qFormat/>
    <w:uiPriority w:val="9"/>
    <w:rPr>
      <w:b/>
      <w:bCs/>
      <w:kern w:val="2"/>
      <w:sz w:val="28"/>
      <w:szCs w:val="28"/>
    </w:rPr>
  </w:style>
  <w:style w:type="character" w:customStyle="1" w:styleId="52">
    <w:name w:val="文档结构图 字符1"/>
    <w:link w:val="14"/>
    <w:qFormat/>
    <w:uiPriority w:val="0"/>
    <w:rPr>
      <w:rFonts w:eastAsia="宋体"/>
      <w:kern w:val="2"/>
      <w:sz w:val="21"/>
      <w:szCs w:val="24"/>
      <w:lang w:val="en-US" w:eastAsia="zh-CN" w:bidi="ar-SA"/>
    </w:rPr>
  </w:style>
  <w:style w:type="character" w:customStyle="1" w:styleId="53">
    <w:name w:val="批注文字 字符1"/>
    <w:link w:val="15"/>
    <w:qFormat/>
    <w:uiPriority w:val="0"/>
    <w:rPr>
      <w:rFonts w:eastAsia="宋体"/>
      <w:kern w:val="2"/>
      <w:sz w:val="21"/>
      <w:szCs w:val="24"/>
      <w:lang w:val="en-US" w:eastAsia="zh-CN" w:bidi="ar-SA"/>
    </w:rPr>
  </w:style>
  <w:style w:type="character" w:customStyle="1" w:styleId="54">
    <w:name w:val="正文文本 3 字符1"/>
    <w:link w:val="16"/>
    <w:qFormat/>
    <w:uiPriority w:val="0"/>
    <w:rPr>
      <w:rFonts w:ascii="宋体"/>
      <w:kern w:val="2"/>
      <w:sz w:val="24"/>
    </w:rPr>
  </w:style>
  <w:style w:type="character" w:customStyle="1" w:styleId="55">
    <w:name w:val="正文文本缩进 字符1"/>
    <w:link w:val="17"/>
    <w:qFormat/>
    <w:uiPriority w:val="0"/>
    <w:rPr>
      <w:kern w:val="2"/>
      <w:sz w:val="21"/>
      <w:szCs w:val="24"/>
    </w:rPr>
  </w:style>
  <w:style w:type="character" w:customStyle="1" w:styleId="56">
    <w:name w:val="纯文本 字符1"/>
    <w:link w:val="20"/>
    <w:qFormat/>
    <w:uiPriority w:val="0"/>
    <w:rPr>
      <w:rFonts w:ascii="宋体" w:hAnsi="Courier New" w:cs="Courier New"/>
      <w:kern w:val="2"/>
      <w:sz w:val="21"/>
      <w:szCs w:val="21"/>
    </w:rPr>
  </w:style>
  <w:style w:type="character" w:customStyle="1" w:styleId="57">
    <w:name w:val="正文文本缩进 2 字符1"/>
    <w:link w:val="23"/>
    <w:qFormat/>
    <w:uiPriority w:val="0"/>
    <w:rPr>
      <w:kern w:val="2"/>
      <w:sz w:val="21"/>
      <w:szCs w:val="24"/>
    </w:rPr>
  </w:style>
  <w:style w:type="character" w:customStyle="1" w:styleId="58">
    <w:name w:val="批注框文本 字符"/>
    <w:link w:val="24"/>
    <w:qFormat/>
    <w:uiPriority w:val="0"/>
    <w:rPr>
      <w:kern w:val="2"/>
      <w:sz w:val="18"/>
      <w:szCs w:val="18"/>
    </w:rPr>
  </w:style>
  <w:style w:type="character" w:customStyle="1" w:styleId="59">
    <w:name w:val="页脚 字符1"/>
    <w:link w:val="25"/>
    <w:qFormat/>
    <w:uiPriority w:val="99"/>
    <w:rPr>
      <w:rFonts w:eastAsia="宋体"/>
      <w:kern w:val="2"/>
      <w:sz w:val="18"/>
      <w:szCs w:val="18"/>
      <w:lang w:val="en-US" w:eastAsia="zh-CN" w:bidi="ar-SA"/>
    </w:rPr>
  </w:style>
  <w:style w:type="character" w:customStyle="1" w:styleId="60">
    <w:name w:val="页眉 字符1"/>
    <w:link w:val="26"/>
    <w:qFormat/>
    <w:uiPriority w:val="0"/>
    <w:rPr>
      <w:rFonts w:eastAsia="宋体"/>
      <w:kern w:val="2"/>
      <w:sz w:val="18"/>
      <w:szCs w:val="18"/>
      <w:lang w:val="en-US" w:eastAsia="zh-CN" w:bidi="ar-SA"/>
    </w:rPr>
  </w:style>
  <w:style w:type="character" w:customStyle="1" w:styleId="61">
    <w:name w:val="正文文本 2 字符1"/>
    <w:link w:val="33"/>
    <w:qFormat/>
    <w:uiPriority w:val="0"/>
    <w:rPr>
      <w:kern w:val="2"/>
      <w:sz w:val="21"/>
      <w:szCs w:val="24"/>
    </w:rPr>
  </w:style>
  <w:style w:type="character" w:customStyle="1" w:styleId="62">
    <w:name w:val="批注主题 字符1"/>
    <w:link w:val="37"/>
    <w:qFormat/>
    <w:uiPriority w:val="0"/>
    <w:rPr>
      <w:rFonts w:eastAsia="宋体"/>
      <w:b/>
      <w:bCs/>
      <w:kern w:val="2"/>
      <w:sz w:val="21"/>
      <w:szCs w:val="24"/>
      <w:lang w:val="en-US" w:eastAsia="zh-CN" w:bidi="ar-SA"/>
    </w:rPr>
  </w:style>
  <w:style w:type="character" w:customStyle="1" w:styleId="63">
    <w:name w:val="正文文本首行缩进 字符1"/>
    <w:link w:val="38"/>
    <w:qFormat/>
    <w:uiPriority w:val="0"/>
    <w:rPr>
      <w:lang w:val="en-US" w:eastAsia="zh-CN" w:bidi="ar-SA"/>
    </w:rPr>
  </w:style>
  <w:style w:type="paragraph" w:customStyle="1" w:styleId="64">
    <w:name w:val="样式20"/>
    <w:basedOn w:val="1"/>
    <w:next w:val="1"/>
    <w:qFormat/>
    <w:uiPriority w:val="0"/>
    <w:pPr>
      <w:spacing w:line="460" w:lineRule="exact"/>
      <w:ind w:firstLine="900" w:firstLineChars="300"/>
      <w:outlineLvl w:val="0"/>
    </w:pPr>
    <w:rPr>
      <w:rFonts w:eastAsia="黑体"/>
      <w:sz w:val="30"/>
      <w:szCs w:val="30"/>
      <w:u w:val="single"/>
    </w:rPr>
  </w:style>
  <w:style w:type="character" w:customStyle="1" w:styleId="65">
    <w:name w:val="样式 标题 2 + (西文) Times New Roman (中文) 宋体 Char"/>
    <w:link w:val="66"/>
    <w:qFormat/>
    <w:uiPriority w:val="0"/>
  </w:style>
  <w:style w:type="paragraph" w:customStyle="1" w:styleId="66">
    <w:name w:val="样式 标题 2 + (西文) Times New Roman (中文) 宋体"/>
    <w:basedOn w:val="4"/>
    <w:link w:val="65"/>
    <w:qFormat/>
    <w:uiPriority w:val="0"/>
    <w:rPr>
      <w:rFonts w:ascii="Times New Roman" w:hAnsi="Times New Roman"/>
      <w:bCs w:val="0"/>
    </w:rPr>
  </w:style>
  <w:style w:type="character" w:customStyle="1" w:styleId="67">
    <w:name w:val="批注文字 Char1"/>
    <w:qFormat/>
    <w:uiPriority w:val="0"/>
    <w:rPr>
      <w:rFonts w:eastAsia="宋体"/>
      <w:kern w:val="2"/>
      <w:sz w:val="21"/>
      <w:szCs w:val="24"/>
      <w:lang w:val="en-US" w:eastAsia="zh-CN" w:bidi="ar-SA"/>
    </w:rPr>
  </w:style>
  <w:style w:type="character" w:customStyle="1" w:styleId="68">
    <w:name w:val="样式 样式 标题 3 + Times New Roman + (中文) 宋体 Char"/>
    <w:link w:val="69"/>
    <w:qFormat/>
    <w:uiPriority w:val="0"/>
    <w:rPr>
      <w:lang w:val="en-US" w:eastAsia="zh-CN" w:bidi="ar-SA"/>
    </w:rPr>
  </w:style>
  <w:style w:type="paragraph" w:customStyle="1" w:styleId="69">
    <w:name w:val="样式 样式 标题 3 + Times New Roman + (中文) 宋体"/>
    <w:basedOn w:val="70"/>
    <w:link w:val="68"/>
    <w:qFormat/>
    <w:uiPriority w:val="0"/>
  </w:style>
  <w:style w:type="paragraph" w:customStyle="1" w:styleId="70">
    <w:name w:val="样式 标题 3 + Times New Roman"/>
    <w:basedOn w:val="5"/>
    <w:link w:val="71"/>
    <w:qFormat/>
    <w:uiPriority w:val="0"/>
    <w:pPr>
      <w:spacing w:before="0" w:after="0" w:line="400" w:lineRule="exact"/>
      <w:ind w:firstLine="49"/>
    </w:pPr>
    <w:rPr>
      <w:rFonts w:hAnsi="宋体"/>
      <w:bCs/>
      <w:sz w:val="24"/>
      <w:szCs w:val="28"/>
    </w:rPr>
  </w:style>
  <w:style w:type="character" w:customStyle="1" w:styleId="71">
    <w:name w:val="样式 标题 3 + Times New Roman Char"/>
    <w:link w:val="70"/>
    <w:qFormat/>
    <w:uiPriority w:val="0"/>
    <w:rPr>
      <w:rFonts w:ascii="黑体" w:hAnsi="宋体" w:eastAsia="黑体"/>
      <w:bCs/>
      <w:kern w:val="2"/>
      <w:sz w:val="24"/>
      <w:szCs w:val="28"/>
      <w:lang w:val="en-US" w:eastAsia="zh-CN" w:bidi="ar-SA"/>
    </w:rPr>
  </w:style>
  <w:style w:type="character" w:customStyle="1" w:styleId="72">
    <w:name w:val="引用 字符1"/>
    <w:link w:val="73"/>
    <w:qFormat/>
    <w:uiPriority w:val="0"/>
    <w:rPr>
      <w:rFonts w:ascii="Calibri" w:hAnsi="Calibri"/>
      <w:i/>
      <w:iCs/>
      <w:color w:val="000000"/>
      <w:kern w:val="2"/>
      <w:sz w:val="21"/>
      <w:szCs w:val="22"/>
    </w:rPr>
  </w:style>
  <w:style w:type="paragraph" w:styleId="73">
    <w:name w:val="Quote"/>
    <w:basedOn w:val="1"/>
    <w:next w:val="1"/>
    <w:link w:val="72"/>
    <w:qFormat/>
    <w:uiPriority w:val="0"/>
    <w:pPr>
      <w:spacing w:line="240" w:lineRule="auto"/>
    </w:pPr>
    <w:rPr>
      <w:rFonts w:ascii="Calibri" w:hAnsi="Calibri"/>
      <w:i/>
      <w:iCs/>
      <w:color w:val="000000"/>
      <w:szCs w:val="22"/>
    </w:rPr>
  </w:style>
  <w:style w:type="character" w:customStyle="1" w:styleId="74">
    <w:name w:val="引用 Char1"/>
    <w:qFormat/>
    <w:uiPriority w:val="29"/>
    <w:rPr>
      <w:i/>
      <w:iCs/>
      <w:color w:val="000000"/>
      <w:kern w:val="2"/>
      <w:sz w:val="21"/>
      <w:szCs w:val="24"/>
    </w:rPr>
  </w:style>
  <w:style w:type="character" w:customStyle="1" w:styleId="75">
    <w:name w:val="wg正文 仿宋_GB2312 四号"/>
    <w:qFormat/>
    <w:uiPriority w:val="0"/>
    <w:rPr>
      <w:rFonts w:ascii="仿宋_GB2312" w:hAnsi="仿宋_GB2312" w:eastAsia="仿宋_GB2312"/>
      <w:sz w:val="28"/>
    </w:rPr>
  </w:style>
  <w:style w:type="character" w:customStyle="1" w:styleId="76">
    <w:name w:val="样式 标题 3 + 首行缩进:  0.49 字符2 Char"/>
    <w:link w:val="77"/>
    <w:qFormat/>
    <w:uiPriority w:val="0"/>
    <w:rPr>
      <w:rFonts w:ascii="黑体" w:hAnsi="宋体" w:eastAsia="黑体" w:cs="宋体"/>
      <w:bCs/>
      <w:kern w:val="2"/>
      <w:sz w:val="24"/>
      <w:szCs w:val="28"/>
      <w:lang w:val="en-US" w:eastAsia="zh-CN" w:bidi="ar-SA"/>
    </w:rPr>
  </w:style>
  <w:style w:type="paragraph" w:customStyle="1" w:styleId="77">
    <w:name w:val="样式 标题 3 + 首行缩进:  0.49 字符2"/>
    <w:basedOn w:val="5"/>
    <w:link w:val="76"/>
    <w:qFormat/>
    <w:uiPriority w:val="0"/>
    <w:pPr>
      <w:spacing w:before="0"/>
    </w:pPr>
    <w:rPr>
      <w:rFonts w:hAnsi="宋体" w:cs="宋体"/>
      <w:bCs/>
      <w:sz w:val="24"/>
      <w:szCs w:val="28"/>
    </w:rPr>
  </w:style>
  <w:style w:type="character" w:customStyle="1" w:styleId="78">
    <w:name w:val="_Style 77"/>
    <w:unhideWhenUsed/>
    <w:qFormat/>
    <w:uiPriority w:val="99"/>
    <w:rPr>
      <w:color w:val="605E5C"/>
      <w:shd w:val="clear" w:color="auto" w:fill="E1DFDD"/>
    </w:rPr>
  </w:style>
  <w:style w:type="character" w:customStyle="1" w:styleId="79">
    <w:name w:val="样式 样式 标题 3 + 首行缩进:  0.49 字符2 + (西文) Times New Roman (中文) 宋体 Char"/>
    <w:link w:val="80"/>
    <w:qFormat/>
    <w:uiPriority w:val="0"/>
    <w:rPr>
      <w:lang w:val="en-US" w:eastAsia="zh-CN" w:bidi="ar-SA"/>
    </w:rPr>
  </w:style>
  <w:style w:type="paragraph" w:customStyle="1" w:styleId="80">
    <w:name w:val="样式 样式 标题 3 + 首行缩进:  0.49 字符2 + (西文) Times New Roman (中文) 宋体"/>
    <w:basedOn w:val="77"/>
    <w:link w:val="79"/>
    <w:qFormat/>
    <w:uiPriority w:val="0"/>
    <w:rPr>
      <w:rFonts w:ascii="Times New Roman" w:hAnsi="Times New Roman"/>
    </w:rPr>
  </w:style>
  <w:style w:type="character" w:customStyle="1" w:styleId="81">
    <w:name w:val="纯文本 Char"/>
    <w:semiHidden/>
    <w:qFormat/>
    <w:uiPriority w:val="99"/>
    <w:rPr>
      <w:rFonts w:ascii="宋体" w:hAnsi="Courier New" w:cs="Courier New"/>
      <w:kern w:val="2"/>
      <w:sz w:val="21"/>
      <w:szCs w:val="21"/>
    </w:rPr>
  </w:style>
  <w:style w:type="character" w:customStyle="1" w:styleId="82">
    <w:name w:val="样式 标题 3 + (西文) Times New Roman (中文) 宋体 Char"/>
    <w:link w:val="83"/>
    <w:qFormat/>
    <w:uiPriority w:val="0"/>
    <w:rPr>
      <w:rFonts w:ascii="黑体" w:hAnsi="宋体" w:eastAsia="黑体"/>
      <w:bCs/>
      <w:kern w:val="2"/>
      <w:sz w:val="28"/>
      <w:szCs w:val="28"/>
      <w:lang w:val="en-US" w:eastAsia="zh-CN" w:bidi="ar-SA"/>
    </w:rPr>
  </w:style>
  <w:style w:type="paragraph" w:customStyle="1" w:styleId="83">
    <w:name w:val="样式 标题 3 + (西文) Times New Roman (中文) 宋体"/>
    <w:basedOn w:val="5"/>
    <w:link w:val="82"/>
    <w:qFormat/>
    <w:uiPriority w:val="0"/>
    <w:rPr>
      <w:rFonts w:hAnsi="宋体"/>
      <w:bCs/>
      <w:sz w:val="28"/>
      <w:szCs w:val="28"/>
    </w:rPr>
  </w:style>
  <w:style w:type="character" w:customStyle="1" w:styleId="84">
    <w:name w:val="font161"/>
    <w:qFormat/>
    <w:uiPriority w:val="0"/>
    <w:rPr>
      <w:b/>
      <w:bCs/>
      <w:sz w:val="32"/>
      <w:szCs w:val="32"/>
    </w:rPr>
  </w:style>
  <w:style w:type="paragraph" w:styleId="85">
    <w:name w:val="List Paragraph"/>
    <w:basedOn w:val="1"/>
    <w:qFormat/>
    <w:uiPriority w:val="34"/>
    <w:pPr>
      <w:spacing w:line="240" w:lineRule="auto"/>
      <w:ind w:firstLine="420" w:firstLineChars="200"/>
    </w:pPr>
    <w:rPr>
      <w:rFonts w:ascii="Calibri" w:hAnsi="Calibri"/>
      <w:szCs w:val="22"/>
    </w:rPr>
  </w:style>
  <w:style w:type="paragraph" w:customStyle="1" w:styleId="86">
    <w:name w:val="样式 样式 标题 3 + Times New Roman + 首行缩进:  0.21 厘米"/>
    <w:basedOn w:val="70"/>
    <w:qFormat/>
    <w:uiPriority w:val="0"/>
    <w:pPr>
      <w:ind w:firstLine="0"/>
    </w:pPr>
    <w:rPr>
      <w:rFonts w:cs="宋体"/>
      <w:szCs w:val="20"/>
    </w:rPr>
  </w:style>
  <w:style w:type="paragraph" w:customStyle="1" w:styleId="87">
    <w:name w:val="样式 标题 3 + (中文) 黑体 小四 非加粗 段前: 7.8 磅 段后: 0 磅 行距: 固定值 20 磅_0"/>
    <w:basedOn w:val="1"/>
    <w:qFormat/>
    <w:uiPriority w:val="0"/>
    <w:pPr>
      <w:keepNext/>
      <w:keepLines/>
      <w:spacing w:line="400" w:lineRule="exact"/>
      <w:outlineLvl w:val="2"/>
    </w:pPr>
    <w:rPr>
      <w:rFonts w:ascii="Calibri" w:hAnsi="Calibri" w:eastAsia="黑体" w:cs="宋体"/>
      <w:sz w:val="24"/>
      <w:szCs w:val="20"/>
    </w:rPr>
  </w:style>
  <w:style w:type="paragraph" w:customStyle="1" w:styleId="88">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89">
    <w:name w:val="样式 标题 3 + 首行缩进:  0.49 字符1"/>
    <w:basedOn w:val="5"/>
    <w:qFormat/>
    <w:uiPriority w:val="0"/>
    <w:pPr>
      <w:spacing w:before="0" w:after="0" w:line="400" w:lineRule="exact"/>
      <w:ind w:firstLine="0" w:firstLineChars="0"/>
    </w:pPr>
    <w:rPr>
      <w:rFonts w:cs="宋体"/>
      <w:bCs/>
      <w:sz w:val="24"/>
      <w:szCs w:val="20"/>
    </w:rPr>
  </w:style>
  <w:style w:type="paragraph" w:customStyle="1" w:styleId="90">
    <w:name w:val="样式 标题 2 + 居中"/>
    <w:basedOn w:val="4"/>
    <w:link w:val="91"/>
    <w:qFormat/>
    <w:uiPriority w:val="0"/>
    <w:pPr>
      <w:jc w:val="center"/>
    </w:pPr>
    <w:rPr>
      <w:rFonts w:cs="宋体"/>
      <w:bCs w:val="0"/>
      <w:szCs w:val="20"/>
    </w:rPr>
  </w:style>
  <w:style w:type="character" w:customStyle="1" w:styleId="91">
    <w:name w:val="样式 标题 2 + 居中 Char"/>
    <w:link w:val="90"/>
    <w:qFormat/>
    <w:uiPriority w:val="0"/>
    <w:rPr>
      <w:rFonts w:ascii="Arial" w:hAnsi="Arial" w:eastAsia="黑体" w:cs="宋体"/>
      <w:kern w:val="2"/>
      <w:sz w:val="24"/>
    </w:rPr>
  </w:style>
  <w:style w:type="paragraph" w:customStyle="1" w:styleId="92">
    <w:name w:val="_Style 91"/>
    <w:semiHidden/>
    <w:qFormat/>
    <w:uiPriority w:val="99"/>
    <w:rPr>
      <w:rFonts w:ascii="Times New Roman" w:hAnsi="Times New Roman" w:eastAsia="宋体" w:cs="Times New Roman"/>
      <w:kern w:val="2"/>
      <w:sz w:val="21"/>
      <w:szCs w:val="24"/>
      <w:lang w:val="en-US" w:eastAsia="zh-CN" w:bidi="ar-SA"/>
    </w:rPr>
  </w:style>
  <w:style w:type="paragraph" w:customStyle="1" w:styleId="93">
    <w:name w:val="样式 标题 2 + Times New Roman 四号 非加粗 段前: 5 磅 段后: 0 磅 行距: 固定值 20..._0"/>
    <w:basedOn w:val="1"/>
    <w:qFormat/>
    <w:uiPriority w:val="0"/>
    <w:pPr>
      <w:keepNext/>
      <w:keepLines/>
      <w:spacing w:before="100" w:line="400" w:lineRule="exact"/>
      <w:outlineLvl w:val="1"/>
    </w:pPr>
    <w:rPr>
      <w:rFonts w:eastAsia="黑体"/>
      <w:sz w:val="28"/>
      <w:szCs w:val="20"/>
    </w:rPr>
  </w:style>
  <w:style w:type="paragraph" w:customStyle="1" w:styleId="94">
    <w:name w:val="表格"/>
    <w:basedOn w:val="1"/>
    <w:qFormat/>
    <w:uiPriority w:val="0"/>
    <w:pPr>
      <w:jc w:val="center"/>
      <w:textAlignment w:val="center"/>
    </w:pPr>
    <w:rPr>
      <w:rFonts w:ascii="华文细黑" w:hAnsi="华文细黑"/>
      <w:kern w:val="0"/>
      <w:szCs w:val="20"/>
    </w:rPr>
  </w:style>
  <w:style w:type="paragraph" w:customStyle="1" w:styleId="95">
    <w:name w:val="样式 标题 3 + 首行缩进:  0.49 字符"/>
    <w:basedOn w:val="5"/>
    <w:qFormat/>
    <w:uiPriority w:val="0"/>
    <w:pPr>
      <w:spacing w:before="0" w:after="0" w:line="400" w:lineRule="exact"/>
      <w:ind w:firstLine="0" w:firstLineChars="0"/>
    </w:pPr>
    <w:rPr>
      <w:rFonts w:cs="宋体"/>
      <w:bCs/>
      <w:sz w:val="24"/>
      <w:szCs w:val="20"/>
    </w:rPr>
  </w:style>
  <w:style w:type="paragraph" w:customStyle="1" w:styleId="96">
    <w:name w:val="Revision"/>
    <w:qFormat/>
    <w:uiPriority w:val="0"/>
    <w:rPr>
      <w:rFonts w:ascii="Times New Roman" w:hAnsi="Times New Roman" w:eastAsia="宋体" w:cs="Times New Roman"/>
      <w:kern w:val="2"/>
      <w:sz w:val="21"/>
      <w:szCs w:val="24"/>
      <w:lang w:val="en-US" w:eastAsia="zh-CN" w:bidi="ar-SA"/>
    </w:rPr>
  </w:style>
  <w:style w:type="paragraph" w:customStyle="1" w:styleId="97">
    <w:name w:val="样式 样式 标题 3 + (中文) 黑体 小四 非加粗 段前: 7.8 磅 段后: 0 磅 行距: 固定值 20 磅 + 居中..."/>
    <w:basedOn w:val="98"/>
    <w:qFormat/>
    <w:uiPriority w:val="0"/>
    <w:pPr>
      <w:jc w:val="center"/>
    </w:pPr>
  </w:style>
  <w:style w:type="paragraph" w:customStyle="1" w:styleId="98">
    <w:name w:val="样式 标题 3 + (中文) 黑体 小四 非加粗 段前: 7.8 磅 段后: 0 磅 行距: 固定值 20 磅"/>
    <w:basedOn w:val="5"/>
    <w:qFormat/>
    <w:uiPriority w:val="0"/>
    <w:pPr>
      <w:spacing w:before="0" w:beforeLines="0" w:after="0" w:afterLines="0" w:line="400" w:lineRule="exact"/>
    </w:pPr>
    <w:rPr>
      <w:rFonts w:eastAsia="黑体" w:cs="宋体"/>
      <w:sz w:val="24"/>
      <w:szCs w:val="20"/>
    </w:rPr>
  </w:style>
  <w:style w:type="paragraph" w:customStyle="1" w:styleId="99">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Char"/>
    <w:basedOn w:val="1"/>
    <w:qFormat/>
    <w:uiPriority w:val="0"/>
    <w:pPr>
      <w:tabs>
        <w:tab w:val="left" w:pos="360"/>
      </w:tabs>
    </w:pPr>
    <w:rPr>
      <w:sz w:val="24"/>
    </w:rPr>
  </w:style>
  <w:style w:type="paragraph" w:customStyle="1" w:styleId="101">
    <w:name w:val="样式 样式 标题 3 + Times New Roman + (中文) 宋体1"/>
    <w:basedOn w:val="70"/>
    <w:qFormat/>
    <w:uiPriority w:val="0"/>
  </w:style>
  <w:style w:type="paragraph" w:customStyle="1" w:styleId="102">
    <w:name w:val="样式 黑体 四号 加粗 灰色-80% 居中 行距: 固定值 20 磅"/>
    <w:basedOn w:val="1"/>
    <w:qFormat/>
    <w:uiPriority w:val="0"/>
    <w:pPr>
      <w:spacing w:line="400" w:lineRule="exact"/>
      <w:jc w:val="center"/>
    </w:pPr>
    <w:rPr>
      <w:rFonts w:ascii="黑体" w:eastAsia="黑体" w:cs="宋体"/>
      <w:bCs/>
      <w:color w:val="333333"/>
      <w:sz w:val="28"/>
      <w:szCs w:val="20"/>
    </w:rPr>
  </w:style>
  <w:style w:type="paragraph" w:customStyle="1" w:styleId="103">
    <w:name w:val="样式1"/>
    <w:basedOn w:val="1"/>
    <w:next w:val="6"/>
    <w:qFormat/>
    <w:uiPriority w:val="0"/>
    <w:pPr>
      <w:spacing w:line="360" w:lineRule="auto"/>
      <w:ind w:firstLine="420" w:firstLineChars="200"/>
    </w:pPr>
    <w:rPr>
      <w:rFonts w:ascii="宋体" w:hAnsi="宋体"/>
      <w:szCs w:val="21"/>
    </w:rPr>
  </w:style>
  <w:style w:type="paragraph" w:customStyle="1" w:styleId="10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05">
    <w:name w:val="WPSOffice手动目录 2"/>
    <w:qFormat/>
    <w:uiPriority w:val="0"/>
    <w:pPr>
      <w:ind w:leftChars="200"/>
    </w:pPr>
    <w:rPr>
      <w:rFonts w:ascii="Times New Roman" w:hAnsi="Times New Roman" w:eastAsia="宋体" w:cs="Times New Roman"/>
      <w:lang w:val="en-US" w:eastAsia="zh-CN" w:bidi="ar-SA"/>
    </w:rPr>
  </w:style>
  <w:style w:type="paragraph" w:customStyle="1" w:styleId="106">
    <w:name w:val="WPSOffice手动目录 3"/>
    <w:qFormat/>
    <w:uiPriority w:val="0"/>
    <w:pPr>
      <w:ind w:leftChars="400"/>
    </w:pPr>
    <w:rPr>
      <w:rFonts w:ascii="Times New Roman" w:hAnsi="Times New Roman" w:eastAsia="宋体" w:cs="Times New Roman"/>
      <w:lang w:val="en-US" w:eastAsia="zh-CN" w:bidi="ar-SA"/>
    </w:rPr>
  </w:style>
  <w:style w:type="paragraph" w:customStyle="1" w:styleId="107">
    <w:name w:val="样式 样式 标题 3 + (中文) 黑体 小四 非加粗 段前: 7.8 磅 段后: 0 磅 行距: 固定值 20 磅 + 黑色"/>
    <w:basedOn w:val="98"/>
    <w:qFormat/>
    <w:uiPriority w:val="0"/>
    <w:rPr>
      <w:rFonts w:ascii="Times New Roman" w:hAnsi="Times New Roman"/>
      <w:bCs/>
      <w:color w:val="000000"/>
    </w:rPr>
  </w:style>
  <w:style w:type="paragraph" w:customStyle="1" w:styleId="108">
    <w:name w:val="表格文字"/>
    <w:basedOn w:val="1"/>
    <w:qFormat/>
    <w:uiPriority w:val="0"/>
    <w:pPr>
      <w:adjustRightInd w:val="0"/>
      <w:spacing w:line="420" w:lineRule="atLeast"/>
      <w:jc w:val="left"/>
      <w:textAlignment w:val="baseline"/>
    </w:pPr>
    <w:rPr>
      <w:kern w:val="0"/>
      <w:szCs w:val="20"/>
    </w:rPr>
  </w:style>
  <w:style w:type="paragraph" w:customStyle="1" w:styleId="109">
    <w:name w:val="1"/>
    <w:basedOn w:val="1"/>
    <w:next w:val="1"/>
    <w:qFormat/>
    <w:uiPriority w:val="0"/>
  </w:style>
  <w:style w:type="paragraph" w:customStyle="1" w:styleId="110">
    <w:name w:val="样式 标题 3 + 居中"/>
    <w:basedOn w:val="5"/>
    <w:qFormat/>
    <w:uiPriority w:val="0"/>
    <w:pPr>
      <w:jc w:val="center"/>
    </w:pPr>
    <w:rPr>
      <w:rFonts w:cs="宋体"/>
      <w:bCs/>
      <w:sz w:val="28"/>
      <w:szCs w:val="20"/>
    </w:rPr>
  </w:style>
  <w:style w:type="paragraph" w:customStyle="1" w:styleId="111">
    <w:name w:val="样式2"/>
    <w:basedOn w:val="5"/>
    <w:qFormat/>
    <w:uiPriority w:val="0"/>
    <w:rPr>
      <w:i/>
    </w:rPr>
  </w:style>
  <w:style w:type="paragraph" w:customStyle="1" w:styleId="112">
    <w:name w:val="Char1"/>
    <w:basedOn w:val="1"/>
    <w:qFormat/>
    <w:uiPriority w:val="0"/>
    <w:pPr>
      <w:tabs>
        <w:tab w:val="left" w:pos="360"/>
      </w:tabs>
    </w:pPr>
    <w:rPr>
      <w:sz w:val="24"/>
    </w:rPr>
  </w:style>
  <w:style w:type="paragraph" w:customStyle="1" w:styleId="113">
    <w:name w:val="默认段落字体 Para Char Char Char Char"/>
    <w:basedOn w:val="1"/>
    <w:qFormat/>
    <w:uiPriority w:val="0"/>
  </w:style>
  <w:style w:type="paragraph" w:customStyle="1" w:styleId="114">
    <w:name w:val="样式 标题 2 + 加粗"/>
    <w:basedOn w:val="4"/>
    <w:qFormat/>
    <w:uiPriority w:val="0"/>
    <w:pPr>
      <w:spacing w:before="260" w:after="260" w:line="415" w:lineRule="auto"/>
    </w:pPr>
    <w:rPr>
      <w:sz w:val="24"/>
    </w:rPr>
  </w:style>
  <w:style w:type="paragraph" w:customStyle="1" w:styleId="115">
    <w:name w:val="样式 样式 标题 3 + Times New Roman + (中文) 宋体2"/>
    <w:basedOn w:val="70"/>
    <w:qFormat/>
    <w:uiPriority w:val="0"/>
  </w:style>
  <w:style w:type="paragraph" w:customStyle="1" w:styleId="116">
    <w:name w:val="_Style 115"/>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17">
    <w:name w:val="样式 标题 1 + 居中"/>
    <w:basedOn w:val="3"/>
    <w:qFormat/>
    <w:uiPriority w:val="0"/>
    <w:pPr>
      <w:spacing w:before="120" w:after="120" w:line="400" w:lineRule="exact"/>
      <w:jc w:val="center"/>
    </w:pPr>
    <w:rPr>
      <w:rFonts w:eastAsia="黑体" w:cs="宋体"/>
      <w:b w:val="0"/>
      <w:sz w:val="32"/>
      <w:szCs w:val="20"/>
    </w:rPr>
  </w:style>
  <w:style w:type="paragraph" w:customStyle="1" w:styleId="11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19">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Cs w:val="0"/>
      <w:sz w:val="28"/>
      <w:szCs w:val="20"/>
    </w:rPr>
  </w:style>
  <w:style w:type="paragraph" w:customStyle="1" w:styleId="120">
    <w:name w:val="WPSOffice手动目录 1"/>
    <w:qFormat/>
    <w:uiPriority w:val="0"/>
    <w:rPr>
      <w:rFonts w:ascii="Times New Roman" w:hAnsi="Times New Roman" w:eastAsia="宋体" w:cs="Times New Roman"/>
      <w:lang w:val="en-US" w:eastAsia="zh-CN" w:bidi="ar-SA"/>
    </w:rPr>
  </w:style>
  <w:style w:type="character" w:customStyle="1" w:styleId="121">
    <w:name w:val="正文文本 2 字符"/>
    <w:qFormat/>
    <w:uiPriority w:val="0"/>
    <w:rPr>
      <w:kern w:val="2"/>
      <w:sz w:val="21"/>
      <w:szCs w:val="24"/>
    </w:rPr>
  </w:style>
  <w:style w:type="character" w:customStyle="1" w:styleId="122">
    <w:name w:val="批注主题 字符"/>
    <w:qFormat/>
    <w:uiPriority w:val="0"/>
    <w:rPr>
      <w:rFonts w:eastAsia="宋体"/>
      <w:b/>
      <w:bCs/>
      <w:kern w:val="2"/>
      <w:sz w:val="21"/>
      <w:szCs w:val="24"/>
      <w:lang w:val="en-US" w:eastAsia="zh-CN" w:bidi="ar-SA"/>
    </w:rPr>
  </w:style>
  <w:style w:type="character" w:customStyle="1" w:styleId="123">
    <w:name w:val="正文文本 字符"/>
    <w:qFormat/>
    <w:uiPriority w:val="0"/>
    <w:rPr>
      <w:rFonts w:eastAsia="宋体"/>
      <w:kern w:val="2"/>
      <w:sz w:val="21"/>
      <w:szCs w:val="24"/>
      <w:lang w:val="en-US" w:eastAsia="zh-CN" w:bidi="ar-SA"/>
    </w:rPr>
  </w:style>
  <w:style w:type="character" w:customStyle="1" w:styleId="124">
    <w:name w:val="引用 字符"/>
    <w:qFormat/>
    <w:uiPriority w:val="0"/>
    <w:rPr>
      <w:rFonts w:ascii="Calibri" w:hAnsi="Calibri"/>
      <w:i/>
      <w:iCs/>
      <w:color w:val="000000"/>
      <w:kern w:val="2"/>
      <w:sz w:val="21"/>
      <w:szCs w:val="22"/>
    </w:rPr>
  </w:style>
  <w:style w:type="character" w:customStyle="1" w:styleId="125">
    <w:name w:val="文档结构图 字符"/>
    <w:qFormat/>
    <w:uiPriority w:val="0"/>
    <w:rPr>
      <w:rFonts w:eastAsia="宋体"/>
      <w:kern w:val="2"/>
      <w:sz w:val="21"/>
      <w:szCs w:val="24"/>
      <w:lang w:val="en-US" w:eastAsia="zh-CN" w:bidi="ar-SA"/>
    </w:rPr>
  </w:style>
  <w:style w:type="character" w:customStyle="1" w:styleId="126">
    <w:name w:val="标题 2 字符"/>
    <w:qFormat/>
    <w:uiPriority w:val="0"/>
    <w:rPr>
      <w:rFonts w:ascii="Arial" w:hAnsi="Arial" w:eastAsia="黑体"/>
      <w:bCs/>
      <w:kern w:val="2"/>
      <w:sz w:val="24"/>
      <w:szCs w:val="32"/>
    </w:rPr>
  </w:style>
  <w:style w:type="character" w:customStyle="1" w:styleId="127">
    <w:name w:val="正文文本缩进 字符"/>
    <w:qFormat/>
    <w:uiPriority w:val="0"/>
    <w:rPr>
      <w:kern w:val="2"/>
      <w:sz w:val="21"/>
      <w:szCs w:val="24"/>
    </w:rPr>
  </w:style>
  <w:style w:type="character" w:customStyle="1" w:styleId="128">
    <w:name w:val="标题 5 字符"/>
    <w:semiHidden/>
    <w:qFormat/>
    <w:uiPriority w:val="9"/>
    <w:rPr>
      <w:b/>
      <w:bCs/>
      <w:kern w:val="2"/>
      <w:sz w:val="28"/>
      <w:szCs w:val="28"/>
    </w:rPr>
  </w:style>
  <w:style w:type="character" w:customStyle="1" w:styleId="129">
    <w:name w:val="页脚 字符"/>
    <w:qFormat/>
    <w:uiPriority w:val="99"/>
    <w:rPr>
      <w:rFonts w:eastAsia="宋体"/>
      <w:kern w:val="2"/>
      <w:sz w:val="18"/>
      <w:szCs w:val="18"/>
      <w:lang w:val="en-US" w:eastAsia="zh-CN" w:bidi="ar-SA"/>
    </w:rPr>
  </w:style>
  <w:style w:type="character" w:customStyle="1" w:styleId="130">
    <w:name w:val="正文文本缩进 2 字符"/>
    <w:qFormat/>
    <w:uiPriority w:val="0"/>
    <w:rPr>
      <w:kern w:val="2"/>
      <w:sz w:val="21"/>
      <w:szCs w:val="24"/>
    </w:rPr>
  </w:style>
  <w:style w:type="character" w:customStyle="1" w:styleId="131">
    <w:name w:val="标题 3 字符"/>
    <w:qFormat/>
    <w:uiPriority w:val="0"/>
    <w:rPr>
      <w:rFonts w:ascii="黑体" w:hAnsi="黑体" w:eastAsia="黑体"/>
      <w:kern w:val="2"/>
      <w:sz w:val="21"/>
      <w:szCs w:val="24"/>
      <w:lang w:val="en-US" w:eastAsia="zh-CN" w:bidi="ar-SA"/>
    </w:rPr>
  </w:style>
  <w:style w:type="character" w:customStyle="1" w:styleId="132">
    <w:name w:val="页眉 字符"/>
    <w:qFormat/>
    <w:uiPriority w:val="0"/>
    <w:rPr>
      <w:rFonts w:eastAsia="宋体"/>
      <w:kern w:val="2"/>
      <w:sz w:val="18"/>
      <w:szCs w:val="18"/>
      <w:lang w:val="en-US" w:eastAsia="zh-CN" w:bidi="ar-SA"/>
    </w:rPr>
  </w:style>
  <w:style w:type="character" w:customStyle="1" w:styleId="133">
    <w:name w:val="批注文字 字符"/>
    <w:qFormat/>
    <w:uiPriority w:val="0"/>
    <w:rPr>
      <w:rFonts w:eastAsia="宋体"/>
      <w:kern w:val="2"/>
      <w:sz w:val="21"/>
      <w:szCs w:val="24"/>
      <w:lang w:val="en-US" w:eastAsia="zh-CN" w:bidi="ar-SA"/>
    </w:rPr>
  </w:style>
  <w:style w:type="character" w:customStyle="1" w:styleId="134">
    <w:name w:val="标题 4 字符"/>
    <w:qFormat/>
    <w:uiPriority w:val="0"/>
    <w:rPr>
      <w:rFonts w:ascii="Arial" w:hAnsi="Arial" w:eastAsia="宋体"/>
      <w:bCs/>
      <w:kern w:val="2"/>
      <w:sz w:val="24"/>
      <w:szCs w:val="28"/>
    </w:rPr>
  </w:style>
  <w:style w:type="character" w:customStyle="1" w:styleId="135">
    <w:name w:val="纯文本 字符"/>
    <w:qFormat/>
    <w:uiPriority w:val="0"/>
    <w:rPr>
      <w:rFonts w:ascii="宋体" w:hAnsi="Courier New" w:cs="Courier New"/>
      <w:kern w:val="2"/>
      <w:sz w:val="21"/>
      <w:szCs w:val="21"/>
    </w:rPr>
  </w:style>
  <w:style w:type="character" w:customStyle="1" w:styleId="136">
    <w:name w:val="正文文本首行缩进 字符"/>
    <w:qFormat/>
    <w:uiPriority w:val="0"/>
  </w:style>
  <w:style w:type="character" w:customStyle="1" w:styleId="137">
    <w:name w:val="正文文本 3 字符"/>
    <w:qFormat/>
    <w:uiPriority w:val="0"/>
    <w:rPr>
      <w:rFonts w:ascii="宋体"/>
      <w:kern w:val="2"/>
      <w:sz w:val="24"/>
    </w:rPr>
  </w:style>
  <w:style w:type="character" w:customStyle="1" w:styleId="138">
    <w:name w:val="标题 1 字符"/>
    <w:qFormat/>
    <w:uiPriority w:val="0"/>
    <w:rPr>
      <w:rFonts w:eastAsia="宋体"/>
      <w:b/>
      <w:bCs/>
      <w:kern w:val="44"/>
      <w:sz w:val="44"/>
      <w:szCs w:val="44"/>
      <w:lang w:val="en-US" w:eastAsia="zh-CN" w:bidi="ar-SA"/>
    </w:rPr>
  </w:style>
  <w:style w:type="paragraph" w:customStyle="1" w:styleId="139">
    <w:name w:val="[Normal]"/>
    <w:qFormat/>
    <w:uiPriority w:val="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245</Pages>
  <Words>1343</Words>
  <Characters>1353</Characters>
  <Lines>926</Lines>
  <Paragraphs>260</Paragraphs>
  <TotalTime>0</TotalTime>
  <ScaleCrop>false</ScaleCrop>
  <LinksUpToDate>false</LinksUpToDate>
  <CharactersWithSpaces>1618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2019-06-03T10:11:00Z</dcterms:created>
  <dc:creator>1</dc:creator>
  <cp:lastModifiedBy>世说心语</cp:lastModifiedBy>
  <cp:lastPrinted>2026-09-09T02:54:00Z</cp:lastPrinted>
  <dcterms:modified xsi:type="dcterms:W3CDTF">2026-09-30T08:44:15Z</dcterms:modified>
  <dc:title>中华人民共和国</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B8A5BC12D38A403CB2A40EE3502D664C</vt:lpwstr>
  </property>
  <property fmtid="{D5CDD505-2E9C-101B-9397-08002B2CF9AE}" pid="4" name="KSOTemplateDocerSaveRecord">
    <vt:lpwstr>eyJoZGlkIjoiODE0NTVmYTU1ZjVjZDY1MzM5NDc5YTU4NGY2ODZkZjUiLCJ1c2VySWQiOiIzNTIwNTQxMTEifQ==</vt:lpwstr>
  </property>
</Properties>
</file>